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4B3C"/>
          <w:sz w:val="36"/>
        </w:rPr>
        <w:t>INFORME COMPARATIVO: STARTUP VS. EMPRESA TRADICIONAL</w:t>
      </w:r>
    </w:p>
    <w:p>
      <w:r>
        <w:rPr>
          <w:color w:val="444444"/>
          <w:sz w:val="24"/>
        </w:rPr>
        <w:t>Woodbird — Aves decorativas de madera</w:t>
      </w:r>
    </w:p>
    <w:tbl>
      <w:tblPr>
        <w:tblStyle w:val="TableGrid"/>
        <w:tblW w:type="auto" w:w="0"/>
        <w:tblLayout w:type="fixed"/>
        <w:tblLook w:firstColumn="1" w:firstRow="1" w:lastColumn="0" w:lastRow="0" w:noHBand="0" w:noVBand="1" w:val="04A0"/>
      </w:tblPr>
      <w:tblGrid>
        <w:gridCol w:w="4680"/>
        <w:gridCol w:w="4680"/>
      </w:tblGrid>
      <w:tr>
        <w:tc>
          <w:tcPr>
            <w:tcW w:type="dxa" w:w="2304"/>
            <w:shd w:val="clear" w:color="auto" w:fill="E8EDE9"/>
          </w:tcPr>
          <w:p>
            <w:pPr>
              <w:spacing w:after="0"/>
            </w:pPr>
            <w:r/>
            <w:r>
              <w:rPr>
                <w:b/>
              </w:rPr>
              <w:t>Materia</w:t>
            </w:r>
          </w:p>
        </w:tc>
        <w:tc>
          <w:tcPr>
            <w:tcW w:type="dxa" w:w="7056"/>
          </w:tcPr>
          <w:p>
            <w:pPr>
              <w:spacing w:after="0"/>
            </w:pPr>
            <w:r>
              <w:t>El Emprendedor Digital y el Contexto (EDC)</w:t>
            </w:r>
          </w:p>
        </w:tc>
      </w:tr>
      <w:tr>
        <w:tc>
          <w:tcPr>
            <w:tcW w:type="dxa" w:w="2304"/>
            <w:shd w:val="clear" w:color="auto" w:fill="E8EDE9"/>
          </w:tcPr>
          <w:p>
            <w:pPr>
              <w:spacing w:after="0"/>
            </w:pPr>
            <w:r/>
            <w:r>
              <w:rPr>
                <w:b/>
              </w:rPr>
              <w:t>Actividad</w:t>
            </w:r>
          </w:p>
        </w:tc>
        <w:tc>
          <w:tcPr>
            <w:tcW w:type="dxa" w:w="7056"/>
          </w:tcPr>
          <w:p>
            <w:pPr>
              <w:spacing w:after="0"/>
            </w:pPr>
            <w:r>
              <w:t>Sprint 2 — Semana 5 — Informe Comparativo: Startup vs. Empresa Tradicional</w:t>
            </w:r>
          </w:p>
        </w:tc>
      </w:tr>
      <w:tr>
        <w:tc>
          <w:tcPr>
            <w:tcW w:type="dxa" w:w="2304"/>
            <w:shd w:val="clear" w:color="auto" w:fill="E8EDE9"/>
          </w:tcPr>
          <w:p>
            <w:pPr>
              <w:spacing w:after="0"/>
            </w:pPr>
            <w:r/>
            <w:r>
              <w:rPr>
                <w:b/>
              </w:rPr>
              <w:t>Startup</w:t>
            </w:r>
          </w:p>
        </w:tc>
        <w:tc>
          <w:tcPr>
            <w:tcW w:type="dxa" w:w="7056"/>
          </w:tcPr>
          <w:p>
            <w:pPr>
              <w:spacing w:after="0"/>
            </w:pPr>
            <w:r>
              <w:t>Woodbird — Aves decorativas de madera</w:t>
            </w:r>
          </w:p>
        </w:tc>
      </w:tr>
      <w:tr>
        <w:tc>
          <w:tcPr>
            <w:tcW w:type="dxa" w:w="2304"/>
            <w:shd w:val="clear" w:color="auto" w:fill="E8EDE9"/>
          </w:tcPr>
          <w:p>
            <w:pPr>
              <w:spacing w:after="0"/>
            </w:pPr>
            <w:r/>
            <w:r>
              <w:rPr>
                <w:b/>
              </w:rPr>
              <w:t>Autor</w:t>
            </w:r>
          </w:p>
        </w:tc>
        <w:tc>
          <w:tcPr>
            <w:tcW w:type="dxa" w:w="7056"/>
          </w:tcPr>
          <w:p>
            <w:pPr>
              <w:spacing w:after="0"/>
            </w:pPr>
            <w:r>
              <w:t>Reiss Jorge Nicolás</w:t>
            </w:r>
          </w:p>
        </w:tc>
      </w:tr>
      <w:tr>
        <w:tc>
          <w:tcPr>
            <w:tcW w:type="dxa" w:w="2304"/>
            <w:shd w:val="clear" w:color="auto" w:fill="E8EDE9"/>
          </w:tcPr>
          <w:p>
            <w:pPr>
              <w:spacing w:after="0"/>
            </w:pPr>
            <w:r/>
            <w:r>
              <w:rPr>
                <w:b/>
              </w:rPr>
              <w:t>Docente</w:t>
            </w:r>
          </w:p>
        </w:tc>
        <w:tc>
          <w:tcPr>
            <w:tcW w:type="dxa" w:w="7056"/>
          </w:tcPr>
          <w:p>
            <w:pPr>
              <w:spacing w:after="0"/>
            </w:pPr>
            <w:r>
              <w:t>Ibañez Erick</w:t>
            </w:r>
          </w:p>
        </w:tc>
      </w:tr>
      <w:tr>
        <w:tc>
          <w:tcPr>
            <w:tcW w:type="dxa" w:w="2304"/>
            <w:shd w:val="clear" w:color="auto" w:fill="E8EDE9"/>
          </w:tcPr>
          <w:p>
            <w:pPr>
              <w:spacing w:after="0"/>
            </w:pPr>
            <w:r/>
            <w:r>
              <w:rPr>
                <w:b/>
              </w:rPr>
              <w:t>Fecha</w:t>
            </w:r>
          </w:p>
        </w:tc>
        <w:tc>
          <w:tcPr>
            <w:tcW w:type="dxa" w:w="7056"/>
          </w:tcPr>
          <w:p>
            <w:pPr>
              <w:spacing w:after="0"/>
            </w:pPr>
            <w:r>
              <w:t>23 de septiembre de 2026</w:t>
            </w:r>
          </w:p>
        </w:tc>
      </w:tr>
    </w:tbl>
    <w:p>
      <w:pPr>
        <w:pStyle w:val="Heading1"/>
      </w:pPr>
      <w:r>
        <w:t>1. Introducción y tesis</w:t>
      </w:r>
    </w:p>
    <w:p>
      <w:r>
        <w:t>La Declaración de Triple Impacto del Sprint 1 comparó a Woodbird con un comercio artesanal tradicional en términos cualitativos. Este informe lleva esa comparación a números: contrasta los costos transaccionales, la logística operativa y la flexibilidad estructural de ambos modelos, argumenta por qué el software de Woodbird escala y evalúa su impacto ambiental con un método explícito y verificable.</w:t>
      </w:r>
    </w:p>
    <w:p>
      <w:r>
        <w:t>La comparación se hace entre dos formas de vender el mismo catálogo de doce aves decorativas talladas en maderas del Chaco, con un precio promedio de $25.867:</w:t>
      </w:r>
    </w:p>
    <w:p>
      <w:pPr>
        <w:pStyle w:val="ListBullet"/>
      </w:pPr>
      <w:r>
        <w:rPr>
          <w:b/>
        </w:rPr>
        <w:t xml:space="preserve">Empresa tradicional: </w:t>
      </w:r>
      <w:r>
        <w:t>un taller con local de venta de 30 m² en Resistencia, que exhibe las piezas y las vende a quien se acerca.</w:t>
      </w:r>
    </w:p>
    <w:p>
      <w:pPr>
        <w:pStyle w:val="ListBullet"/>
      </w:pPr>
      <w:r>
        <w:rPr>
          <w:b/>
        </w:rPr>
        <w:t xml:space="preserve">Startup Woodbird: </w:t>
      </w:r>
      <w:r>
        <w:t>un e-commerce desmaterializado. Las piezas son diseños generados con inteligencia artificial y el sitio simula el proceso de compra completo, incluido el costo de envío, sin que exista producción ni despacho físico, tal como establece la Declaración Ética del Sprint 1.</w:t>
      </w:r>
    </w:p>
    <w:p>
      <w:r>
        <w:rPr>
          <w:b/>
        </w:rPr>
        <w:t xml:space="preserve">Tesis. </w:t>
      </w:r>
      <w:r>
        <w:t>La ventaja de Woodbird no viene de vender por internet en sí, sino de dos decisiones separables. Prescindir del local elimina casi todo el costo fijo y la mayor parte de las emisiones. Desmaterializar el producto es lo único que elimina el consumo de madera nativa protegida. Un e-commerce que vendiera piezas reales obtendría lo primero, pero no lo segundo.</w:t>
      </w:r>
    </w:p>
    <w:p>
      <w:pPr>
        <w:pStyle w:val="Heading1"/>
      </w:pPr>
      <w:r>
        <w:t>2. Costos transaccionales</w:t>
      </w:r>
    </w:p>
    <w:p>
      <w:r>
        <w:t>Los costos transaccionales son los que se pagan por concretar cada venta: encontrar al cliente, exhibir el producto, cobrar y entregar. La diferencia estructural es que el comercio tradicional los paga por adelantado como costo fijo (el local está abierto venda o no), mientras que Woodbird los paga como costo variable, solo cuando hay una venta.</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1871"/>
            <w:shd w:val="clear" w:color="auto" w:fill="2F4B3C"/>
          </w:tcPr>
          <w:p>
            <w:r>
              <w:rPr>
                <w:b/>
                <w:color w:val="FFFFFF"/>
                <w:sz w:val="18"/>
              </w:rPr>
              <w:t>Concepto</w:t>
            </w:r>
          </w:p>
        </w:tc>
        <w:tc>
          <w:tcPr>
            <w:tcW w:type="dxa" w:w="3628"/>
            <w:shd w:val="clear" w:color="auto" w:fill="2F4B3C"/>
          </w:tcPr>
          <w:p>
            <w:r>
              <w:rPr>
                <w:b/>
                <w:color w:val="FFFFFF"/>
                <w:sz w:val="18"/>
              </w:rPr>
              <w:t>Comercio tradicional</w:t>
            </w:r>
          </w:p>
        </w:tc>
        <w:tc>
          <w:tcPr>
            <w:tcW w:type="dxa" w:w="3572"/>
            <w:shd w:val="clear" w:color="auto" w:fill="2F4B3C"/>
          </w:tcPr>
          <w:p>
            <w:r>
              <w:rPr>
                <w:b/>
                <w:color w:val="FFFFFF"/>
                <w:sz w:val="18"/>
              </w:rPr>
              <w:t>Woodbird</w:t>
            </w:r>
          </w:p>
        </w:tc>
      </w:tr>
      <w:tr>
        <w:trPr>
          <w:cantSplit/>
        </w:trPr>
        <w:tc>
          <w:tcPr>
            <w:tcW w:type="dxa" w:w="1871"/>
          </w:tcPr>
          <w:p>
            <w:r>
              <w:rPr>
                <w:b/>
                <w:sz w:val="18"/>
              </w:rPr>
              <w:t>Espacio de venta</w:t>
            </w:r>
          </w:p>
        </w:tc>
        <w:tc>
          <w:tcPr>
            <w:tcW w:type="dxa" w:w="3628"/>
          </w:tcPr>
          <w:p>
            <w:r>
              <w:rPr>
                <w:b w:val="0"/>
                <w:sz w:val="18"/>
              </w:rPr>
              <w:t>Alquiler de un local de 30 m²: $350.000 por mes (referencia de portales inmobiliarios de Resistencia, septiembre de 2026)</w:t>
            </w:r>
          </w:p>
        </w:tc>
        <w:tc>
          <w:tcPr>
            <w:tcW w:type="dxa" w:w="3572"/>
          </w:tcPr>
          <w:p>
            <w:r>
              <w:rPr>
                <w:b w:val="0"/>
                <w:sz w:val="18"/>
              </w:rPr>
              <w:t>No tiene. El sitio web cumple la función de vidriera</w:t>
            </w:r>
          </w:p>
        </w:tc>
      </w:tr>
      <w:tr>
        <w:trPr>
          <w:cantSplit/>
        </w:trPr>
        <w:tc>
          <w:tcPr>
            <w:tcW w:type="dxa" w:w="1871"/>
          </w:tcPr>
          <w:p>
            <w:r>
              <w:rPr>
                <w:b/>
                <w:sz w:val="18"/>
              </w:rPr>
              <w:t>Infraestructura</w:t>
            </w:r>
          </w:p>
        </w:tc>
        <w:tc>
          <w:tcPr>
            <w:tcW w:type="dxa" w:w="3628"/>
          </w:tcPr>
          <w:p>
            <w:r>
              <w:rPr>
                <w:b w:val="0"/>
                <w:sz w:val="18"/>
              </w:rPr>
              <w:t>Servicios del local: electricidad, agua, seguridad</w:t>
            </w:r>
          </w:p>
        </w:tc>
        <w:tc>
          <w:tcPr>
            <w:tcW w:type="dxa" w:w="3572"/>
          </w:tcPr>
          <w:p>
            <w:r>
              <w:rPr>
                <w:b w:val="0"/>
                <w:sz w:val="18"/>
              </w:rPr>
              <w:t>Hosting, dominio e infraestructura: $30.000 por año según el Acta de Constitución (≈ $2.500 por mes). El dominio .com.ar cuesta $8.500 por año</w:t>
            </w:r>
          </w:p>
        </w:tc>
      </w:tr>
      <w:tr>
        <w:trPr>
          <w:cantSplit/>
        </w:trPr>
        <w:tc>
          <w:tcPr>
            <w:tcW w:type="dxa" w:w="1871"/>
          </w:tcPr>
          <w:p>
            <w:r>
              <w:rPr>
                <w:b/>
                <w:sz w:val="18"/>
              </w:rPr>
              <w:t>Atención al cliente</w:t>
            </w:r>
          </w:p>
        </w:tc>
        <w:tc>
          <w:tcPr>
            <w:tcW w:type="dxa" w:w="3628"/>
          </w:tcPr>
          <w:p>
            <w:r>
              <w:rPr>
                <w:b w:val="0"/>
                <w:sz w:val="18"/>
              </w:rPr>
              <w:t>Personal durante todo el horario comercial</w:t>
            </w:r>
          </w:p>
        </w:tc>
        <w:tc>
          <w:tcPr>
            <w:tcW w:type="dxa" w:w="3572"/>
          </w:tcPr>
          <w:p>
            <w:r>
              <w:rPr>
                <w:b w:val="0"/>
                <w:sz w:val="18"/>
              </w:rPr>
              <w:t>Autoservicio: el catálogo y el checkout funcionan sin intervención humana</w:t>
            </w:r>
          </w:p>
        </w:tc>
      </w:tr>
      <w:tr>
        <w:trPr>
          <w:cantSplit/>
        </w:trPr>
        <w:tc>
          <w:tcPr>
            <w:tcW w:type="dxa" w:w="1871"/>
          </w:tcPr>
          <w:p>
            <w:r>
              <w:rPr>
                <w:b/>
                <w:sz w:val="18"/>
              </w:rPr>
              <w:t>Cobro</w:t>
            </w:r>
          </w:p>
        </w:tc>
        <w:tc>
          <w:tcPr>
            <w:tcW w:type="dxa" w:w="3628"/>
          </w:tcPr>
          <w:p>
            <w:r>
              <w:rPr>
                <w:b w:val="0"/>
                <w:sz w:val="18"/>
              </w:rPr>
              <w:t>Efectivo o terminal de pago con comisión</w:t>
            </w:r>
          </w:p>
        </w:tc>
        <w:tc>
          <w:tcPr>
            <w:tcW w:type="dxa" w:w="3572"/>
          </w:tcPr>
          <w:p>
            <w:r>
              <w:rPr>
                <w:b w:val="0"/>
                <w:sz w:val="18"/>
              </w:rPr>
              <w:t>Pasarela de pago: 6,29 % + IVA por venta con acreditación inmediata (7,61 %). En la simulación no se cobra</w:t>
            </w:r>
          </w:p>
        </w:tc>
      </w:tr>
      <w:tr>
        <w:trPr>
          <w:cantSplit/>
        </w:trPr>
        <w:tc>
          <w:tcPr>
            <w:tcW w:type="dxa" w:w="1871"/>
          </w:tcPr>
          <w:p>
            <w:r>
              <w:rPr>
                <w:b/>
                <w:sz w:val="18"/>
              </w:rPr>
              <w:t>Stock</w:t>
            </w:r>
          </w:p>
        </w:tc>
        <w:tc>
          <w:tcPr>
            <w:tcW w:type="dxa" w:w="3628"/>
          </w:tcPr>
          <w:p>
            <w:r>
              <w:rPr>
                <w:b w:val="0"/>
                <w:sz w:val="18"/>
              </w:rPr>
              <w:t>Capital inmovilizado: al menos una pieza exhibida de cada uno de los 12 modelos</w:t>
            </w:r>
          </w:p>
        </w:tc>
        <w:tc>
          <w:tcPr>
            <w:tcW w:type="dxa" w:w="3572"/>
          </w:tcPr>
          <w:p>
            <w:r>
              <w:rPr>
                <w:b w:val="0"/>
                <w:sz w:val="18"/>
              </w:rPr>
              <w:t>No existe</w:t>
            </w:r>
          </w:p>
        </w:tc>
      </w:tr>
    </w:tbl>
    <w:p/>
    <w:p>
      <w:r>
        <w:t>La consecuencia se ve en el punto de equilibrio. Con un margen bruto supuesto del 50 %, cada pieza vendida en el local aporta $12.933 para cubrir costos fijos. Solo para pagar el alquiler hay que vender 27,1 piezas por mes, nueve veces la meta de tres ventas mensuales que fija la Estrategia de canales. En Woodbird, una venta aporta $10.965 después de la comisión, y el costo fijo mensual de $2.500 queda cubierto con la primera venta del mes.</w:t>
      </w:r>
    </w:p>
    <w:p>
      <w:pPr>
        <w:jc w:val="center"/>
      </w:pPr>
      <w:r>
        <w:rPr>
          <w:i/>
        </w:rPr>
        <w:t>Piezas para cubrir el alquiler = $350.000 ÷ ($25.867 × 0,50) = 27,1 piezas por mes</w:t>
      </w:r>
    </w:p>
    <w:p>
      <w:r>
        <w:t>Es decir: el modelo tradicional necesita volumen antes de empezar a funcionar, y el digital puede validarse con pocas ventas. Esa es la diferencia que la teoría de startups llama bajo costo de experimentación.</w:t>
      </w:r>
    </w:p>
    <w:p>
      <w:pPr>
        <w:pStyle w:val="Heading1"/>
      </w:pPr>
      <w:r>
        <w:t>3. Logística operativa</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1701"/>
            <w:shd w:val="clear" w:color="auto" w:fill="2F4B3C"/>
          </w:tcPr>
          <w:p>
            <w:r>
              <w:rPr>
                <w:b/>
                <w:color w:val="FFFFFF"/>
                <w:sz w:val="18"/>
              </w:rPr>
              <w:t>Eslabón</w:t>
            </w:r>
          </w:p>
        </w:tc>
        <w:tc>
          <w:tcPr>
            <w:tcW w:type="dxa" w:w="3798"/>
            <w:shd w:val="clear" w:color="auto" w:fill="2F4B3C"/>
          </w:tcPr>
          <w:p>
            <w:r>
              <w:rPr>
                <w:b/>
                <w:color w:val="FFFFFF"/>
                <w:sz w:val="18"/>
              </w:rPr>
              <w:t>Comercio tradicional</w:t>
            </w:r>
          </w:p>
        </w:tc>
        <w:tc>
          <w:tcPr>
            <w:tcW w:type="dxa" w:w="3572"/>
            <w:shd w:val="clear" w:color="auto" w:fill="2F4B3C"/>
          </w:tcPr>
          <w:p>
            <w:r>
              <w:rPr>
                <w:b/>
                <w:color w:val="FFFFFF"/>
                <w:sz w:val="18"/>
              </w:rPr>
              <w:t>Woodbird</w:t>
            </w:r>
          </w:p>
        </w:tc>
      </w:tr>
      <w:tr>
        <w:trPr>
          <w:cantSplit/>
        </w:trPr>
        <w:tc>
          <w:tcPr>
            <w:tcW w:type="dxa" w:w="1701"/>
          </w:tcPr>
          <w:p>
            <w:r>
              <w:rPr>
                <w:b/>
                <w:sz w:val="18"/>
              </w:rPr>
              <w:t>Abastecimiento</w:t>
            </w:r>
          </w:p>
        </w:tc>
        <w:tc>
          <w:tcPr>
            <w:tcW w:type="dxa" w:w="3798"/>
          </w:tcPr>
          <w:p>
            <w:r>
              <w:rPr>
                <w:b w:val="0"/>
                <w:sz w:val="18"/>
              </w:rPr>
              <w:t>Compra de madera con guía forestal y trazabilidad. El palo santo está en el Apéndice II de CITES y alcanzado por la Ley 26.331</w:t>
            </w:r>
          </w:p>
        </w:tc>
        <w:tc>
          <w:tcPr>
            <w:tcW w:type="dxa" w:w="3572"/>
          </w:tcPr>
          <w:p>
            <w:r>
              <w:rPr>
                <w:b w:val="0"/>
                <w:sz w:val="18"/>
              </w:rPr>
              <w:t>No compra materia prima</w:t>
            </w:r>
          </w:p>
        </w:tc>
      </w:tr>
      <w:tr>
        <w:trPr>
          <w:cantSplit/>
        </w:trPr>
        <w:tc>
          <w:tcPr>
            <w:tcW w:type="dxa" w:w="1701"/>
          </w:tcPr>
          <w:p>
            <w:r>
              <w:rPr>
                <w:b/>
                <w:sz w:val="18"/>
              </w:rPr>
              <w:t>Producción</w:t>
            </w:r>
          </w:p>
        </w:tc>
        <w:tc>
          <w:tcPr>
            <w:tcW w:type="dxa" w:w="3798"/>
          </w:tcPr>
          <w:p>
            <w:r>
              <w:rPr>
                <w:b w:val="0"/>
                <w:sz w:val="18"/>
              </w:rPr>
              <w:t>Tallado, terminación y control de calidad de cada pieza</w:t>
            </w:r>
          </w:p>
        </w:tc>
        <w:tc>
          <w:tcPr>
            <w:tcW w:type="dxa" w:w="3572"/>
          </w:tcPr>
          <w:p>
            <w:r>
              <w:rPr>
                <w:b w:val="0"/>
                <w:sz w:val="18"/>
              </w:rPr>
              <w:t>Diseño de la pieza y generación de su imagen con IA</w:t>
            </w:r>
          </w:p>
        </w:tc>
      </w:tr>
      <w:tr>
        <w:trPr>
          <w:cantSplit/>
        </w:trPr>
        <w:tc>
          <w:tcPr>
            <w:tcW w:type="dxa" w:w="1701"/>
          </w:tcPr>
          <w:p>
            <w:r>
              <w:rPr>
                <w:b/>
                <w:sz w:val="18"/>
              </w:rPr>
              <w:t>Almacenamiento</w:t>
            </w:r>
          </w:p>
        </w:tc>
        <w:tc>
          <w:tcPr>
            <w:tcW w:type="dxa" w:w="3798"/>
          </w:tcPr>
          <w:p>
            <w:r>
              <w:rPr>
                <w:b w:val="0"/>
                <w:sz w:val="18"/>
              </w:rPr>
              <w:t>Stock exhibido y de reposición, con riesgo de roturas y piezas que no se venden</w:t>
            </w:r>
          </w:p>
        </w:tc>
        <w:tc>
          <w:tcPr>
            <w:tcW w:type="dxa" w:w="3572"/>
          </w:tcPr>
          <w:p>
            <w:r>
              <w:rPr>
                <w:b w:val="0"/>
                <w:sz w:val="18"/>
              </w:rPr>
              <w:t>Un archivo de datos (productos.json)</w:t>
            </w:r>
          </w:p>
        </w:tc>
      </w:tr>
      <w:tr>
        <w:trPr>
          <w:cantSplit/>
        </w:trPr>
        <w:tc>
          <w:tcPr>
            <w:tcW w:type="dxa" w:w="1701"/>
          </w:tcPr>
          <w:p>
            <w:r>
              <w:rPr>
                <w:b/>
                <w:sz w:val="18"/>
              </w:rPr>
              <w:t>Distribución</w:t>
            </w:r>
          </w:p>
        </w:tc>
        <w:tc>
          <w:tcPr>
            <w:tcW w:type="dxa" w:w="3798"/>
          </w:tcPr>
          <w:p>
            <w:r>
              <w:rPr>
                <w:b w:val="0"/>
                <w:sz w:val="18"/>
              </w:rPr>
              <w:t>Traslado del taller al local. El cliente se traslada hasta el local</w:t>
            </w:r>
          </w:p>
        </w:tc>
        <w:tc>
          <w:tcPr>
            <w:tcW w:type="dxa" w:w="3572"/>
          </w:tcPr>
          <w:p>
            <w:r>
              <w:rPr>
                <w:b w:val="0"/>
                <w:sz w:val="18"/>
              </w:rPr>
              <w:t>Transferencia de datos al navegador del visitante</w:t>
            </w:r>
          </w:p>
        </w:tc>
      </w:tr>
      <w:tr>
        <w:trPr>
          <w:cantSplit/>
        </w:trPr>
        <w:tc>
          <w:tcPr>
            <w:tcW w:type="dxa" w:w="1701"/>
          </w:tcPr>
          <w:p>
            <w:r>
              <w:rPr>
                <w:b/>
                <w:sz w:val="18"/>
              </w:rPr>
              <w:t>Posventa</w:t>
            </w:r>
          </w:p>
        </w:tc>
        <w:tc>
          <w:tcPr>
            <w:tcW w:type="dxa" w:w="3798"/>
          </w:tcPr>
          <w:p>
            <w:r>
              <w:rPr>
                <w:b w:val="0"/>
                <w:sz w:val="18"/>
              </w:rPr>
              <w:t>Cambios y devoluciones físicas</w:t>
            </w:r>
          </w:p>
        </w:tc>
        <w:tc>
          <w:tcPr>
            <w:tcW w:type="dxa" w:w="3572"/>
          </w:tcPr>
          <w:p>
            <w:r>
              <w:rPr>
                <w:b w:val="0"/>
                <w:sz w:val="18"/>
              </w:rPr>
              <w:t>No hay devoluciones: la compra es simulada</w:t>
            </w:r>
          </w:p>
        </w:tc>
      </w:tr>
    </w:tbl>
    <w:p/>
    <w:p>
      <w:r>
        <w:t>La logística del comercio tradicional mueve materia y personas. La de Woodbird mueve solamente información. Si Woodbird vendiera piezas reales, como proyecta el lienzo de modelo de negocio, recuperaría los tres primeros eslabones y sumaría el envío a domicilio. Se mantendría el ahorro del traslado del cliente, que el apartado 6 muestra que es relevante.</w:t>
      </w:r>
    </w:p>
    <w:p>
      <w:pPr>
        <w:pStyle w:val="Heading1"/>
      </w:pPr>
      <w:r>
        <w:t>4. Flexibilidad estructural</w:t>
      </w:r>
    </w:p>
    <w:p>
      <w:r>
        <w:t>La flexibilidad estructural es el costo de cambiar de rumbo. Un comercio tradicional compromete recursos que no se recuperan fácilmente: el contrato de alquiler, la adecuación del local, el stock producido y las herramientas. Si un modelo no se vende o conviene cambiar de madera, las piezas ya talladas quedan inmovilizadas.</w:t>
      </w:r>
    </w:p>
    <w:p>
      <w:r>
        <w:t>En Woodbird, cambiar el catálogo es editar un archivo. Agregar un ave, cambiar un precio o retirar un modelo se hace en minutos y queda registrado en el historial de Git, lo que permite volver atrás. El mismo criterio vale para el negocio: la Estrategia de canales definió una meta de conversión que se puede medir y corregir cada semana, y el costo de corregir es trabajo, no capital hundido.</w:t>
      </w:r>
    </w:p>
    <w:p>
      <w:r>
        <w:t>Esta flexibilidad tiene un límite honesto: Woodbird puede cambiar rápido porque todavía no produce. Si pasara a vender piezas reales, la capacidad del taller volvería a fijar el ritmo de los cambios.</w:t>
      </w:r>
    </w:p>
    <w:p>
      <w:pPr>
        <w:pStyle w:val="Heading1"/>
      </w:pPr>
      <w:r>
        <w:t>5. Escalabilidad del software</w:t>
      </w:r>
    </w:p>
    <w:p>
      <w:r>
        <w:t>Un negocio escala cuando sus ingresos pueden crecer más rápido que sus costos. En el comercio tradicional, cada pieza adicional exige más madera y más horas de tallado, y a partir de cierto volumen, más local y más personal: los costos crecen en línea con las ventas. En Woodbird, atender a un visitante más no cuesta prácticamente nada:</w:t>
      </w:r>
    </w:p>
    <w:p>
      <w:pPr>
        <w:pStyle w:val="ListBullet"/>
      </w:pPr>
      <w:r>
        <w:rPr>
          <w:b/>
        </w:rPr>
        <w:t xml:space="preserve">Costo económico marginal casi nulo. </w:t>
      </w:r>
      <w:r>
        <w:t>El hosting es un costo fijo que no aumenta por visitante hasta el límite del plan contratado.</w:t>
      </w:r>
    </w:p>
    <w:p>
      <w:pPr>
        <w:pStyle w:val="ListBullet"/>
      </w:pPr>
      <w:r>
        <w:rPr>
          <w:b/>
        </w:rPr>
        <w:t xml:space="preserve">Costo ambiental marginal medible. </w:t>
      </w:r>
      <w:r>
        <w:t>Cada visita emite 0,11 g de CO₂e (apartado 6).</w:t>
      </w:r>
    </w:p>
    <w:p>
      <w:pPr>
        <w:pStyle w:val="ListBullet"/>
      </w:pPr>
      <w:r>
        <w:rPr>
          <w:b/>
        </w:rPr>
        <w:t xml:space="preserve">Alcance nacional sin inversión adicional. </w:t>
      </w:r>
      <w:r>
        <w:t>Sumar compradores de otra provincia no requiere abrir un local nuevo.</w:t>
      </w:r>
    </w:p>
    <w:p>
      <w:pPr>
        <w:pStyle w:val="ListBullet"/>
      </w:pPr>
      <w:r>
        <w:rPr>
          <w:b/>
        </w:rPr>
        <w:t xml:space="preserve">Código reutilizable. </w:t>
      </w:r>
      <w:r>
        <w:t>El código se publica bajo licencia GPLv3, de modo que el mismo desarrollo puede servir a otros artesanos del rubro sin empezar de cero.</w:t>
      </w:r>
    </w:p>
    <w:p>
      <w:r>
        <w:t>La distinción importante es qué escala. El software escala la demanda y el catálogo, pero no la producción artesanal: una tienda online de piezas reales seguiría limitada por las manos del tallador. Solo el modelo desmaterializado desacopla por completo el crecimiento del consumo de materia prima.</w:t>
      </w:r>
    </w:p>
    <w:p>
      <w:pPr>
        <w:pStyle w:val="Heading1"/>
      </w:pPr>
      <w:r>
        <w:t>6. Evaluación del impacto ambiental</w:t>
      </w:r>
    </w:p>
    <w:p>
      <w:pPr>
        <w:pStyle w:val="Heading2"/>
      </w:pPr>
      <w:r>
        <w:t>6.1. Método</w:t>
      </w:r>
    </w:p>
    <w:p>
      <w:r>
        <w:t>Se aplica una evaluación comparativa simplificada, inspirada en el análisis de ciclo de vida: se define una unidad funcional común, se fijan los límites del sistema, se explicitan los supuestos y las fuentes, y se analiza cuánto cambia el resultado cuando cambian los supuestos.</w:t>
      </w:r>
    </w:p>
    <w:p>
      <w:pPr>
        <w:pStyle w:val="ListBullet"/>
      </w:pPr>
      <w:r>
        <w:rPr>
          <w:b/>
        </w:rPr>
        <w:t xml:space="preserve">Unidad funcional: </w:t>
      </w:r>
      <w:r>
        <w:t>un año de operación comercial con 36 ventas (tres por mes, la meta del embudo) y 1.296 visitas al sitio (108 por mes).</w:t>
      </w:r>
    </w:p>
    <w:p>
      <w:pPr>
        <w:pStyle w:val="ListBullet"/>
      </w:pPr>
      <w:r>
        <w:rPr>
          <w:b/>
        </w:rPr>
        <w:t xml:space="preserve">Indicadores: </w:t>
      </w:r>
      <w:r>
        <w:t>consumo de madera nativa, en kilogramos, y emisiones de gases de efecto invernadero, en kilogramos de CO₂ equivalente.</w:t>
      </w:r>
    </w:p>
    <w:p>
      <w:pPr>
        <w:pStyle w:val="ListBullet"/>
      </w:pPr>
      <w:r>
        <w:rPr>
          <w:b/>
        </w:rPr>
        <w:t xml:space="preserve">Escenarios: </w:t>
      </w:r>
      <w:r>
        <w:t>(A) comercio tradicional con local; (B) e-commerce que vende piezas reales por encargo; (C) Woodbird desmaterializado.</w:t>
      </w:r>
    </w:p>
    <w:p>
      <w:pPr>
        <w:pStyle w:val="ListBullet"/>
      </w:pPr>
      <w:r>
        <w:rPr>
          <w:b/>
        </w:rPr>
        <w:t xml:space="preserve">Límites: </w:t>
      </w:r>
      <w:r>
        <w:t>se incluye la operación comercial (local, visitas de clientes, envíos, tráfico web y generación de imágenes). Se excluyen, en todos los escenarios, el tallado (que es igual en A y B), la fabricación de los equipos y el trabajo de desarrollo o administración.</w:t>
      </w:r>
    </w:p>
    <w:p>
      <w:pPr>
        <w:pStyle w:val="Heading2"/>
      </w:pPr>
      <w:r>
        <w:t>6.2. Consumo de madera nativa</w:t>
      </w:r>
    </w:p>
    <w:p>
      <w:r>
        <w:t>La madera de cada pieza se estima a partir del bloque de partida, cuyo largo es la medida del ave y cuyo ancho y espesor son el 45 % y el 35 % de esa medida. La masa surge de multiplicar el volumen por la densidad de cada especie:</w:t>
      </w:r>
    </w:p>
    <w:p>
      <w:pPr>
        <w:jc w:val="center"/>
      </w:pPr>
      <w:r>
        <w:rPr>
          <w:i/>
        </w:rPr>
        <w:t>m = h × (0,45 h) × (0,35 h) × ρ</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402"/>
            <w:shd w:val="clear" w:color="auto" w:fill="2F4B3C"/>
          </w:tcPr>
          <w:p>
            <w:r>
              <w:rPr>
                <w:b/>
                <w:color w:val="FFFFFF"/>
                <w:sz w:val="18"/>
              </w:rPr>
              <w:t>Especie</w:t>
            </w:r>
          </w:p>
        </w:tc>
        <w:tc>
          <w:tcPr>
            <w:tcW w:type="dxa" w:w="2494"/>
            <w:shd w:val="clear" w:color="auto" w:fill="2F4B3C"/>
          </w:tcPr>
          <w:p>
            <w:r>
              <w:rPr>
                <w:b/>
                <w:color w:val="FFFFFF"/>
                <w:sz w:val="18"/>
              </w:rPr>
              <w:t>Densidad (g/cm³)</w:t>
            </w:r>
          </w:p>
        </w:tc>
        <w:tc>
          <w:tcPr>
            <w:tcW w:type="dxa" w:w="3175"/>
            <w:shd w:val="clear" w:color="auto" w:fill="2F4B3C"/>
          </w:tcPr>
          <w:p>
            <w:r>
              <w:rPr>
                <w:b/>
                <w:color w:val="FFFFFF"/>
                <w:sz w:val="18"/>
              </w:rPr>
              <w:t>Fuente</w:t>
            </w:r>
          </w:p>
        </w:tc>
      </w:tr>
      <w:tr>
        <w:trPr>
          <w:cantSplit/>
        </w:trPr>
        <w:tc>
          <w:tcPr>
            <w:tcW w:type="dxa" w:w="3402"/>
          </w:tcPr>
          <w:p>
            <w:r>
              <w:rPr>
                <w:b/>
                <w:sz w:val="18"/>
              </w:rPr>
              <w:t>Palo santo (Gonopterodendron sarmientoi)</w:t>
            </w:r>
          </w:p>
        </w:tc>
        <w:tc>
          <w:tcPr>
            <w:tcW w:type="dxa" w:w="2494"/>
          </w:tcPr>
          <w:p>
            <w:r>
              <w:rPr>
                <w:b w:val="0"/>
                <w:sz w:val="18"/>
              </w:rPr>
              <w:t>0,92 a 1,28 (se usa 1,10)</w:t>
            </w:r>
          </w:p>
        </w:tc>
        <w:tc>
          <w:tcPr>
            <w:tcW w:type="dxa" w:w="3175"/>
          </w:tcPr>
          <w:p>
            <w:r>
              <w:rPr>
                <w:b w:val="0"/>
                <w:sz w:val="18"/>
              </w:rPr>
              <w:t>TRAFFIC, análisis de la propuesta CITES CoP15 (0,92 a 1,1); Wikipedia, Bulnesia sarmientoi (0,99 a 1,28)</w:t>
            </w:r>
          </w:p>
        </w:tc>
      </w:tr>
      <w:tr>
        <w:trPr>
          <w:cantSplit/>
        </w:trPr>
        <w:tc>
          <w:tcPr>
            <w:tcW w:type="dxa" w:w="3402"/>
          </w:tcPr>
          <w:p>
            <w:r>
              <w:rPr>
                <w:b/>
                <w:sz w:val="18"/>
              </w:rPr>
              <w:t>Algarrobo (Prosopis spp.)</w:t>
            </w:r>
          </w:p>
        </w:tc>
        <w:tc>
          <w:tcPr>
            <w:tcW w:type="dxa" w:w="2494"/>
          </w:tcPr>
          <w:p>
            <w:r>
              <w:rPr>
                <w:b w:val="0"/>
                <w:sz w:val="18"/>
              </w:rPr>
              <w:t>0,75 a 0,85 (se usa 0,80)</w:t>
            </w:r>
          </w:p>
        </w:tc>
        <w:tc>
          <w:tcPr>
            <w:tcW w:type="dxa" w:w="3175"/>
          </w:tcPr>
          <w:p>
            <w:r>
              <w:rPr>
                <w:b w:val="0"/>
                <w:sz w:val="18"/>
              </w:rPr>
              <w:t>Maderas en Argentina, ficha técnica</w:t>
            </w:r>
          </w:p>
        </w:tc>
      </w:tr>
      <w:tr>
        <w:trPr>
          <w:cantSplit/>
        </w:trPr>
        <w:tc>
          <w:tcPr>
            <w:tcW w:type="dxa" w:w="3402"/>
          </w:tcPr>
          <w:p>
            <w:r>
              <w:rPr>
                <w:b/>
                <w:sz w:val="18"/>
              </w:rPr>
              <w:t>Quebracho colorado (Schinopsis spp.)</w:t>
            </w:r>
          </w:p>
        </w:tc>
        <w:tc>
          <w:tcPr>
            <w:tcW w:type="dxa" w:w="2494"/>
          </w:tcPr>
          <w:p>
            <w:r>
              <w:rPr>
                <w:b w:val="0"/>
                <w:sz w:val="18"/>
              </w:rPr>
              <w:t>1,25</w:t>
            </w:r>
          </w:p>
        </w:tc>
        <w:tc>
          <w:tcPr>
            <w:tcW w:type="dxa" w:w="3175"/>
          </w:tcPr>
          <w:p>
            <w:r>
              <w:rPr>
                <w:b w:val="0"/>
                <w:sz w:val="18"/>
              </w:rPr>
              <w:t>Maderas en Argentina, ficha técnica</w:t>
            </w:r>
          </w:p>
        </w:tc>
      </w:tr>
    </w:tbl>
    <w:p/>
    <w:p>
      <w:r>
        <w:t>Aplicada a los 12 modelos del catálogo (productos.json), la fórmula da un promedio de 1,96 kg de madera por pieza. El comercio tradicional consume 48 piezas por año (36 vendidas y 12 exhibidas), es decir 94,3 kg de madera nativa (entre 88,4 y 100,1 kg según la densidad). De ese total, 32,9 kg son de palo santo, una especie protegida. El e-commerce con piezas reales trabaja por encargo y no exhibe stock: 70,7 kg. Woodbird consume cero.</w:t>
      </w:r>
    </w:p>
    <w:p>
      <w:r>
        <w:t>Una aclaración de rigor: la madera tallada no emite su carbono, porque lo conserva mientras la pieza existe. El impacto de la tala es sobre la biodiversidad del bosque chaqueño, no sobre las emisiones. Por eso se mide en kilogramos de madera y no se convierte en CO₂.</w:t>
      </w:r>
    </w:p>
    <w:p>
      <w:pPr>
        <w:pStyle w:val="Heading2"/>
      </w:pPr>
      <w:r>
        <w:t>6.3. Emisiones de gases de efecto invernadero</w:t>
      </w:r>
    </w:p>
    <w:p>
      <w:r>
        <w:t>Todas las emisiones eléctricas usan el factor de emisión de la red argentina de 2023 calculado por la Secretaría de Energía (0,429 kg CO₂ por kWh, margen de operación simple). Es el más alto de los que publica y, por lo tanto, conservador para Woodbird.</w:t>
      </w:r>
    </w:p>
    <w:p>
      <w:pPr>
        <w:keepNext/>
      </w:pPr>
      <w:r>
        <w:rPr>
          <w:b/>
        </w:rPr>
        <w:t>Escenario A, comercio tradicional.</w:t>
      </w:r>
    </w:p>
    <w:p>
      <w:pPr>
        <w:pStyle w:val="ListBullet"/>
      </w:pPr>
      <w:r>
        <w:rPr>
          <w:b/>
        </w:rPr>
        <w:t xml:space="preserve">Energía del local: </w:t>
      </w:r>
      <w:r>
        <w:t>iluminación de 400 W, 10 h por día y 300 días (1.200 kWh); climatización de 1.100 W, 8 h por día y 150 días de calor (1.320 kWh); caja, equipos y vidriera de 150 W (450 kWh). Total: 2.970 kWh × 0,429 = 1.274 kg CO₂e.</w:t>
      </w:r>
    </w:p>
    <w:p>
      <w:pPr>
        <w:pStyle w:val="ListBullet"/>
      </w:pPr>
      <w:r>
        <w:rPr>
          <w:b/>
        </w:rPr>
        <w:t xml:space="preserve">Traslado de clientes: </w:t>
      </w:r>
      <w:r>
        <w:t>si compra uno de cada 5 visitantes, las 36 ventas suponen 180 visitas. Si la mitad llega en un viaje dedicado en auto, a 4,274 kg CO₂ por viaje (Edwards, McKinnon y Cullinane, 2010), el resultado es 385 kg CO₂e.</w:t>
      </w:r>
    </w:p>
    <w:p>
      <w:pPr>
        <w:keepNext/>
      </w:pPr>
      <w:r>
        <w:rPr>
          <w:b/>
        </w:rPr>
        <w:t>Escenario B, e-commerce con piezas reales.</w:t>
      </w:r>
    </w:p>
    <w:p>
      <w:r>
        <w:t>Sin local ni viajes de clientes. Se suma la última milla del envío, 181 g de CO₂ por entrega exitosa según el mismo estudio: 36 × 0,181 = 6,5 kg CO₂e. Se suma también el tráfico web, igual al del escenario C.</w:t>
      </w:r>
    </w:p>
    <w:p>
      <w:pPr>
        <w:keepNext/>
      </w:pPr>
      <w:r>
        <w:rPr>
          <w:b/>
        </w:rPr>
        <w:t>Escenario C, Woodbird.</w:t>
      </w:r>
    </w:p>
    <w:p>
      <w:pPr>
        <w:pStyle w:val="ListBullet"/>
      </w:pPr>
      <w:r>
        <w:rPr>
          <w:b/>
        </w:rPr>
        <w:t xml:space="preserve">Tráfico web: </w:t>
      </w:r>
      <w:r>
        <w:t>cada visita descarga 0,86 MB, medidos sobre el sitio: 34 kB de código y datos, 227 kB de tipografías y 12 imágenes de 50 kB (supuesto). El modelo Sustainable Web Design v4 asigna 0,300 kWh por GB transferido, sumando centros de datos, redes y dispositivos, con su consumo operativo y su energía incorporada.</w:t>
      </w:r>
    </w:p>
    <w:p>
      <w:pPr>
        <w:jc w:val="center"/>
      </w:pPr>
      <w:r>
        <w:rPr>
          <w:i/>
        </w:rPr>
        <w:t>E = 1.296 visitas × 0,00086 GB × 0,300 kWh/GB × 0,429 kg/kWh = 0,144 kg CO₂e</w:t>
      </w:r>
    </w:p>
    <w:p>
      <w:pPr>
        <w:pStyle w:val="ListBullet"/>
      </w:pPr>
      <w:r>
        <w:rPr>
          <w:b/>
        </w:rPr>
        <w:t xml:space="preserve">Generación de imágenes con IA: </w:t>
      </w:r>
      <w:r>
        <w:t>12 imágenes con 10 intentos cada una, a 2,907 kWh cada 1.000 imágenes (promedio medido por Luccioni, Jernite y Strubell, 2024): 0,349 kWh, es decir 0,150 kg CO₂e. Es un costo que se paga una sola vez, pero se imputa completo al primer año.</w:t>
      </w:r>
    </w:p>
    <w:p>
      <w:pPr>
        <w:pStyle w:val="Heading2"/>
      </w:pPr>
      <w:r>
        <w:t>6.4. Resultados</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835"/>
            <w:shd w:val="clear" w:color="auto" w:fill="2F4B3C"/>
          </w:tcPr>
          <w:p>
            <w:r>
              <w:rPr>
                <w:b/>
                <w:color w:val="FFFFFF"/>
                <w:sz w:val="18"/>
              </w:rPr>
              <w:t>Indicador (por año)</w:t>
            </w:r>
          </w:p>
        </w:tc>
        <w:tc>
          <w:tcPr>
            <w:tcW w:type="dxa" w:w="1928"/>
            <w:shd w:val="clear" w:color="auto" w:fill="2F4B3C"/>
          </w:tcPr>
          <w:p>
            <w:r>
              <w:rPr>
                <w:b/>
                <w:color w:val="FFFFFF"/>
                <w:sz w:val="18"/>
              </w:rPr>
              <w:t>A. Tradicional</w:t>
            </w:r>
          </w:p>
        </w:tc>
        <w:tc>
          <w:tcPr>
            <w:tcW w:type="dxa" w:w="2381"/>
            <w:shd w:val="clear" w:color="auto" w:fill="2F4B3C"/>
          </w:tcPr>
          <w:p>
            <w:r>
              <w:rPr>
                <w:b/>
                <w:color w:val="FFFFFF"/>
                <w:sz w:val="18"/>
              </w:rPr>
              <w:t>B. Online con piezas reales</w:t>
            </w:r>
          </w:p>
        </w:tc>
        <w:tc>
          <w:tcPr>
            <w:tcW w:type="dxa" w:w="1928"/>
            <w:shd w:val="clear" w:color="auto" w:fill="2F4B3C"/>
          </w:tcPr>
          <w:p>
            <w:r>
              <w:rPr>
                <w:b/>
                <w:color w:val="FFFFFF"/>
                <w:sz w:val="18"/>
              </w:rPr>
              <w:t>C. Woodbird</w:t>
            </w:r>
          </w:p>
        </w:tc>
      </w:tr>
      <w:tr>
        <w:trPr>
          <w:cantSplit/>
        </w:trPr>
        <w:tc>
          <w:tcPr>
            <w:tcW w:type="dxa" w:w="2835"/>
          </w:tcPr>
          <w:p>
            <w:r>
              <w:rPr>
                <w:b/>
                <w:sz w:val="18"/>
              </w:rPr>
              <w:t>Energía del local</w:t>
            </w:r>
          </w:p>
        </w:tc>
        <w:tc>
          <w:tcPr>
            <w:tcW w:type="dxa" w:w="1928"/>
          </w:tcPr>
          <w:p>
            <w:r>
              <w:rPr>
                <w:b w:val="0"/>
                <w:sz w:val="18"/>
              </w:rPr>
              <w:t>1.274 kg</w:t>
            </w:r>
          </w:p>
        </w:tc>
        <w:tc>
          <w:tcPr>
            <w:tcW w:type="dxa" w:w="2381"/>
          </w:tcPr>
          <w:p>
            <w:r>
              <w:rPr>
                <w:b w:val="0"/>
                <w:sz w:val="18"/>
              </w:rPr>
              <w:t>—</w:t>
            </w:r>
          </w:p>
        </w:tc>
        <w:tc>
          <w:tcPr>
            <w:tcW w:type="dxa" w:w="1928"/>
          </w:tcPr>
          <w:p>
            <w:r>
              <w:rPr>
                <w:b w:val="0"/>
                <w:sz w:val="18"/>
              </w:rPr>
              <w:t>—</w:t>
            </w:r>
          </w:p>
        </w:tc>
      </w:tr>
      <w:tr>
        <w:trPr>
          <w:cantSplit/>
        </w:trPr>
        <w:tc>
          <w:tcPr>
            <w:tcW w:type="dxa" w:w="2835"/>
          </w:tcPr>
          <w:p>
            <w:r>
              <w:rPr>
                <w:b/>
                <w:sz w:val="18"/>
              </w:rPr>
              <w:t>Traslado de clientes</w:t>
            </w:r>
          </w:p>
        </w:tc>
        <w:tc>
          <w:tcPr>
            <w:tcW w:type="dxa" w:w="1928"/>
          </w:tcPr>
          <w:p>
            <w:r>
              <w:rPr>
                <w:b w:val="0"/>
                <w:sz w:val="18"/>
              </w:rPr>
              <w:t>385 kg</w:t>
            </w:r>
          </w:p>
        </w:tc>
        <w:tc>
          <w:tcPr>
            <w:tcW w:type="dxa" w:w="2381"/>
          </w:tcPr>
          <w:p>
            <w:r>
              <w:rPr>
                <w:b w:val="0"/>
                <w:sz w:val="18"/>
              </w:rPr>
              <w:t>—</w:t>
            </w:r>
          </w:p>
        </w:tc>
        <w:tc>
          <w:tcPr>
            <w:tcW w:type="dxa" w:w="1928"/>
          </w:tcPr>
          <w:p>
            <w:r>
              <w:rPr>
                <w:b w:val="0"/>
                <w:sz w:val="18"/>
              </w:rPr>
              <w:t>—</w:t>
            </w:r>
          </w:p>
        </w:tc>
      </w:tr>
      <w:tr>
        <w:trPr>
          <w:cantSplit/>
        </w:trPr>
        <w:tc>
          <w:tcPr>
            <w:tcW w:type="dxa" w:w="2835"/>
          </w:tcPr>
          <w:p>
            <w:r>
              <w:rPr>
                <w:b/>
                <w:sz w:val="18"/>
              </w:rPr>
              <w:t>Envíos (última milla)</w:t>
            </w:r>
          </w:p>
        </w:tc>
        <w:tc>
          <w:tcPr>
            <w:tcW w:type="dxa" w:w="1928"/>
          </w:tcPr>
          <w:p>
            <w:r>
              <w:rPr>
                <w:b w:val="0"/>
                <w:sz w:val="18"/>
              </w:rPr>
              <w:t>—</w:t>
            </w:r>
          </w:p>
        </w:tc>
        <w:tc>
          <w:tcPr>
            <w:tcW w:type="dxa" w:w="2381"/>
          </w:tcPr>
          <w:p>
            <w:r>
              <w:rPr>
                <w:b w:val="0"/>
                <w:sz w:val="18"/>
              </w:rPr>
              <w:t>6,5 kg</w:t>
            </w:r>
          </w:p>
        </w:tc>
        <w:tc>
          <w:tcPr>
            <w:tcW w:type="dxa" w:w="1928"/>
          </w:tcPr>
          <w:p>
            <w:r>
              <w:rPr>
                <w:b w:val="0"/>
                <w:sz w:val="18"/>
              </w:rPr>
              <w:t>—</w:t>
            </w:r>
          </w:p>
        </w:tc>
      </w:tr>
      <w:tr>
        <w:trPr>
          <w:cantSplit/>
        </w:trPr>
        <w:tc>
          <w:tcPr>
            <w:tcW w:type="dxa" w:w="2835"/>
          </w:tcPr>
          <w:p>
            <w:r>
              <w:rPr>
                <w:b/>
                <w:sz w:val="18"/>
              </w:rPr>
              <w:t>Tráfico web</w:t>
            </w:r>
          </w:p>
        </w:tc>
        <w:tc>
          <w:tcPr>
            <w:tcW w:type="dxa" w:w="1928"/>
          </w:tcPr>
          <w:p>
            <w:r>
              <w:rPr>
                <w:b w:val="0"/>
                <w:sz w:val="18"/>
              </w:rPr>
              <w:t>—</w:t>
            </w:r>
          </w:p>
        </w:tc>
        <w:tc>
          <w:tcPr>
            <w:tcW w:type="dxa" w:w="2381"/>
          </w:tcPr>
          <w:p>
            <w:r>
              <w:rPr>
                <w:b w:val="0"/>
                <w:sz w:val="18"/>
              </w:rPr>
              <w:t>0,14 kg</w:t>
            </w:r>
          </w:p>
        </w:tc>
        <w:tc>
          <w:tcPr>
            <w:tcW w:type="dxa" w:w="1928"/>
          </w:tcPr>
          <w:p>
            <w:r>
              <w:rPr>
                <w:b w:val="0"/>
                <w:sz w:val="18"/>
              </w:rPr>
              <w:t>0,14 kg</w:t>
            </w:r>
          </w:p>
        </w:tc>
      </w:tr>
      <w:tr>
        <w:trPr>
          <w:cantSplit/>
        </w:trPr>
        <w:tc>
          <w:tcPr>
            <w:tcW w:type="dxa" w:w="2835"/>
          </w:tcPr>
          <w:p>
            <w:r>
              <w:rPr>
                <w:b/>
                <w:sz w:val="18"/>
              </w:rPr>
              <w:t>Generación de imágenes con IA</w:t>
            </w:r>
          </w:p>
        </w:tc>
        <w:tc>
          <w:tcPr>
            <w:tcW w:type="dxa" w:w="1928"/>
          </w:tcPr>
          <w:p>
            <w:r>
              <w:rPr>
                <w:b w:val="0"/>
                <w:sz w:val="18"/>
              </w:rPr>
              <w:t>—</w:t>
            </w:r>
          </w:p>
        </w:tc>
        <w:tc>
          <w:tcPr>
            <w:tcW w:type="dxa" w:w="2381"/>
          </w:tcPr>
          <w:p>
            <w:r>
              <w:rPr>
                <w:b w:val="0"/>
                <w:sz w:val="18"/>
              </w:rPr>
              <w:t>—</w:t>
            </w:r>
          </w:p>
        </w:tc>
        <w:tc>
          <w:tcPr>
            <w:tcW w:type="dxa" w:w="1928"/>
          </w:tcPr>
          <w:p>
            <w:r>
              <w:rPr>
                <w:b w:val="0"/>
                <w:sz w:val="18"/>
              </w:rPr>
              <w:t>0,15 kg</w:t>
            </w:r>
          </w:p>
        </w:tc>
      </w:tr>
      <w:tr>
        <w:trPr>
          <w:cantSplit/>
        </w:trPr>
        <w:tc>
          <w:tcPr>
            <w:tcW w:type="dxa" w:w="2835"/>
            <w:shd w:val="clear" w:color="auto" w:fill="E8EDE9"/>
          </w:tcPr>
          <w:p>
            <w:r>
              <w:rPr>
                <w:b/>
                <w:sz w:val="18"/>
              </w:rPr>
              <w:t>Total de emisiones (CO₂e)</w:t>
            </w:r>
          </w:p>
        </w:tc>
        <w:tc>
          <w:tcPr>
            <w:tcW w:type="dxa" w:w="1928"/>
            <w:shd w:val="clear" w:color="auto" w:fill="E8EDE9"/>
          </w:tcPr>
          <w:p>
            <w:r>
              <w:rPr>
                <w:b/>
                <w:sz w:val="18"/>
              </w:rPr>
              <w:t>1.659 kg</w:t>
            </w:r>
          </w:p>
        </w:tc>
        <w:tc>
          <w:tcPr>
            <w:tcW w:type="dxa" w:w="2381"/>
            <w:shd w:val="clear" w:color="auto" w:fill="E8EDE9"/>
          </w:tcPr>
          <w:p>
            <w:r>
              <w:rPr>
                <w:b/>
                <w:sz w:val="18"/>
              </w:rPr>
              <w:t>6,7 kg</w:t>
            </w:r>
          </w:p>
        </w:tc>
        <w:tc>
          <w:tcPr>
            <w:tcW w:type="dxa" w:w="1928"/>
            <w:shd w:val="clear" w:color="auto" w:fill="E8EDE9"/>
          </w:tcPr>
          <w:p>
            <w:r>
              <w:rPr>
                <w:b/>
                <w:sz w:val="18"/>
              </w:rPr>
              <w:t>0,29 kg</w:t>
            </w:r>
          </w:p>
        </w:tc>
      </w:tr>
    </w:tbl>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835"/>
            <w:shd w:val="clear" w:color="auto" w:fill="2F4B3C"/>
          </w:tcPr>
          <w:p>
            <w:r>
              <w:rPr>
                <w:b/>
                <w:color w:val="FFFFFF"/>
                <w:sz w:val="18"/>
              </w:rPr>
              <w:t>Indicador (por año)</w:t>
            </w:r>
          </w:p>
        </w:tc>
        <w:tc>
          <w:tcPr>
            <w:tcW w:type="dxa" w:w="1928"/>
            <w:shd w:val="clear" w:color="auto" w:fill="2F4B3C"/>
          </w:tcPr>
          <w:p>
            <w:r>
              <w:rPr>
                <w:b/>
                <w:color w:val="FFFFFF"/>
                <w:sz w:val="18"/>
              </w:rPr>
              <w:t>A. Tradicional</w:t>
            </w:r>
          </w:p>
        </w:tc>
        <w:tc>
          <w:tcPr>
            <w:tcW w:type="dxa" w:w="2381"/>
            <w:shd w:val="clear" w:color="auto" w:fill="2F4B3C"/>
          </w:tcPr>
          <w:p>
            <w:r>
              <w:rPr>
                <w:b/>
                <w:color w:val="FFFFFF"/>
                <w:sz w:val="18"/>
              </w:rPr>
              <w:t>B. Online con piezas reales</w:t>
            </w:r>
          </w:p>
        </w:tc>
        <w:tc>
          <w:tcPr>
            <w:tcW w:type="dxa" w:w="1928"/>
            <w:shd w:val="clear" w:color="auto" w:fill="2F4B3C"/>
          </w:tcPr>
          <w:p>
            <w:r>
              <w:rPr>
                <w:b/>
                <w:color w:val="FFFFFF"/>
                <w:sz w:val="18"/>
              </w:rPr>
              <w:t>C. Woodbird</w:t>
            </w:r>
          </w:p>
        </w:tc>
      </w:tr>
      <w:tr>
        <w:trPr>
          <w:cantSplit/>
        </w:trPr>
        <w:tc>
          <w:tcPr>
            <w:tcW w:type="dxa" w:w="2835"/>
          </w:tcPr>
          <w:p>
            <w:r>
              <w:rPr>
                <w:b/>
                <w:sz w:val="18"/>
              </w:rPr>
              <w:t>Madera nativa consumida</w:t>
            </w:r>
          </w:p>
        </w:tc>
        <w:tc>
          <w:tcPr>
            <w:tcW w:type="dxa" w:w="1928"/>
          </w:tcPr>
          <w:p>
            <w:r>
              <w:rPr>
                <w:b w:val="0"/>
                <w:sz w:val="18"/>
              </w:rPr>
              <w:t>94,3 kg</w:t>
            </w:r>
          </w:p>
        </w:tc>
        <w:tc>
          <w:tcPr>
            <w:tcW w:type="dxa" w:w="2381"/>
          </w:tcPr>
          <w:p>
            <w:r>
              <w:rPr>
                <w:b w:val="0"/>
                <w:sz w:val="18"/>
              </w:rPr>
              <w:t>70,7 kg</w:t>
            </w:r>
          </w:p>
        </w:tc>
        <w:tc>
          <w:tcPr>
            <w:tcW w:type="dxa" w:w="1928"/>
          </w:tcPr>
          <w:p>
            <w:r>
              <w:rPr>
                <w:b w:val="0"/>
                <w:sz w:val="18"/>
              </w:rPr>
              <w:t>0 kg</w:t>
            </w:r>
          </w:p>
        </w:tc>
      </w:tr>
      <w:tr>
        <w:trPr>
          <w:cantSplit/>
        </w:trPr>
        <w:tc>
          <w:tcPr>
            <w:tcW w:type="dxa" w:w="2835"/>
          </w:tcPr>
          <w:p>
            <w:r>
              <w:rPr>
                <w:b/>
                <w:sz w:val="18"/>
              </w:rPr>
              <w:t>De la cual, palo santo</w:t>
            </w:r>
          </w:p>
        </w:tc>
        <w:tc>
          <w:tcPr>
            <w:tcW w:type="dxa" w:w="1928"/>
          </w:tcPr>
          <w:p>
            <w:r>
              <w:rPr>
                <w:b w:val="0"/>
                <w:sz w:val="18"/>
              </w:rPr>
              <w:t>32,9 kg</w:t>
            </w:r>
          </w:p>
        </w:tc>
        <w:tc>
          <w:tcPr>
            <w:tcW w:type="dxa" w:w="2381"/>
          </w:tcPr>
          <w:p>
            <w:r>
              <w:rPr>
                <w:b w:val="0"/>
                <w:sz w:val="18"/>
              </w:rPr>
              <w:t>24,7 kg</w:t>
            </w:r>
          </w:p>
        </w:tc>
        <w:tc>
          <w:tcPr>
            <w:tcW w:type="dxa" w:w="1928"/>
          </w:tcPr>
          <w:p>
            <w:r>
              <w:rPr>
                <w:b w:val="0"/>
                <w:sz w:val="18"/>
              </w:rPr>
              <w:t>0 kg</w:t>
            </w:r>
          </w:p>
        </w:tc>
      </w:tr>
    </w:tbl>
    <w:p/>
    <w:p>
      <w:pPr>
        <w:keepNext/>
        <w:jc w:val="center"/>
      </w:pPr>
      <w:r>
        <w:drawing>
          <wp:inline xmlns:a="http://schemas.openxmlformats.org/drawingml/2006/main" xmlns:pic="http://schemas.openxmlformats.org/drawingml/2006/picture">
            <wp:extent cx="5940000" cy="2135422"/>
            <wp:docPr id="1" name="Picture 1"/>
            <wp:cNvGraphicFramePr>
              <a:graphicFrameLocks noChangeAspect="1"/>
            </wp:cNvGraphicFramePr>
            <a:graphic>
              <a:graphicData uri="http://schemas.openxmlformats.org/drawingml/2006/picture">
                <pic:pic>
                  <pic:nvPicPr>
                    <pic:cNvPr id="0" name="figura_impacto.png"/>
                    <pic:cNvPicPr/>
                  </pic:nvPicPr>
                  <pic:blipFill>
                    <a:blip r:embed="rId11"/>
                    <a:stretch>
                      <a:fillRect/>
                    </a:stretch>
                  </pic:blipFill>
                  <pic:spPr>
                    <a:xfrm>
                      <a:off x="0" y="0"/>
                      <a:ext cx="5940000" cy="2135422"/>
                    </a:xfrm>
                    <a:prstGeom prst="rect"/>
                  </pic:spPr>
                </pic:pic>
              </a:graphicData>
            </a:graphic>
          </wp:inline>
        </w:drawing>
      </w:r>
    </w:p>
    <w:p>
      <w:pPr>
        <w:jc w:val="center"/>
      </w:pPr>
      <w:r>
        <w:rPr>
          <w:i/>
        </w:rPr>
        <w:t>Figura 1. Emisiones y consumo de madera por año en los tres escenarios. Cada panel tiene su propia escala. En emisiones, B y C son casi invisibles frente a A.</w:t>
      </w:r>
    </w:p>
    <w:p>
      <w:r>
        <w:t>Woodbird emite 0,29 kg de CO₂e por año, frente a 1.659 kg del comercio tradicional: una reducción del 99,98 %. El e-commerce con piezas reales ya logra una reducción del 99,6 %, porque la mayor parte de las emisiones del modelo tradicional viene del local y de los viajes de los clientes, no de la madera. En cambio, en consumo de madera el escenario B solo ahorra el stock exhibido. La única forma de llevarlo a cero es desmaterializar el producto, que es exactamente lo que confirma la tesis.</w:t>
      </w:r>
    </w:p>
    <w:p>
      <w:pPr>
        <w:pStyle w:val="Heading2"/>
      </w:pPr>
      <w:r>
        <w:t>6.5. Análisis de sensibilidad</w:t>
      </w:r>
    </w:p>
    <w:p>
      <w:r>
        <w:t>Los supuestos más inciertos se llevaron a sus extremos para comprobar si la conclusión cambia:</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3175"/>
            <w:shd w:val="clear" w:color="auto" w:fill="2F4B3C"/>
          </w:tcPr>
          <w:p>
            <w:r>
              <w:rPr>
                <w:b/>
                <w:color w:val="FFFFFF"/>
                <w:sz w:val="18"/>
              </w:rPr>
              <w:t>Supuesto</w:t>
            </w:r>
          </w:p>
        </w:tc>
        <w:tc>
          <w:tcPr>
            <w:tcW w:type="dxa" w:w="2948"/>
            <w:shd w:val="clear" w:color="auto" w:fill="2F4B3C"/>
          </w:tcPr>
          <w:p>
            <w:r>
              <w:rPr>
                <w:b/>
                <w:color w:val="FFFFFF"/>
                <w:sz w:val="18"/>
              </w:rPr>
              <w:t>Rango probado</w:t>
            </w:r>
          </w:p>
        </w:tc>
        <w:tc>
          <w:tcPr>
            <w:tcW w:type="dxa" w:w="2948"/>
            <w:shd w:val="clear" w:color="auto" w:fill="2F4B3C"/>
          </w:tcPr>
          <w:p>
            <w:r>
              <w:rPr>
                <w:b/>
                <w:color w:val="FFFFFF"/>
                <w:sz w:val="18"/>
              </w:rPr>
              <w:t>Resultado</w:t>
            </w:r>
          </w:p>
        </w:tc>
      </w:tr>
      <w:tr>
        <w:trPr>
          <w:cantSplit/>
        </w:trPr>
        <w:tc>
          <w:tcPr>
            <w:tcW w:type="dxa" w:w="3175"/>
          </w:tcPr>
          <w:p>
            <w:r>
              <w:rPr>
                <w:b/>
                <w:sz w:val="18"/>
              </w:rPr>
              <w:t>Tradicional: conversión, viajes en auto y energía del local</w:t>
            </w:r>
          </w:p>
        </w:tc>
        <w:tc>
          <w:tcPr>
            <w:tcW w:type="dxa" w:w="2948"/>
          </w:tcPr>
          <w:p>
            <w:r>
              <w:rPr>
                <w:b w:val="0"/>
                <w:sz w:val="18"/>
              </w:rPr>
              <w:t>Conversión del 10 % al 30 %; auto del 25 % al 75 %; energía ±30 %</w:t>
            </w:r>
          </w:p>
        </w:tc>
        <w:tc>
          <w:tcPr>
            <w:tcW w:type="dxa" w:w="2948"/>
          </w:tcPr>
          <w:p>
            <w:r>
              <w:rPr>
                <w:b w:val="0"/>
                <w:sz w:val="18"/>
              </w:rPr>
              <w:t>Entre 1.020 y 2.810 kg CO₂e por año</w:t>
            </w:r>
          </w:p>
        </w:tc>
      </w:tr>
      <w:tr>
        <w:trPr>
          <w:cantSplit/>
        </w:trPr>
        <w:tc>
          <w:tcPr>
            <w:tcW w:type="dxa" w:w="3175"/>
          </w:tcPr>
          <w:p>
            <w:r>
              <w:rPr>
                <w:b/>
                <w:sz w:val="18"/>
              </w:rPr>
              <w:t>Woodbird: triple de visitas y factor de emisión mundial (0,494)</w:t>
            </w:r>
          </w:p>
        </w:tc>
        <w:tc>
          <w:tcPr>
            <w:tcW w:type="dxa" w:w="2948"/>
          </w:tcPr>
          <w:p>
            <w:r>
              <w:rPr>
                <w:b w:val="0"/>
                <w:sz w:val="18"/>
              </w:rPr>
              <w:t>3.888 visitas por año</w:t>
            </w:r>
          </w:p>
        </w:tc>
        <w:tc>
          <w:tcPr>
            <w:tcW w:type="dxa" w:w="2948"/>
          </w:tcPr>
          <w:p>
            <w:r>
              <w:rPr>
                <w:b w:val="0"/>
                <w:sz w:val="18"/>
              </w:rPr>
              <w:t>1,01 kg CO₂e por año</w:t>
            </w:r>
          </w:p>
        </w:tc>
      </w:tr>
      <w:tr>
        <w:trPr>
          <w:cantSplit/>
        </w:trPr>
        <w:tc>
          <w:tcPr>
            <w:tcW w:type="dxa" w:w="3175"/>
          </w:tcPr>
          <w:p>
            <w:r>
              <w:rPr>
                <w:b/>
                <w:sz w:val="18"/>
              </w:rPr>
              <w:t>Densidad de las maderas</w:t>
            </w:r>
          </w:p>
        </w:tc>
        <w:tc>
          <w:tcPr>
            <w:tcW w:type="dxa" w:w="2948"/>
          </w:tcPr>
          <w:p>
            <w:r>
              <w:rPr>
                <w:b w:val="0"/>
                <w:sz w:val="18"/>
              </w:rPr>
              <w:t>Mínimos y máximos publicados</w:t>
            </w:r>
          </w:p>
        </w:tc>
        <w:tc>
          <w:tcPr>
            <w:tcW w:type="dxa" w:w="2948"/>
          </w:tcPr>
          <w:p>
            <w:r>
              <w:rPr>
                <w:b w:val="0"/>
                <w:sz w:val="18"/>
              </w:rPr>
              <w:t>Entre 88,4 y 100,1 kg de madera por año</w:t>
            </w:r>
          </w:p>
        </w:tc>
      </w:tr>
    </w:tbl>
    <w:p/>
    <w:p>
      <w:r>
        <w:t>En el peor caso para Woodbird y el mejor para el comercio tradicional, la diferencia sigue siendo de más de 1.000 veces. La conclusión no depende de los supuestos.</w:t>
      </w:r>
    </w:p>
    <w:p>
      <w:pPr>
        <w:pStyle w:val="Heading2"/>
      </w:pPr>
      <w:r>
        <w:t>6.6. Limitaciones</w:t>
      </w:r>
    </w:p>
    <w:p>
      <w:pPr>
        <w:pStyle w:val="ListBullet"/>
      </w:pPr>
      <w:r>
        <w:t>Los coeficientes de Edwards, McKinnon y Cullinane corresponden al Reino Unido en 2010. Los autos y la logística de Resistencia son distintos, pero el rango de sensibilidad cubre esa diferencia.</w:t>
      </w:r>
    </w:p>
    <w:p>
      <w:pPr>
        <w:pStyle w:val="ListBullet"/>
      </w:pPr>
      <w:r>
        <w:t>El consumo energético del local se estimó de abajo hacia arriba con potencias típicas, no con facturas reales. Un relevamiento en un comercio de la ciudad mejoraría la estimación.</w:t>
      </w:r>
    </w:p>
    <w:p>
      <w:pPr>
        <w:pStyle w:val="ListBullet"/>
      </w:pPr>
      <w:r>
        <w:t>Los centros de datos que alojan el sitio y generan las imágenes no están necesariamente en Argentina; por eso se probó también el factor mundial.</w:t>
      </w:r>
    </w:p>
    <w:p>
      <w:pPr>
        <w:pStyle w:val="ListBullet"/>
      </w:pPr>
      <w:r>
        <w:t>Hay efectos indirectos que no se midieron: el uso de Instagram para captar visitas (común a los tres escenarios) y un posible efecto rebote, si el ahorro de un modelo digital se traduce en más consumo en otro lado.</w:t>
      </w:r>
    </w:p>
    <w:p>
      <w:pPr>
        <w:pStyle w:val="ListBullet"/>
      </w:pPr>
      <w:r>
        <w:t>Woodbird no vende un producto físico, así que no es un sustituto perfecto del escenario A: compara una experiencia de compra y un catálogo, no la posesión de la pieza.</w:t>
      </w:r>
    </w:p>
    <w:p>
      <w:pPr>
        <w:pStyle w:val="Heading1"/>
      </w:pPr>
      <w:r>
        <w:t>7. Conclusión</w:t>
      </w:r>
    </w:p>
    <w:p>
      <w:r>
        <w:t>Frente al comercio tradicional, Woodbird cambia costos fijos por costos variables. Puede validarse con una venta al mes, donde un local necesita 27 piezas. Su logística mueve datos en vez de madera y personas, y puede cambiar de rumbo editando un archivo. Su software escala la demanda y el alcance sin agregar infraestructura física.</w:t>
      </w:r>
    </w:p>
    <w:p>
      <w:r>
        <w:t>La evaluación ambiental, con supuestos explícitos y fuentes verificables, muestra una reducción superior al 99 % en emisiones y el ahorro total de 94,3 kg anuales de madera nativa, de los cuales 32,9 kg serían de palo santo. También muestra algo menos obvio: vender por internet reduce las emisiones, pero solo la desmaterialización protege el bosque. Esa es la razón de fondo del modelo de Woodbird y su contribución concreta al triple impacto.</w:t>
      </w:r>
    </w:p>
    <w:p>
      <w:pPr>
        <w:pStyle w:val="Heading1"/>
      </w:pPr>
      <w:r>
        <w:t>8. Fuentes</w:t>
      </w:r>
    </w:p>
    <w:p>
      <w:pPr>
        <w:pStyle w:val="ListBullet"/>
      </w:pPr>
      <w:r>
        <w:t>Edwards, J. B., McKinnon, A. C. y Cullinane, S. L. (2010). Comparative analysis of the carbon footprints of conventional and online retailing: A «last mile» perspective. International Journal of Physical Distribution &amp; Logistics Management, 40(1/2), 103-123.</w:t>
      </w:r>
    </w:p>
    <w:p>
      <w:pPr>
        <w:pStyle w:val="ListBullet"/>
      </w:pPr>
      <w:r>
        <w:t>Luccioni, S., Jernite, Y. y Strubell, E. (2024). Power Hungry Processing: Watts Driving the Cost of AI Deployment? Conferencia ACM FAccT 2024.</w:t>
      </w:r>
    </w:p>
    <w:p>
      <w:pPr>
        <w:pStyle w:val="ListBullet"/>
      </w:pPr>
      <w:r>
        <w:t>Sustainable Web Design. Estimating Digital Emissions, modelo versión 4 — sustainablewebdesign.org.</w:t>
      </w:r>
    </w:p>
    <w:p>
      <w:pPr>
        <w:pStyle w:val="ListBullet"/>
      </w:pPr>
      <w:r>
        <w:t>Secretaría de Energía de la Nación. Cálculo del factor de emisión de CO₂ de la red argentina de energía eléctrica, 2013 a 2023 — datos.energia.gob.ar.</w:t>
      </w:r>
    </w:p>
    <w:p>
      <w:pPr>
        <w:pStyle w:val="ListBullet"/>
      </w:pPr>
      <w:r>
        <w:t>Mercado Pago. Comisiones y cargos para vendedores — mercadopago.com.ar/ayuda.</w:t>
      </w:r>
    </w:p>
    <w:p>
      <w:pPr>
        <w:pStyle w:val="ListBullet"/>
      </w:pPr>
      <w:r>
        <w:t>Argenprop y Zonaprop. Locales comerciales en alquiler en Resistencia, Chaco (consulta de septiembre de 2026).</w:t>
      </w:r>
    </w:p>
    <w:p>
      <w:pPr>
        <w:pStyle w:val="ListBullet"/>
      </w:pPr>
      <w:r>
        <w:t>Maderas en Argentina. Fichas técnicas de algarrobo y quebracho colorado — maderasenargentina.com.ar.</w:t>
      </w:r>
    </w:p>
    <w:p>
      <w:pPr>
        <w:pStyle w:val="ListBullet"/>
      </w:pPr>
      <w:r>
        <w:t>TRAFFIC. Análisis de la propuesta de inclusión de Bulnesia sarmientoi en el Apéndice II de CITES (CoP15, 2010).</w:t>
      </w:r>
    </w:p>
    <w:p>
      <w:pPr>
        <w:pStyle w:val="ListBullet"/>
      </w:pPr>
      <w:r>
        <w:t>Woodbird. Acta de Constitución, Informe de Marca y Dominios, Declaración de Triple Impacto y Declaración Ética de IA (Sprint 1); Estrategia de Canales y Embudo de Conversión (Sprint 2); productos.json.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b/>
      <w:bCs/>
      <w:color w:val="2F4B3C"/>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2F4B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Comparativo: Startup vs. Empresa Tradicional</dc:title>
  <dc:subject/>
  <dc:creator>Reiss Jorge Nicolás</dc:creator>
  <cp:keywords/>
  <dc:description>generated by python-docx</dc:description>
  <cp:lastModifiedBy/>
  <cp:revision>1</cp:revision>
  <dcterms:created xsi:type="dcterms:W3CDTF">2013-12-23T23:15:00Z</dcterms:created>
  <dcterms:modified xsi:type="dcterms:W3CDTF">2013-12-23T23:15:00Z</dcterms:modified>
  <cp:category/>
</cp:coreProperties>
</file>