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F4B3C"/>
          <w:sz w:val="36"/>
        </w:rPr>
        <w:t>JUSTIFICACIÓN DEL MODELO DE LICENCIAMIENTO</w:t>
      </w:r>
    </w:p>
    <w:p>
      <w:r>
        <w:rPr>
          <w:color w:val="444444"/>
          <w:sz w:val="24"/>
        </w:rPr>
        <w:t>Woodbird — Aves decorativas de madera</w:t>
      </w:r>
    </w:p>
    <w:tbl>
      <w:tblPr>
        <w:tblStyle w:val="TableGrid"/>
        <w:tblW w:type="auto" w:w="0"/>
        <w:tblLayout w:type="fixed"/>
        <w:tblLook w:firstColumn="1" w:firstRow="1" w:lastColumn="0" w:lastRow="0" w:noHBand="0" w:noVBand="1" w:val="04A0"/>
      </w:tblPr>
      <w:tblGrid>
        <w:gridCol w:w="4680"/>
        <w:gridCol w:w="4680"/>
      </w:tblGrid>
      <w:tr>
        <w:tc>
          <w:tcPr>
            <w:tcW w:type="dxa" w:w="2304"/>
            <w:shd w:val="clear" w:color="auto" w:fill="E8EDE9"/>
          </w:tcPr>
          <w:p>
            <w:pPr>
              <w:spacing w:after="0"/>
            </w:pPr>
            <w:r/>
            <w:r>
              <w:rPr>
                <w:b/>
              </w:rPr>
              <w:t>Materia</w:t>
            </w:r>
          </w:p>
        </w:tc>
        <w:tc>
          <w:tcPr>
            <w:tcW w:type="dxa" w:w="7056"/>
          </w:tcPr>
          <w:p>
            <w:pPr>
              <w:spacing w:after="0"/>
            </w:pPr>
            <w:r>
              <w:t>Legislación Informática (LI)</w:t>
            </w:r>
          </w:p>
        </w:tc>
      </w:tr>
      <w:tr>
        <w:tc>
          <w:tcPr>
            <w:tcW w:type="dxa" w:w="2304"/>
            <w:shd w:val="clear" w:color="auto" w:fill="E8EDE9"/>
          </w:tcPr>
          <w:p>
            <w:pPr>
              <w:spacing w:after="0"/>
            </w:pPr>
            <w:r/>
            <w:r>
              <w:rPr>
                <w:b/>
              </w:rPr>
              <w:t>Actividad</w:t>
            </w:r>
          </w:p>
        </w:tc>
        <w:tc>
          <w:tcPr>
            <w:tcW w:type="dxa" w:w="7056"/>
          </w:tcPr>
          <w:p>
            <w:pPr>
              <w:spacing w:after="0"/>
            </w:pPr>
            <w:r>
              <w:t>Sprint 2 — Justificación del Modelo de Licenciamiento</w:t>
            </w:r>
          </w:p>
        </w:tc>
      </w:tr>
      <w:tr>
        <w:tc>
          <w:tcPr>
            <w:tcW w:type="dxa" w:w="2304"/>
            <w:shd w:val="clear" w:color="auto" w:fill="E8EDE9"/>
          </w:tcPr>
          <w:p>
            <w:pPr>
              <w:spacing w:after="0"/>
            </w:pPr>
            <w:r/>
            <w:r>
              <w:rPr>
                <w:b/>
              </w:rPr>
              <w:t>Rol</w:t>
            </w:r>
          </w:p>
        </w:tc>
        <w:tc>
          <w:tcPr>
            <w:tcW w:type="dxa" w:w="7056"/>
          </w:tcPr>
          <w:p>
            <w:pPr>
              <w:spacing w:after="0"/>
            </w:pPr>
            <w:r>
              <w:t>Compliance Officer</w:t>
            </w:r>
          </w:p>
        </w:tc>
      </w:tr>
      <w:tr>
        <w:tc>
          <w:tcPr>
            <w:tcW w:type="dxa" w:w="2304"/>
            <w:shd w:val="clear" w:color="auto" w:fill="E8EDE9"/>
          </w:tcPr>
          <w:p>
            <w:pPr>
              <w:spacing w:after="0"/>
            </w:pPr>
            <w:r/>
            <w:r>
              <w:rPr>
                <w:b/>
              </w:rPr>
              <w:t>Startup</w:t>
            </w:r>
          </w:p>
        </w:tc>
        <w:tc>
          <w:tcPr>
            <w:tcW w:type="dxa" w:w="7056"/>
          </w:tcPr>
          <w:p>
            <w:pPr>
              <w:spacing w:after="0"/>
            </w:pPr>
            <w:r>
              <w:t>Woodbird — Aves decorativas de madera</w:t>
            </w:r>
          </w:p>
        </w:tc>
      </w:tr>
      <w:tr>
        <w:tc>
          <w:tcPr>
            <w:tcW w:type="dxa" w:w="2304"/>
            <w:shd w:val="clear" w:color="auto" w:fill="E8EDE9"/>
          </w:tcPr>
          <w:p>
            <w:pPr>
              <w:spacing w:after="0"/>
            </w:pPr>
            <w:r/>
            <w:r>
              <w:rPr>
                <w:b/>
              </w:rPr>
              <w:t>Autor</w:t>
            </w:r>
          </w:p>
        </w:tc>
        <w:tc>
          <w:tcPr>
            <w:tcW w:type="dxa" w:w="7056"/>
          </w:tcPr>
          <w:p>
            <w:pPr>
              <w:spacing w:after="0"/>
            </w:pPr>
            <w:r>
              <w:t>Reiss Jorge Nicolás</w:t>
            </w:r>
          </w:p>
        </w:tc>
      </w:tr>
      <w:tr>
        <w:tc>
          <w:tcPr>
            <w:tcW w:type="dxa" w:w="2304"/>
            <w:shd w:val="clear" w:color="auto" w:fill="E8EDE9"/>
          </w:tcPr>
          <w:p>
            <w:pPr>
              <w:spacing w:after="0"/>
            </w:pPr>
            <w:r/>
            <w:r>
              <w:rPr>
                <w:b/>
              </w:rPr>
              <w:t>Docente</w:t>
            </w:r>
          </w:p>
        </w:tc>
        <w:tc>
          <w:tcPr>
            <w:tcW w:type="dxa" w:w="7056"/>
          </w:tcPr>
          <w:p>
            <w:pPr>
              <w:spacing w:after="0"/>
            </w:pPr>
            <w:r>
              <w:t>Ibañez Erick</w:t>
            </w:r>
          </w:p>
        </w:tc>
      </w:tr>
      <w:tr>
        <w:tc>
          <w:tcPr>
            <w:tcW w:type="dxa" w:w="2304"/>
            <w:shd w:val="clear" w:color="auto" w:fill="E8EDE9"/>
          </w:tcPr>
          <w:p>
            <w:pPr>
              <w:spacing w:after="0"/>
            </w:pPr>
            <w:r/>
            <w:r>
              <w:rPr>
                <w:b/>
              </w:rPr>
              <w:t>Fecha</w:t>
            </w:r>
          </w:p>
        </w:tc>
        <w:tc>
          <w:tcPr>
            <w:tcW w:type="dxa" w:w="7056"/>
          </w:tcPr>
          <w:p>
            <w:pPr>
              <w:spacing w:after="0"/>
            </w:pPr>
            <w:r>
              <w:t>23 de septiembre de 2026</w:t>
            </w:r>
          </w:p>
        </w:tc>
      </w:tr>
    </w:tbl>
    <w:p>
      <w:pPr>
        <w:pStyle w:val="Heading1"/>
      </w:pPr>
      <w:r>
        <w:t>1. Objeto del documento</w:t>
      </w:r>
    </w:p>
    <w:p>
      <w:r>
        <w:t>Este documento analiza y justifica las licencias que rigen el código fuente de la plataforma web Woodbird y sus producciones digitales asociadas. Para eso compara un modelo de código cerrado con los modelos de software libre (GNU GPL), las licencias permisivas y las licencias Creative Commons.</w:t>
      </w:r>
    </w:p>
    <w:p>
      <w:r>
        <w:t>La decisión ya se anticipó en la Declaración Ética de Uso de IA del Sprint 1 (apartado 4): código bajo GPLv3 y documentación bajo Creative Commons BY-NC-SA 4.0. Este documento fundamenta esa elección, la completa con los dos materiales que la declaración no cubría (las imágenes generadas con IA y la marca) y describe cómo quedó aplicada en el repositorio y en el sitio.</w:t>
      </w:r>
    </w:p>
    <w:p>
      <w:pPr>
        <w:pStyle w:val="Heading1"/>
      </w:pPr>
      <w:r>
        <w:t>2. Marco normativo aplicable</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1928"/>
            <w:shd w:val="clear" w:color="auto" w:fill="2F4B3C"/>
          </w:tcPr>
          <w:p>
            <w:r>
              <w:rPr>
                <w:b/>
                <w:color w:val="FFFFFF"/>
                <w:sz w:val="18"/>
              </w:rPr>
              <w:t>Norma</w:t>
            </w:r>
          </w:p>
        </w:tc>
        <w:tc>
          <w:tcPr>
            <w:tcW w:type="dxa" w:w="3515"/>
            <w:shd w:val="clear" w:color="auto" w:fill="2F4B3C"/>
          </w:tcPr>
          <w:p>
            <w:r>
              <w:rPr>
                <w:b/>
                <w:color w:val="FFFFFF"/>
                <w:sz w:val="18"/>
              </w:rPr>
              <w:t>Qué establece</w:t>
            </w:r>
          </w:p>
        </w:tc>
        <w:tc>
          <w:tcPr>
            <w:tcW w:type="dxa" w:w="3628"/>
            <w:shd w:val="clear" w:color="auto" w:fill="2F4B3C"/>
          </w:tcPr>
          <w:p>
            <w:r>
              <w:rPr>
                <w:b/>
                <w:color w:val="FFFFFF"/>
                <w:sz w:val="18"/>
              </w:rPr>
              <w:t>Aplicación en Woodbird</w:t>
            </w:r>
          </w:p>
        </w:tc>
      </w:tr>
      <w:tr>
        <w:trPr>
          <w:cantSplit/>
        </w:trPr>
        <w:tc>
          <w:tcPr>
            <w:tcW w:type="dxa" w:w="1928"/>
          </w:tcPr>
          <w:p>
            <w:r>
              <w:rPr>
                <w:b/>
                <w:sz w:val="18"/>
              </w:rPr>
              <w:t>Ley 11.723 de Propiedad Intelectual</w:t>
            </w:r>
          </w:p>
        </w:tc>
        <w:tc>
          <w:tcPr>
            <w:tcW w:type="dxa" w:w="3515"/>
          </w:tcPr>
          <w:p>
            <w:r>
              <w:rPr>
                <w:b w:val="0"/>
                <w:sz w:val="18"/>
              </w:rPr>
              <w:t>Protege las obras científicas, literarias y artísticas. El autor tiene la facultad exclusiva de disponer de su obra, publicarla, reproducirla y autorizar su uso (art. 2).</w:t>
            </w:r>
          </w:p>
        </w:tc>
        <w:tc>
          <w:tcPr>
            <w:tcW w:type="dxa" w:w="3628"/>
          </w:tcPr>
          <w:p>
            <w:r>
              <w:rPr>
                <w:b w:val="0"/>
                <w:sz w:val="18"/>
              </w:rPr>
              <w:t>El código y los documentos son obras de su autor. Como titular, es quien decide con qué condiciones pueden usarlos otras personas: eso es una licencia.</w:t>
            </w:r>
          </w:p>
        </w:tc>
      </w:tr>
      <w:tr>
        <w:trPr>
          <w:cantSplit/>
        </w:trPr>
        <w:tc>
          <w:tcPr>
            <w:tcW w:type="dxa" w:w="1928"/>
          </w:tcPr>
          <w:p>
            <w:r>
              <w:rPr>
                <w:b/>
                <w:sz w:val="18"/>
              </w:rPr>
              <w:t>Ley 25.036 (1998)</w:t>
            </w:r>
          </w:p>
        </w:tc>
        <w:tc>
          <w:tcPr>
            <w:tcW w:type="dxa" w:w="3515"/>
          </w:tcPr>
          <w:p>
            <w:r>
              <w:rPr>
                <w:b w:val="0"/>
                <w:sz w:val="18"/>
              </w:rPr>
              <w:t>Modifica la Ley 11.723 e incluye expresamente los programas de computación, fuente y objeto, entre las obras protegidas (art. 1).</w:t>
            </w:r>
          </w:p>
        </w:tc>
        <w:tc>
          <w:tcPr>
            <w:tcW w:type="dxa" w:w="3628"/>
          </w:tcPr>
          <w:p>
            <w:r>
              <w:rPr>
                <w:b w:val="0"/>
                <w:sz w:val="18"/>
              </w:rPr>
              <w:t>El HTML, el CSS y el JavaScript del sitio están protegidos por derecho de autor desde que se escribieron, sin necesidad de ningún trámite previo.</w:t>
            </w:r>
          </w:p>
        </w:tc>
      </w:tr>
      <w:tr>
        <w:trPr>
          <w:cantSplit/>
        </w:trPr>
        <w:tc>
          <w:tcPr>
            <w:tcW w:type="dxa" w:w="1928"/>
          </w:tcPr>
          <w:p>
            <w:r>
              <w:rPr>
                <w:b/>
                <w:sz w:val="18"/>
              </w:rPr>
              <w:t>Decreto 165/1994</w:t>
            </w:r>
          </w:p>
        </w:tc>
        <w:tc>
          <w:tcPr>
            <w:tcW w:type="dxa" w:w="3515"/>
          </w:tcPr>
          <w:p>
            <w:r>
              <w:rPr>
                <w:b w:val="0"/>
                <w:sz w:val="18"/>
              </w:rPr>
              <w:t>Define las obras de software: diseño, programas y documentación técnica.</w:t>
            </w:r>
          </w:p>
        </w:tc>
        <w:tc>
          <w:tcPr>
            <w:tcW w:type="dxa" w:w="3628"/>
          </w:tcPr>
          <w:p>
            <w:r>
              <w:rPr>
                <w:b w:val="0"/>
                <w:sz w:val="18"/>
              </w:rPr>
              <w:t>La documentación técnica del proyecto también es obra protegida y necesita su propia licencia.</w:t>
            </w:r>
          </w:p>
        </w:tc>
      </w:tr>
      <w:tr>
        <w:trPr>
          <w:cantSplit/>
        </w:trPr>
        <w:tc>
          <w:tcPr>
            <w:tcW w:type="dxa" w:w="1928"/>
          </w:tcPr>
          <w:p>
            <w:r>
              <w:rPr>
                <w:b/>
                <w:sz w:val="18"/>
              </w:rPr>
              <w:t>Ley 25.140 (1999)</w:t>
            </w:r>
          </w:p>
        </w:tc>
        <w:tc>
          <w:tcPr>
            <w:tcW w:type="dxa" w:w="3515"/>
          </w:tcPr>
          <w:p>
            <w:r>
              <w:rPr>
                <w:b w:val="0"/>
                <w:sz w:val="18"/>
              </w:rPr>
              <w:t>Aprueba el Convenio de Berna (Acta de París) y los tratados de la OMPI sobre derecho de autor.</w:t>
            </w:r>
          </w:p>
        </w:tc>
        <w:tc>
          <w:tcPr>
            <w:tcW w:type="dxa" w:w="3628"/>
          </w:tcPr>
          <w:p>
            <w:r>
              <w:rPr>
                <w:b w:val="0"/>
                <w:sz w:val="18"/>
              </w:rPr>
              <w:t>Da alcance internacional a la protección: las licencias elegidas valen también fuera del país.</w:t>
            </w:r>
          </w:p>
        </w:tc>
      </w:tr>
      <w:tr>
        <w:trPr>
          <w:cantSplit/>
        </w:trPr>
        <w:tc>
          <w:tcPr>
            <w:tcW w:type="dxa" w:w="1928"/>
          </w:tcPr>
          <w:p>
            <w:r>
              <w:rPr>
                <w:b/>
                <w:sz w:val="18"/>
              </w:rPr>
              <w:t>Ley 22.362 de Marcas</w:t>
            </w:r>
          </w:p>
        </w:tc>
        <w:tc>
          <w:tcPr>
            <w:tcW w:type="dxa" w:w="3515"/>
          </w:tcPr>
          <w:p>
            <w:r>
              <w:rPr>
                <w:b w:val="0"/>
                <w:sz w:val="18"/>
              </w:rPr>
              <w:t>Regula el derecho sobre las marcas registradas ante el INPI, que es independiente del derecho de autor.</w:t>
            </w:r>
          </w:p>
        </w:tc>
        <w:tc>
          <w:tcPr>
            <w:tcW w:type="dxa" w:w="3628"/>
          </w:tcPr>
          <w:p>
            <w:r>
              <w:rPr>
                <w:b w:val="0"/>
                <w:sz w:val="18"/>
              </w:rPr>
              <w:t>Licenciar el código o los textos no autoriza a usar el nombre «Woodbird». La marca se excluye expresamente (apartado 5).</w:t>
            </w:r>
          </w:p>
        </w:tc>
      </w:tr>
    </w:tbl>
    <w:p/>
    <w:p>
      <w:pPr>
        <w:pStyle w:val="Heading1"/>
      </w:pPr>
      <w:r>
        <w:t>3. Alternativas evaluadas</w:t>
      </w:r>
    </w:p>
    <w:p>
      <w:pPr>
        <w:pStyle w:val="Heading2"/>
      </w:pPr>
      <w:r>
        <w:t>3.1. Código cerrado (todos los derechos reservados)</w:t>
      </w:r>
    </w:p>
    <w:p>
      <w:r>
        <w:t>El titular conserva todos los derechos y nadie puede copiar, modificar ni redistribuir el código sin su autorización. Es el modelo habitual cuando el software en sí es el producto que se vende.</w:t>
      </w:r>
    </w:p>
    <w:p>
      <w:r>
        <w:t>En Woodbird tiene tres problemas concretos:</w:t>
      </w:r>
    </w:p>
    <w:p>
      <w:pPr>
        <w:pStyle w:val="ListBullet"/>
      </w:pPr>
      <w:r>
        <w:rPr>
          <w:b/>
        </w:rPr>
        <w:t xml:space="preserve">No oculta nada. </w:t>
      </w:r>
      <w:r>
        <w:t>El HTML, el CSS y el JavaScript de un sitio web se descargan completos en el navegador de cada visitante, que puede leerlos con la opción «Ver código fuente». Cerrar la licencia no impide que se vea el código: solo prohíbe reutilizarlo.</w:t>
      </w:r>
    </w:p>
    <w:p>
      <w:pPr>
        <w:pStyle w:val="ListBullet"/>
      </w:pPr>
      <w:r>
        <w:rPr>
          <w:b/>
        </w:rPr>
        <w:t xml:space="preserve">Choca con el proyecto. </w:t>
      </w:r>
      <w:r>
        <w:t>La consigna exige un repositorio Git colaborativo, y la Declaración Ética compromete a Woodbird con la «circulación abierta de saberes».</w:t>
      </w:r>
    </w:p>
    <w:p>
      <w:pPr>
        <w:pStyle w:val="ListBullet"/>
      </w:pPr>
      <w:r>
        <w:rPr>
          <w:b/>
        </w:rPr>
        <w:t xml:space="preserve">No protege lo valioso. </w:t>
      </w:r>
      <w:r>
        <w:t>La ventaja de Woodbird está en la marca, el oficio del tallado y la trazabilidad de la madera, no en el código de una tienda web estándar.</w:t>
      </w:r>
    </w:p>
    <w:p>
      <w:pPr>
        <w:pStyle w:val="Heading2"/>
      </w:pPr>
      <w:r>
        <w:t>3.2. Software libre con copyleft: GNU GPL versión 3</w:t>
      </w:r>
    </w:p>
    <w:p>
      <w:r>
        <w:t>Publicada por la Free Software Foundation el 29 de junio de 2007, garantiza las cuatro libertades del software libre: usar el programa, estudiarlo, compartirlo y modificarlo. Su rasgo central es el copyleft: quien distribuya una versión modificada debe hacerlo con la misma licencia y con el código fuente disponible. Así, nadie puede tomar el código libre y convertirlo en cerrado.</w:t>
      </w:r>
    </w:p>
    <w:p>
      <w:r>
        <w:t>Frente a la versión 2, la versión 3 agrega una licencia expresa de patentes, protección contra el bloqueo de modificaciones en dispositivos, compatibilidad con la licencia Apache 2.0 y la sección 7, que permite excluir derechos de marca (inciso e).</w:t>
      </w:r>
    </w:p>
    <w:p>
      <w:pPr>
        <w:pStyle w:val="Heading2"/>
      </w:pPr>
      <w:r>
        <w:t>3.3. Licencias permisivas (MIT, Apache 2.0)</w:t>
      </w:r>
    </w:p>
    <w:p>
      <w:r>
        <w:t>Permiten cualquier uso con la sola condición de conservar el aviso de autor. Son muy difundidas, pero admiten que un tercero incorpore el código a un producto cerrado sin devolver nada a la comunidad. Eso contradice el objetivo de que el conocimiento generado en el proyecto siga siendo abierto.</w:t>
      </w:r>
    </w:p>
    <w:p>
      <w:pPr>
        <w:pStyle w:val="Heading2"/>
      </w:pPr>
      <w:r>
        <w:t>3.4. Licencias Creative Commons</w:t>
      </w:r>
    </w:p>
    <w:p>
      <w:r>
        <w:t>Son adecuadas para textos, documentación e imágenes. La propia organización Creative Commons desaconseja usarlas para software, porque no regulan la distribución del código fuente ni las patentes. La versión 4.0 es internacional, así que no necesita adaptarse a la legislación argentina.</w:t>
      </w:r>
    </w:p>
    <w:p>
      <w:r>
        <w:t>La variante Atribución–NoComercial–CompartirIgual (BY-NC-SA) exige citar al autor, prohíbe el uso comercial por terceros y obliga a compartir las adaptaciones con la misma licencia.</w:t>
      </w:r>
    </w:p>
    <w:p>
      <w:pPr>
        <w:pStyle w:val="Heading2"/>
      </w:pPr>
      <w:r>
        <w:t>3.5. Comparación</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041"/>
            <w:shd w:val="clear" w:color="auto" w:fill="2F4B3C"/>
          </w:tcPr>
          <w:p>
            <w:r>
              <w:rPr>
                <w:b/>
                <w:color w:val="FFFFFF"/>
                <w:sz w:val="18"/>
              </w:rPr>
              <w:t>Criterio</w:t>
            </w:r>
          </w:p>
        </w:tc>
        <w:tc>
          <w:tcPr>
            <w:tcW w:type="dxa" w:w="1587"/>
            <w:shd w:val="clear" w:color="auto" w:fill="2F4B3C"/>
          </w:tcPr>
          <w:p>
            <w:r>
              <w:rPr>
                <w:b/>
                <w:color w:val="FFFFFF"/>
                <w:sz w:val="18"/>
              </w:rPr>
              <w:t>Código cerrado</w:t>
            </w:r>
          </w:p>
        </w:tc>
        <w:tc>
          <w:tcPr>
            <w:tcW w:type="dxa" w:w="1814"/>
            <w:shd w:val="clear" w:color="auto" w:fill="2F4B3C"/>
          </w:tcPr>
          <w:p>
            <w:r>
              <w:rPr>
                <w:b/>
                <w:color w:val="FFFFFF"/>
                <w:sz w:val="18"/>
              </w:rPr>
              <w:t>GPLv3</w:t>
            </w:r>
          </w:p>
        </w:tc>
        <w:tc>
          <w:tcPr>
            <w:tcW w:type="dxa" w:w="1814"/>
            <w:shd w:val="clear" w:color="auto" w:fill="2F4B3C"/>
          </w:tcPr>
          <w:p>
            <w:r>
              <w:rPr>
                <w:b/>
                <w:color w:val="FFFFFF"/>
                <w:sz w:val="18"/>
              </w:rPr>
              <w:t>MIT</w:t>
            </w:r>
          </w:p>
        </w:tc>
        <w:tc>
          <w:tcPr>
            <w:tcW w:type="dxa" w:w="1814"/>
            <w:shd w:val="clear" w:color="auto" w:fill="2F4B3C"/>
          </w:tcPr>
          <w:p>
            <w:r>
              <w:rPr>
                <w:b/>
                <w:color w:val="FFFFFF"/>
                <w:sz w:val="18"/>
              </w:rPr>
              <w:t>CC BY-NC-SA 4.0</w:t>
            </w:r>
          </w:p>
        </w:tc>
      </w:tr>
      <w:tr>
        <w:trPr>
          <w:cantSplit/>
        </w:trPr>
        <w:tc>
          <w:tcPr>
            <w:tcW w:type="dxa" w:w="2041"/>
          </w:tcPr>
          <w:p>
            <w:r>
              <w:rPr>
                <w:b/>
                <w:sz w:val="18"/>
              </w:rPr>
              <w:t>Acceso al código o al texto</w:t>
            </w:r>
          </w:p>
        </w:tc>
        <w:tc>
          <w:tcPr>
            <w:tcW w:type="dxa" w:w="1587"/>
          </w:tcPr>
          <w:p>
            <w:r>
              <w:rPr>
                <w:b w:val="0"/>
                <w:sz w:val="18"/>
              </w:rPr>
              <w:t>No autorizado</w:t>
            </w:r>
          </w:p>
        </w:tc>
        <w:tc>
          <w:tcPr>
            <w:tcW w:type="dxa" w:w="1814"/>
          </w:tcPr>
          <w:p>
            <w:r>
              <w:rPr>
                <w:b w:val="0"/>
                <w:sz w:val="18"/>
              </w:rPr>
              <w:t>Garantizado</w:t>
            </w:r>
          </w:p>
        </w:tc>
        <w:tc>
          <w:tcPr>
            <w:tcW w:type="dxa" w:w="1814"/>
          </w:tcPr>
          <w:p>
            <w:r>
              <w:rPr>
                <w:b w:val="0"/>
                <w:sz w:val="18"/>
              </w:rPr>
              <w:t>Garantizado</w:t>
            </w:r>
          </w:p>
        </w:tc>
        <w:tc>
          <w:tcPr>
            <w:tcW w:type="dxa" w:w="1814"/>
          </w:tcPr>
          <w:p>
            <w:r>
              <w:rPr>
                <w:b w:val="0"/>
                <w:sz w:val="18"/>
              </w:rPr>
              <w:t>Garantizado</w:t>
            </w:r>
          </w:p>
        </w:tc>
      </w:tr>
      <w:tr>
        <w:trPr>
          <w:cantSplit/>
        </w:trPr>
        <w:tc>
          <w:tcPr>
            <w:tcW w:type="dxa" w:w="2041"/>
          </w:tcPr>
          <w:p>
            <w:r>
              <w:rPr>
                <w:b/>
                <w:sz w:val="18"/>
              </w:rPr>
              <w:t>Modificación por terceros</w:t>
            </w:r>
          </w:p>
        </w:tc>
        <w:tc>
          <w:tcPr>
            <w:tcW w:type="dxa" w:w="1587"/>
          </w:tcPr>
          <w:p>
            <w:r>
              <w:rPr>
                <w:b w:val="0"/>
                <w:sz w:val="18"/>
              </w:rPr>
              <w:t>Prohibida</w:t>
            </w:r>
          </w:p>
        </w:tc>
        <w:tc>
          <w:tcPr>
            <w:tcW w:type="dxa" w:w="1814"/>
          </w:tcPr>
          <w:p>
            <w:r>
              <w:rPr>
                <w:b w:val="0"/>
                <w:sz w:val="18"/>
              </w:rPr>
              <w:t>Permitida</w:t>
            </w:r>
          </w:p>
        </w:tc>
        <w:tc>
          <w:tcPr>
            <w:tcW w:type="dxa" w:w="1814"/>
          </w:tcPr>
          <w:p>
            <w:r>
              <w:rPr>
                <w:b w:val="0"/>
                <w:sz w:val="18"/>
              </w:rPr>
              <w:t>Permitida</w:t>
            </w:r>
          </w:p>
        </w:tc>
        <w:tc>
          <w:tcPr>
            <w:tcW w:type="dxa" w:w="1814"/>
          </w:tcPr>
          <w:p>
            <w:r>
              <w:rPr>
                <w:b w:val="0"/>
                <w:sz w:val="18"/>
              </w:rPr>
              <w:t>Permitida</w:t>
            </w:r>
          </w:p>
        </w:tc>
      </w:tr>
      <w:tr>
        <w:trPr>
          <w:cantSplit/>
        </w:trPr>
        <w:tc>
          <w:tcPr>
            <w:tcW w:type="dxa" w:w="2041"/>
          </w:tcPr>
          <w:p>
            <w:r>
              <w:rPr>
                <w:b/>
                <w:sz w:val="18"/>
              </w:rPr>
              <w:t>Obras derivadas</w:t>
            </w:r>
          </w:p>
        </w:tc>
        <w:tc>
          <w:tcPr>
            <w:tcW w:type="dxa" w:w="1587"/>
          </w:tcPr>
          <w:p>
            <w:r>
              <w:rPr>
                <w:b w:val="0"/>
                <w:sz w:val="18"/>
              </w:rPr>
              <w:t>Prohibidas</w:t>
            </w:r>
          </w:p>
        </w:tc>
        <w:tc>
          <w:tcPr>
            <w:tcW w:type="dxa" w:w="1814"/>
          </w:tcPr>
          <w:p>
            <w:r>
              <w:rPr>
                <w:b w:val="0"/>
                <w:sz w:val="18"/>
              </w:rPr>
              <w:t>Misma licencia y código abierto</w:t>
            </w:r>
          </w:p>
        </w:tc>
        <w:tc>
          <w:tcPr>
            <w:tcW w:type="dxa" w:w="1814"/>
          </w:tcPr>
          <w:p>
            <w:r>
              <w:rPr>
                <w:b w:val="0"/>
                <w:sz w:val="18"/>
              </w:rPr>
              <w:t>Cualquier licencia, incluso cerrada</w:t>
            </w:r>
          </w:p>
        </w:tc>
        <w:tc>
          <w:tcPr>
            <w:tcW w:type="dxa" w:w="1814"/>
          </w:tcPr>
          <w:p>
            <w:r>
              <w:rPr>
                <w:b w:val="0"/>
                <w:sz w:val="18"/>
              </w:rPr>
              <w:t>Misma licencia</w:t>
            </w:r>
          </w:p>
        </w:tc>
      </w:tr>
      <w:tr>
        <w:trPr>
          <w:cantSplit/>
        </w:trPr>
        <w:tc>
          <w:tcPr>
            <w:tcW w:type="dxa" w:w="2041"/>
          </w:tcPr>
          <w:p>
            <w:r>
              <w:rPr>
                <w:b/>
                <w:sz w:val="18"/>
              </w:rPr>
              <w:t>Uso comercial por terceros</w:t>
            </w:r>
          </w:p>
        </w:tc>
        <w:tc>
          <w:tcPr>
            <w:tcW w:type="dxa" w:w="1587"/>
          </w:tcPr>
          <w:p>
            <w:r>
              <w:rPr>
                <w:b w:val="0"/>
                <w:sz w:val="18"/>
              </w:rPr>
              <w:t>Solo con autorización</w:t>
            </w:r>
          </w:p>
        </w:tc>
        <w:tc>
          <w:tcPr>
            <w:tcW w:type="dxa" w:w="1814"/>
          </w:tcPr>
          <w:p>
            <w:r>
              <w:rPr>
                <w:b w:val="0"/>
                <w:sz w:val="18"/>
              </w:rPr>
              <w:t>Permitido</w:t>
            </w:r>
          </w:p>
        </w:tc>
        <w:tc>
          <w:tcPr>
            <w:tcW w:type="dxa" w:w="1814"/>
          </w:tcPr>
          <w:p>
            <w:r>
              <w:rPr>
                <w:b w:val="0"/>
                <w:sz w:val="18"/>
              </w:rPr>
              <w:t>Permitido</w:t>
            </w:r>
          </w:p>
        </w:tc>
        <w:tc>
          <w:tcPr>
            <w:tcW w:type="dxa" w:w="1814"/>
          </w:tcPr>
          <w:p>
            <w:r>
              <w:rPr>
                <w:b w:val="0"/>
                <w:sz w:val="18"/>
              </w:rPr>
              <w:t>Prohibido</w:t>
            </w:r>
          </w:p>
        </w:tc>
      </w:tr>
      <w:tr>
        <w:trPr>
          <w:cantSplit/>
        </w:trPr>
        <w:tc>
          <w:tcPr>
            <w:tcW w:type="dxa" w:w="2041"/>
          </w:tcPr>
          <w:p>
            <w:r>
              <w:rPr>
                <w:b/>
                <w:sz w:val="18"/>
              </w:rPr>
              <w:t>Pensada para software</w:t>
            </w:r>
          </w:p>
        </w:tc>
        <w:tc>
          <w:tcPr>
            <w:tcW w:type="dxa" w:w="1587"/>
          </w:tcPr>
          <w:p>
            <w:r>
              <w:rPr>
                <w:b w:val="0"/>
                <w:sz w:val="18"/>
              </w:rPr>
              <w:t>Sí</w:t>
            </w:r>
          </w:p>
        </w:tc>
        <w:tc>
          <w:tcPr>
            <w:tcW w:type="dxa" w:w="1814"/>
          </w:tcPr>
          <w:p>
            <w:r>
              <w:rPr>
                <w:b w:val="0"/>
                <w:sz w:val="18"/>
              </w:rPr>
              <w:t>Sí</w:t>
            </w:r>
          </w:p>
        </w:tc>
        <w:tc>
          <w:tcPr>
            <w:tcW w:type="dxa" w:w="1814"/>
          </w:tcPr>
          <w:p>
            <w:r>
              <w:rPr>
                <w:b w:val="0"/>
                <w:sz w:val="18"/>
              </w:rPr>
              <w:t>Sí</w:t>
            </w:r>
          </w:p>
        </w:tc>
        <w:tc>
          <w:tcPr>
            <w:tcW w:type="dxa" w:w="1814"/>
          </w:tcPr>
          <w:p>
            <w:r>
              <w:rPr>
                <w:b w:val="0"/>
                <w:sz w:val="18"/>
              </w:rPr>
              <w:t>No</w:t>
            </w:r>
          </w:p>
        </w:tc>
      </w:tr>
      <w:tr>
        <w:trPr>
          <w:cantSplit/>
        </w:trPr>
        <w:tc>
          <w:tcPr>
            <w:tcW w:type="dxa" w:w="2041"/>
          </w:tcPr>
          <w:p>
            <w:r>
              <w:rPr>
                <w:b/>
                <w:sz w:val="18"/>
              </w:rPr>
              <w:t>Evita que otro cierre el trabajo</w:t>
            </w:r>
          </w:p>
        </w:tc>
        <w:tc>
          <w:tcPr>
            <w:tcW w:type="dxa" w:w="1587"/>
          </w:tcPr>
          <w:p>
            <w:r>
              <w:rPr>
                <w:b w:val="0"/>
                <w:sz w:val="18"/>
              </w:rPr>
              <w:t>No aplica</w:t>
            </w:r>
          </w:p>
        </w:tc>
        <w:tc>
          <w:tcPr>
            <w:tcW w:type="dxa" w:w="1814"/>
          </w:tcPr>
          <w:p>
            <w:r>
              <w:rPr>
                <w:b w:val="0"/>
                <w:sz w:val="18"/>
              </w:rPr>
              <w:t>Sí</w:t>
            </w:r>
          </w:p>
        </w:tc>
        <w:tc>
          <w:tcPr>
            <w:tcW w:type="dxa" w:w="1814"/>
          </w:tcPr>
          <w:p>
            <w:r>
              <w:rPr>
                <w:b w:val="0"/>
                <w:sz w:val="18"/>
              </w:rPr>
              <w:t>No</w:t>
            </w:r>
          </w:p>
        </w:tc>
        <w:tc>
          <w:tcPr>
            <w:tcW w:type="dxa" w:w="1814"/>
          </w:tcPr>
          <w:p>
            <w:r>
              <w:rPr>
                <w:b w:val="0"/>
                <w:sz w:val="18"/>
              </w:rPr>
              <w:t>Sí</w:t>
            </w:r>
          </w:p>
        </w:tc>
      </w:tr>
      <w:tr>
        <w:trPr>
          <w:cantSplit/>
        </w:trPr>
        <w:tc>
          <w:tcPr>
            <w:tcW w:type="dxa" w:w="2041"/>
          </w:tcPr>
          <w:p>
            <w:r>
              <w:rPr>
                <w:b/>
                <w:sz w:val="18"/>
              </w:rPr>
              <w:t>Coherente con la Declaración Ética</w:t>
            </w:r>
          </w:p>
        </w:tc>
        <w:tc>
          <w:tcPr>
            <w:tcW w:type="dxa" w:w="1587"/>
          </w:tcPr>
          <w:p>
            <w:r>
              <w:rPr>
                <w:b w:val="0"/>
                <w:sz w:val="18"/>
              </w:rPr>
              <w:t>No</w:t>
            </w:r>
          </w:p>
        </w:tc>
        <w:tc>
          <w:tcPr>
            <w:tcW w:type="dxa" w:w="1814"/>
          </w:tcPr>
          <w:p>
            <w:r>
              <w:rPr>
                <w:b w:val="0"/>
                <w:sz w:val="18"/>
              </w:rPr>
              <w:t>Sí</w:t>
            </w:r>
          </w:p>
        </w:tc>
        <w:tc>
          <w:tcPr>
            <w:tcW w:type="dxa" w:w="1814"/>
          </w:tcPr>
          <w:p>
            <w:r>
              <w:rPr>
                <w:b w:val="0"/>
                <w:sz w:val="18"/>
              </w:rPr>
              <w:t>Parcialmente</w:t>
            </w:r>
          </w:p>
        </w:tc>
        <w:tc>
          <w:tcPr>
            <w:tcW w:type="dxa" w:w="1814"/>
          </w:tcPr>
          <w:p>
            <w:r>
              <w:rPr>
                <w:b w:val="0"/>
                <w:sz w:val="18"/>
              </w:rPr>
              <w:t>Sí</w:t>
            </w:r>
          </w:p>
        </w:tc>
      </w:tr>
    </w:tbl>
    <w:p/>
    <w:p>
      <w:pPr>
        <w:pStyle w:val="Heading1"/>
      </w:pPr>
      <w:r>
        <w:t>4. Decisión</w:t>
      </w:r>
    </w:p>
    <w:p>
      <w:r>
        <w:t>Cada material lleva la licencia adecuada a su naturaleza. La asignación se hace por carpeta del repositorio para que no haya dudas sobre qué licencia rige cada archivo:</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2154"/>
            <w:shd w:val="clear" w:color="auto" w:fill="2F4B3C"/>
          </w:tcPr>
          <w:p>
            <w:r>
              <w:rPr>
                <w:b/>
                <w:color w:val="FFFFFF"/>
                <w:sz w:val="18"/>
              </w:rPr>
              <w:t>Material</w:t>
            </w:r>
          </w:p>
        </w:tc>
        <w:tc>
          <w:tcPr>
            <w:tcW w:type="dxa" w:w="3402"/>
            <w:shd w:val="clear" w:color="auto" w:fill="2F4B3C"/>
          </w:tcPr>
          <w:p>
            <w:r>
              <w:rPr>
                <w:b/>
                <w:color w:val="FFFFFF"/>
                <w:sz w:val="18"/>
              </w:rPr>
              <w:t>Archivos</w:t>
            </w:r>
          </w:p>
        </w:tc>
        <w:tc>
          <w:tcPr>
            <w:tcW w:type="dxa" w:w="3515"/>
            <w:shd w:val="clear" w:color="auto" w:fill="2F4B3C"/>
          </w:tcPr>
          <w:p>
            <w:r>
              <w:rPr>
                <w:b/>
                <w:color w:val="FFFFFF"/>
                <w:sz w:val="18"/>
              </w:rPr>
              <w:t>Licencia</w:t>
            </w:r>
          </w:p>
        </w:tc>
      </w:tr>
      <w:tr>
        <w:trPr>
          <w:cantSplit/>
        </w:trPr>
        <w:tc>
          <w:tcPr>
            <w:tcW w:type="dxa" w:w="2154"/>
          </w:tcPr>
          <w:p>
            <w:r>
              <w:rPr>
                <w:b/>
                <w:sz w:val="18"/>
              </w:rPr>
              <w:t>Código fuente del sitio</w:t>
            </w:r>
          </w:p>
        </w:tc>
        <w:tc>
          <w:tcPr>
            <w:tcW w:type="dxa" w:w="3402"/>
          </w:tcPr>
          <w:p>
            <w:r>
              <w:rPr>
                <w:b w:val="0"/>
                <w:sz w:val="18"/>
              </w:rPr>
              <w:t>index.html, politica-privacidad.html, css/, js/, productos.json</w:t>
            </w:r>
          </w:p>
        </w:tc>
        <w:tc>
          <w:tcPr>
            <w:tcW w:type="dxa" w:w="3515"/>
          </w:tcPr>
          <w:p>
            <w:r>
              <w:rPr>
                <w:b w:val="0"/>
                <w:sz w:val="18"/>
              </w:rPr>
              <w:t>GNU GPL versión 3 o posterior (GPL-3.0-or-later)</w:t>
            </w:r>
          </w:p>
        </w:tc>
      </w:tr>
      <w:tr>
        <w:trPr>
          <w:cantSplit/>
        </w:trPr>
        <w:tc>
          <w:tcPr>
            <w:tcW w:type="dxa" w:w="2154"/>
          </w:tcPr>
          <w:p>
            <w:r>
              <w:rPr>
                <w:b/>
                <w:sz w:val="18"/>
              </w:rPr>
              <w:t>Documentación del proyecto</w:t>
            </w:r>
          </w:p>
        </w:tc>
        <w:tc>
          <w:tcPr>
            <w:tcW w:type="dxa" w:w="3402"/>
          </w:tcPr>
          <w:p>
            <w:r>
              <w:rPr>
                <w:b w:val="0"/>
                <w:sz w:val="18"/>
              </w:rPr>
              <w:t>docs/ y README.md</w:t>
            </w:r>
          </w:p>
        </w:tc>
        <w:tc>
          <w:tcPr>
            <w:tcW w:type="dxa" w:w="3515"/>
          </w:tcPr>
          <w:p>
            <w:r>
              <w:rPr>
                <w:b w:val="0"/>
                <w:sz w:val="18"/>
              </w:rPr>
              <w:t>Creative Commons Atribución–NoComercial–CompartirIgual 4.0 Internacional</w:t>
            </w:r>
          </w:p>
        </w:tc>
      </w:tr>
      <w:tr>
        <w:trPr>
          <w:cantSplit/>
        </w:trPr>
        <w:tc>
          <w:tcPr>
            <w:tcW w:type="dxa" w:w="2154"/>
          </w:tcPr>
          <w:p>
            <w:r>
              <w:rPr>
                <w:b/>
                <w:sz w:val="18"/>
              </w:rPr>
              <w:t>Imágenes generadas con IA</w:t>
            </w:r>
          </w:p>
        </w:tc>
        <w:tc>
          <w:tcPr>
            <w:tcW w:type="dxa" w:w="3402"/>
          </w:tcPr>
          <w:p>
            <w:r>
              <w:rPr>
                <w:b w:val="0"/>
                <w:sz w:val="18"/>
              </w:rPr>
              <w:t>assets/img/</w:t>
            </w:r>
          </w:p>
        </w:tc>
        <w:tc>
          <w:tcPr>
            <w:tcW w:type="dxa" w:w="3515"/>
          </w:tcPr>
          <w:p>
            <w:r>
              <w:rPr>
                <w:b w:val="0"/>
                <w:sz w:val="18"/>
              </w:rPr>
              <w:t>Sin reclamo de derechos exclusivos (apartado 6)</w:t>
            </w:r>
          </w:p>
        </w:tc>
      </w:tr>
      <w:tr>
        <w:trPr>
          <w:cantSplit/>
        </w:trPr>
        <w:tc>
          <w:tcPr>
            <w:tcW w:type="dxa" w:w="2154"/>
          </w:tcPr>
          <w:p>
            <w:r>
              <w:rPr>
                <w:b/>
                <w:sz w:val="18"/>
              </w:rPr>
              <w:t>Marca «Woodbird»</w:t>
            </w:r>
          </w:p>
        </w:tc>
        <w:tc>
          <w:tcPr>
            <w:tcW w:type="dxa" w:w="3402"/>
          </w:tcPr>
          <w:p>
            <w:r>
              <w:rPr>
                <w:b w:val="0"/>
                <w:sz w:val="18"/>
              </w:rPr>
              <w:t>Nombre y logotipo</w:t>
            </w:r>
          </w:p>
        </w:tc>
        <w:tc>
          <w:tcPr>
            <w:tcW w:type="dxa" w:w="3515"/>
          </w:tcPr>
          <w:p>
            <w:r>
              <w:rPr>
                <w:b w:val="0"/>
                <w:sz w:val="18"/>
              </w:rPr>
              <w:t>Excluida de ambas licencias (apartado 5)</w:t>
            </w:r>
          </w:p>
        </w:tc>
      </w:tr>
    </w:tbl>
    <w:p/>
    <w:p>
      <w:pPr>
        <w:pStyle w:val="Heading2"/>
      </w:pPr>
      <w:r>
        <w:t>4.1. Por qué GPLv3 para el código</w:t>
      </w:r>
    </w:p>
    <w:p>
      <w:pPr>
        <w:pStyle w:val="ListBullet"/>
      </w:pPr>
      <w:r>
        <w:rPr>
          <w:b/>
        </w:rPr>
        <w:t xml:space="preserve">Hace legal lo que ya es visible. </w:t>
      </w:r>
      <w:r>
        <w:t>Como el código llega igual al navegador de cada visitante, la GPL convierte esa exposición en un permiso claro para estudiarlo y reutilizarlo.</w:t>
      </w:r>
    </w:p>
    <w:p>
      <w:pPr>
        <w:pStyle w:val="ListBullet"/>
      </w:pPr>
      <w:r>
        <w:rPr>
          <w:b/>
        </w:rPr>
        <w:t xml:space="preserve">Cumple la finalidad educativa. </w:t>
      </w:r>
      <w:r>
        <w:t>Otros estudiantes pueden tomar la maquetación, el checkout simulado o la estructura semántica como material de estudio.</w:t>
      </w:r>
    </w:p>
    <w:p>
      <w:pPr>
        <w:pStyle w:val="ListBullet"/>
      </w:pPr>
      <w:r>
        <w:rPr>
          <w:b/>
        </w:rPr>
        <w:t xml:space="preserve">Protege el trabajo abierto. </w:t>
      </w:r>
      <w:r>
        <w:t>El copyleft impide que un tercero se apropie del código, lo cierre y lo explote sin compartir sus mejoras. Una licencia permisiva no lo impediría.</w:t>
      </w:r>
    </w:p>
    <w:p>
      <w:pPr>
        <w:pStyle w:val="ListBullet"/>
      </w:pPr>
      <w:r>
        <w:rPr>
          <w:b/>
        </w:rPr>
        <w:t xml:space="preserve">No compromete el negocio. </w:t>
      </w:r>
      <w:r>
        <w:t>Un competidor que copie el sitio no obtiene la marca, el oficio ni la madera trazable, que son lo que Woodbird vende.</w:t>
      </w:r>
    </w:p>
    <w:p>
      <w:pPr>
        <w:pStyle w:val="ListBullet"/>
      </w:pPr>
      <w:r>
        <w:rPr>
          <w:b/>
        </w:rPr>
        <w:t xml:space="preserve">Es coherente con lo ya declarado. </w:t>
      </w:r>
      <w:r>
        <w:t>Mantiene el compromiso asumido en la Declaración Ética del Sprint 1.</w:t>
      </w:r>
    </w:p>
    <w:p>
      <w:r>
        <w:t>Se elige la fórmula «versión 3 o posterior», que es la que recomienda la Free Software Foundation. Permite adoptar versiones futuras de la licencia que corrijan problemas legales sin tener que volver a licenciar el código. Sigue siendo GPLv3, como se anunció en la Declaración Ética.</w:t>
      </w:r>
    </w:p>
    <w:p>
      <w:pPr>
        <w:pStyle w:val="Heading2"/>
      </w:pPr>
      <w:r>
        <w:t>4.2. Por qué CC BY-NC-SA 4.0 para la documentación</w:t>
      </w:r>
    </w:p>
    <w:p>
      <w:pPr>
        <w:pStyle w:val="ListBullet"/>
      </w:pPr>
      <w:r>
        <w:rPr>
          <w:b/>
        </w:rPr>
        <w:t xml:space="preserve">Protege la producción académica. </w:t>
      </w:r>
      <w:r>
        <w:t>Actas, informes y políticas pueden consultarse y adaptarse con fines educativos, pero nadie puede venderlos ni usarlos como plantillas comerciales.</w:t>
      </w:r>
    </w:p>
    <w:p>
      <w:pPr>
        <w:pStyle w:val="ListBullet"/>
      </w:pPr>
      <w:r>
        <w:rPr>
          <w:b/>
        </w:rPr>
        <w:t xml:space="preserve">No limita al propio autor. </w:t>
      </w:r>
      <w:r>
        <w:t>La restricción NoComercial obliga a quien recibe la licencia, no al titular. Si Woodbird pasara a operar de verdad, su autor podría seguir usando estos documentos comercialmente.</w:t>
      </w:r>
    </w:p>
    <w:p>
      <w:pPr>
        <w:pStyle w:val="ListBullet"/>
      </w:pPr>
      <w:r>
        <w:rPr>
          <w:b/>
        </w:rPr>
        <w:t xml:space="preserve">Mantiene abiertas las adaptaciones. </w:t>
      </w:r>
      <w:r>
        <w:t>La condición CompartirIgual cumple, para los textos, la misma función que el copyleft para el código.</w:t>
      </w:r>
    </w:p>
    <w:p>
      <w:pPr>
        <w:pStyle w:val="Heading2"/>
      </w:pPr>
      <w:r>
        <w:t>4.3. Por qué se separan por carpeta</w:t>
      </w:r>
    </w:p>
    <w:p>
      <w:r>
        <w:t>CC BY-NC-SA no es compatible con la GPL: la restricción de uso comercial es una condición adicional que la GPL prohíbe agregar (sección 10). Si se mezclaran materiales de ambas licencias en un mismo archivo, no se podría redistribuir el resultado cumpliendo las dos a la vez. La separación por carpeta evita ese conflicto.</w:t>
      </w:r>
    </w:p>
    <w:p>
      <w:pPr>
        <w:pStyle w:val="Heading1"/>
      </w:pPr>
      <w:r>
        <w:t>5. Exclusión de la marca y de componentes de terceros</w:t>
      </w:r>
    </w:p>
    <w:p>
      <w:r>
        <w:t>Ninguna de las dos licencias transfiere derechos de marca. La GPLv3 permite declararlo como término adicional (sección 7, inciso e) y las licencias Creative Commons 4.0 lo establecen expresamente (sección 2, inciso b.2). Por eso quien reutilice el código o los textos debe quitar el nombre y el logotipo de Woodbird. Así se preserva el signo cuyo registro ante el INPI se analizó en el Informe de Marca y Dominios del Sprint 1.</w:t>
      </w:r>
    </w:p>
    <w:p>
      <w:r>
        <w:t>Las tipografías Fraunces y Archivo se cargan desde Google Fonts y no forman parte del repositorio. Conservan su propia licencia (SIL Open Font License 1.1), que permite usarlas libremente.</w:t>
      </w:r>
    </w:p>
    <w:p>
      <w:pPr>
        <w:pStyle w:val="Heading1"/>
      </w:pPr>
      <w:r>
        <w:t>6. Contenido generado con inteligencia artificial</w:t>
      </w:r>
    </w:p>
    <w:p>
      <w:r>
        <w:t>Como analiza la Declaración Ética del Sprint 1, la doctrina y la práctica argentinas exigen autoría humana para reconocer derecho de autor. Una imagen generada íntegramente por un modelo de IA probablemente no esté protegida. Nadie puede licenciar un derecho que quizás no tiene, así que incluir estas imágenes en CC BY-NC-SA sería engañoso. Por eso se adoptan cuatro reglas:</w:t>
      </w:r>
    </w:p>
    <w:p>
      <w:pPr>
        <w:pStyle w:val="ListBullet"/>
      </w:pPr>
      <w:r>
        <w:t>Woodbird no reclama derechos exclusivos sobre las imágenes generadas con IA, y lo dice en su aviso de licencias.</w:t>
      </w:r>
    </w:p>
    <w:p>
      <w:pPr>
        <w:pStyle w:val="ListBullet"/>
      </w:pPr>
      <w:r>
        <w:t>Si una imagen tiene retoques o composición humana relevante, esa parte queda bajo CC BY-NC-SA 4.0, como el resto de la producción del proyecto.</w:t>
      </w:r>
    </w:p>
    <w:p>
      <w:pPr>
        <w:pStyle w:val="ListBullet"/>
      </w:pPr>
      <w:r>
        <w:t>Rigen los términos de uso de la herramienta de IA utilizada. Según la matriz de riesgos (R6), la herramienta debe permitir el uso comercial, y se registran la herramienta y el prompt de cada imagen.</w:t>
      </w:r>
    </w:p>
    <w:p>
      <w:pPr>
        <w:pStyle w:val="ListBullet"/>
      </w:pPr>
      <w:r>
        <w:t>Se mantienen el sello «Imagen con IA» y el deber de retiro ante un reclamo fundado, asumidos en la Declaración Ética.</w:t>
      </w:r>
    </w:p>
    <w:p>
      <w:pPr>
        <w:pStyle w:val="Heading1"/>
      </w:pPr>
      <w:r>
        <w:t>7. Aplicación en el repositorio y en el sitio</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3969"/>
            <w:shd w:val="clear" w:color="auto" w:fill="2F4B3C"/>
          </w:tcPr>
          <w:p>
            <w:r>
              <w:rPr>
                <w:b/>
                <w:color w:val="FFFFFF"/>
                <w:sz w:val="18"/>
              </w:rPr>
              <w:t>Medida</w:t>
            </w:r>
          </w:p>
        </w:tc>
        <w:tc>
          <w:tcPr>
            <w:tcW w:type="dxa" w:w="3175"/>
            <w:shd w:val="clear" w:color="auto" w:fill="2F4B3C"/>
          </w:tcPr>
          <w:p>
            <w:r>
              <w:rPr>
                <w:b/>
                <w:color w:val="FFFFFF"/>
                <w:sz w:val="18"/>
              </w:rPr>
              <w:t>Dónde</w:t>
            </w:r>
          </w:p>
        </w:tc>
        <w:tc>
          <w:tcPr>
            <w:tcW w:type="dxa" w:w="1928"/>
            <w:shd w:val="clear" w:color="auto" w:fill="2F4B3C"/>
          </w:tcPr>
          <w:p>
            <w:r>
              <w:rPr>
                <w:b/>
                <w:color w:val="FFFFFF"/>
                <w:sz w:val="18"/>
              </w:rPr>
              <w:t>Estado</w:t>
            </w:r>
          </w:p>
        </w:tc>
      </w:tr>
      <w:tr>
        <w:trPr>
          <w:cantSplit/>
        </w:trPr>
        <w:tc>
          <w:tcPr>
            <w:tcW w:type="dxa" w:w="3969"/>
          </w:tcPr>
          <w:p>
            <w:r>
              <w:rPr>
                <w:b/>
                <w:sz w:val="18"/>
              </w:rPr>
              <w:t>Texto oficial completo de la GPLv3</w:t>
            </w:r>
          </w:p>
        </w:tc>
        <w:tc>
          <w:tcPr>
            <w:tcW w:type="dxa" w:w="3175"/>
          </w:tcPr>
          <w:p>
            <w:r>
              <w:rPr>
                <w:b w:val="0"/>
                <w:sz w:val="18"/>
              </w:rPr>
              <w:t>LICENSE, en la raíz del repositorio</w:t>
            </w:r>
          </w:p>
        </w:tc>
        <w:tc>
          <w:tcPr>
            <w:tcW w:type="dxa" w:w="1928"/>
          </w:tcPr>
          <w:p>
            <w:r>
              <w:rPr>
                <w:b w:val="0"/>
                <w:sz w:val="18"/>
              </w:rPr>
              <w:t>Hecho</w:t>
            </w:r>
          </w:p>
        </w:tc>
      </w:tr>
      <w:tr>
        <w:trPr>
          <w:cantSplit/>
        </w:trPr>
        <w:tc>
          <w:tcPr>
            <w:tcW w:type="dxa" w:w="3969"/>
          </w:tcPr>
          <w:p>
            <w:r>
              <w:rPr>
                <w:b/>
                <w:sz w:val="18"/>
              </w:rPr>
              <w:t>Aviso de licencias por tipo de material, marca y componentes de terceros</w:t>
            </w:r>
          </w:p>
        </w:tc>
        <w:tc>
          <w:tcPr>
            <w:tcW w:type="dxa" w:w="3175"/>
          </w:tcPr>
          <w:p>
            <w:r>
              <w:rPr>
                <w:b w:val="0"/>
                <w:sz w:val="18"/>
              </w:rPr>
              <w:t>LICENCIA-DOCUMENTACION.md</w:t>
            </w:r>
          </w:p>
        </w:tc>
        <w:tc>
          <w:tcPr>
            <w:tcW w:type="dxa" w:w="1928"/>
          </w:tcPr>
          <w:p>
            <w:r>
              <w:rPr>
                <w:b w:val="0"/>
                <w:sz w:val="18"/>
              </w:rPr>
              <w:t>Hecho</w:t>
            </w:r>
          </w:p>
        </w:tc>
      </w:tr>
      <w:tr>
        <w:trPr>
          <w:cantSplit/>
        </w:trPr>
        <w:tc>
          <w:tcPr>
            <w:tcW w:type="dxa" w:w="3969"/>
          </w:tcPr>
          <w:p>
            <w:r>
              <w:rPr>
                <w:b/>
                <w:sz w:val="18"/>
              </w:rPr>
              <w:t>Aviso de licencia visible para el usuario</w:t>
            </w:r>
          </w:p>
        </w:tc>
        <w:tc>
          <w:tcPr>
            <w:tcW w:type="dxa" w:w="3175"/>
          </w:tcPr>
          <w:p>
            <w:r>
              <w:rPr>
                <w:b w:val="0"/>
                <w:sz w:val="18"/>
              </w:rPr>
              <w:t>Pie de index.html y de politica-privacidad.html</w:t>
            </w:r>
          </w:p>
        </w:tc>
        <w:tc>
          <w:tcPr>
            <w:tcW w:type="dxa" w:w="1928"/>
          </w:tcPr>
          <w:p>
            <w:r>
              <w:rPr>
                <w:b w:val="0"/>
                <w:sz w:val="18"/>
              </w:rPr>
              <w:t>Hecho</w:t>
            </w:r>
          </w:p>
        </w:tc>
      </w:tr>
      <w:tr>
        <w:trPr>
          <w:cantSplit/>
        </w:trPr>
        <w:tc>
          <w:tcPr>
            <w:tcW w:type="dxa" w:w="3969"/>
          </w:tcPr>
          <w:p>
            <w:r>
              <w:rPr>
                <w:b/>
                <w:sz w:val="18"/>
              </w:rPr>
              <w:t>Encabezado de autor y licencia (identificador SPDX)</w:t>
            </w:r>
          </w:p>
        </w:tc>
        <w:tc>
          <w:tcPr>
            <w:tcW w:type="dxa" w:w="3175"/>
          </w:tcPr>
          <w:p>
            <w:r>
              <w:rPr>
                <w:b w:val="0"/>
                <w:sz w:val="18"/>
              </w:rPr>
              <w:t>css/estilos.css y js/checkout.js</w:t>
            </w:r>
          </w:p>
        </w:tc>
        <w:tc>
          <w:tcPr>
            <w:tcW w:type="dxa" w:w="1928"/>
          </w:tcPr>
          <w:p>
            <w:r>
              <w:rPr>
                <w:b w:val="0"/>
                <w:sz w:val="18"/>
              </w:rPr>
              <w:t>Hecho</w:t>
            </w:r>
          </w:p>
        </w:tc>
      </w:tr>
      <w:tr>
        <w:trPr>
          <w:cantSplit/>
        </w:trPr>
        <w:tc>
          <w:tcPr>
            <w:tcW w:type="dxa" w:w="3969"/>
          </w:tcPr>
          <w:p>
            <w:r>
              <w:rPr>
                <w:b/>
                <w:sz w:val="18"/>
              </w:rPr>
              <w:t>Sección «Licencia» en la documentación del repositorio</w:t>
            </w:r>
          </w:p>
        </w:tc>
        <w:tc>
          <w:tcPr>
            <w:tcW w:type="dxa" w:w="3175"/>
          </w:tcPr>
          <w:p>
            <w:r>
              <w:rPr>
                <w:b w:val="0"/>
                <w:sz w:val="18"/>
              </w:rPr>
              <w:t>README.md</w:t>
            </w:r>
          </w:p>
        </w:tc>
        <w:tc>
          <w:tcPr>
            <w:tcW w:type="dxa" w:w="1928"/>
          </w:tcPr>
          <w:p>
            <w:r>
              <w:rPr>
                <w:b w:val="0"/>
                <w:sz w:val="18"/>
              </w:rPr>
              <w:t>Hecho</w:t>
            </w:r>
          </w:p>
        </w:tc>
      </w:tr>
      <w:tr>
        <w:trPr>
          <w:cantSplit/>
        </w:trPr>
        <w:tc>
          <w:tcPr>
            <w:tcW w:type="dxa" w:w="3969"/>
          </w:tcPr>
          <w:p>
            <w:r>
              <w:rPr>
                <w:b/>
                <w:sz w:val="18"/>
              </w:rPr>
              <w:t>Depósito de la obra ante la Dirección Nacional del Derecho de Autor</w:t>
            </w:r>
          </w:p>
        </w:tc>
        <w:tc>
          <w:tcPr>
            <w:tcW w:type="dxa" w:w="3175"/>
          </w:tcPr>
          <w:p>
            <w:r>
              <w:rPr>
                <w:b w:val="0"/>
                <w:sz w:val="18"/>
              </w:rPr>
              <w:t>Trámite en línea ante la DNDA</w:t>
            </w:r>
          </w:p>
        </w:tc>
        <w:tc>
          <w:tcPr>
            <w:tcW w:type="dxa" w:w="1928"/>
          </w:tcPr>
          <w:p>
            <w:r>
              <w:rPr>
                <w:b w:val="0"/>
                <w:sz w:val="18"/>
              </w:rPr>
              <w:t>Recomendado si el proyecto pasa a operar de verdad</w:t>
            </w:r>
          </w:p>
        </w:tc>
      </w:tr>
    </w:tbl>
    <w:p/>
    <w:p>
      <w:r>
        <w:t>El texto de la GPL se publica en inglés porque la Free Software Foundation solo reconoce como oficial esa versión. Las traducciones existentes son orientativas y no tienen validez legal. Con el archivo LICENSE en la raíz se cumple lo que anunciaba la Declaración Ética: el repositorio público incluye el archivo de licencia.</w:t>
      </w:r>
    </w:p>
    <w:p>
      <w:pPr>
        <w:pStyle w:val="Heading1"/>
      </w:pPr>
      <w:r>
        <w:t>8. Conclusión</w:t>
      </w:r>
    </w:p>
    <w:p>
      <w:r>
        <w:t>El código cerrado no ofrece a Woodbird ninguna protección real, porque el código de un sitio web es visible por naturaleza y el valor del negocio está en otra parte. En cambio, contradice los compromisos éticos y académicos del proyecto. El modelo elegido tiene cuatro piezas: GPLv3 para el código, CC BY-NC-SA 4.0 para la documentación, ningún reclamo sobre el contenido sintético y la marca excluida de ambas licencias. Con eso, el conocimiento generado circula libremente y queda protegido de la apropiación comercial, y los derechos que sí importan para el negocio siguen en manos de Woodbird.</w:t>
      </w:r>
    </w:p>
    <w:p>
      <w:pPr>
        <w:pStyle w:val="Heading1"/>
      </w:pPr>
      <w:r>
        <w:t>9. Fuentes</w:t>
      </w:r>
    </w:p>
    <w:p>
      <w:pPr>
        <w:pStyle w:val="ListBullet"/>
      </w:pPr>
      <w:r>
        <w:t>Ley 11.723 de Propiedad Intelectual y Ley 25.036 de modificación — InfoLEG, Ministerio de Justicia de la Nación.</w:t>
      </w:r>
    </w:p>
    <w:p>
      <w:pPr>
        <w:pStyle w:val="ListBullet"/>
      </w:pPr>
      <w:r>
        <w:t>Decreto 165/1994 — InfoLEG.</w:t>
      </w:r>
    </w:p>
    <w:p>
      <w:pPr>
        <w:pStyle w:val="ListBullet"/>
      </w:pPr>
      <w:r>
        <w:t>Ley 22.362 de Marcas y Designaciones — InfoLEG.</w:t>
      </w:r>
    </w:p>
    <w:p>
      <w:pPr>
        <w:pStyle w:val="ListBullet"/>
      </w:pPr>
      <w:r>
        <w:t>Free Software Foundation. GNU General Public License, versión 3 (29/06/2007) y preguntas frecuentes sobre las licencias de GNU — gnu.org/licenses.</w:t>
      </w:r>
    </w:p>
    <w:p>
      <w:pPr>
        <w:pStyle w:val="ListBullet"/>
      </w:pPr>
      <w:r>
        <w:t>Creative Commons. Atribución–NoComercial–CompartirIgual 4.0 Internacional, texto legal en español — creativecommons.org/licenses/by-nc-sa/4.0/legalcode.es.</w:t>
      </w:r>
    </w:p>
    <w:p>
      <w:pPr>
        <w:pStyle w:val="ListBullet"/>
      </w:pPr>
      <w:r>
        <w:t>Creative Commons. Preguntas frecuentes: uso de licencias CC para software — creativecommons.org/faq.</w:t>
      </w:r>
    </w:p>
    <w:p>
      <w:pPr>
        <w:pStyle w:val="ListBullet"/>
      </w:pPr>
      <w:r>
        <w:t>Woodbird. Declaración de Transparencia y Compromiso Ético (Sprint 1), Informe de Viabilidad de Marca y Registro de Dominios (Sprint 1) y Matriz de Riesgos (Sprint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libri" w:hAnsi="Calibri"/>
      <w:b/>
      <w:bCs/>
      <w:color w:val="2F4B3C"/>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2F4B3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Justificación del Modelo de Licenciamiento</dc:title>
  <dc:subject/>
  <dc:creator>Reiss Jorge Nicolás</dc:creator>
  <cp:keywords/>
  <dc:description>generated by python-docx</dc:description>
  <cp:lastModifiedBy/>
  <cp:revision>1</cp:revision>
  <dcterms:created xsi:type="dcterms:W3CDTF">2013-12-23T23:15:00Z</dcterms:created>
  <dcterms:modified xsi:type="dcterms:W3CDTF">2013-12-23T23:15:00Z</dcterms:modified>
  <cp:category/>
</cp:coreProperties>
</file>