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20"/>
        <w:jc w:val="center"/>
        <w:rPr>
          <w:color w:val="000000"/>
          <w:sz w:val="22"/>
          <w:szCs w:val="22"/>
        </w:rPr>
      </w:pPr>
      <w:r>
        <w:rPr>
          <w:rFonts w:eastAsia="Arial" w:cs="Arial"/>
          <w:b/>
          <w:bCs/>
          <w:color w:val="000000"/>
          <w:sz w:val="22"/>
          <w:szCs w:val="22"/>
        </w:rPr>
        <w:t>Sistema inteligente multimodal para la detección temprana de signos de accidente cerebrovascular</w:t>
      </w:r>
    </w:p>
    <w:p>
      <w:pPr>
        <w:pStyle w:val="Normal"/>
        <w:spacing w:lineRule="auto" w:line="360" w:before="0" w:after="240"/>
        <w:jc w:val="center"/>
        <w:rPr>
          <w:color w:val="000000"/>
          <w:sz w:val="22"/>
          <w:szCs w:val="22"/>
        </w:rPr>
      </w:pPr>
      <w:r>
        <w:rPr>
          <w:rFonts w:eastAsia="Arial" w:cs="Arial"/>
          <w:i/>
          <w:iCs/>
          <w:color w:val="000000"/>
          <w:sz w:val="22"/>
          <w:szCs w:val="22"/>
        </w:rPr>
        <w:t>Multimodal intelligent system for the early detection of stroke signs</w:t>
      </w:r>
    </w:p>
    <w:tbl>
      <w:tblPr>
        <w:tblW w:w="9300" w:type="dxa"/>
        <w:jc w:val="left"/>
        <w:tblInd w:w="0" w:type="dxa"/>
        <w:tblLayout w:type="fixed"/>
        <w:tblCellMar>
          <w:top w:w="80" w:type="dxa"/>
          <w:left w:w="120" w:type="dxa"/>
          <w:bottom w:w="80" w:type="dxa"/>
          <w:right w:w="120" w:type="dxa"/>
        </w:tblCellMar>
      </w:tblPr>
      <w:tblGrid>
        <w:gridCol w:w="9300"/>
      </w:tblGrid>
      <w:tr>
        <w:trPr/>
        <w:tc>
          <w:tcPr>
            <w:tcW w:w="9300" w:type="dxa"/>
            <w:tcBorders>
              <w:top w:val="single" w:sz="2" w:space="0" w:color="CCCCCC"/>
              <w:left w:val="single" w:sz="2" w:space="0" w:color="CCCCCC"/>
              <w:bottom w:val="single" w:sz="2" w:space="0" w:color="CCCCCC"/>
              <w:right w:val="single" w:sz="2" w:space="0" w:color="CCCCCC"/>
            </w:tcBorders>
          </w:tcPr>
          <w:p>
            <w:pPr>
              <w:pStyle w:val="Normal"/>
              <w:spacing w:lineRule="auto" w:line="360" w:before="0" w:after="60"/>
              <w:jc w:val="center"/>
              <w:rPr>
                <w:color w:val="000000"/>
                <w:sz w:val="22"/>
                <w:szCs w:val="22"/>
              </w:rPr>
            </w:pPr>
            <w:r>
              <w:rPr>
                <w:rFonts w:eastAsia="Arial" w:cs="Arial"/>
                <w:b/>
                <w:bCs/>
                <w:color w:val="000000"/>
                <w:sz w:val="22"/>
                <w:szCs w:val="22"/>
              </w:rPr>
              <w:t>Nicolas Emanuel Oly Sánchez</w:t>
            </w:r>
          </w:p>
          <w:p>
            <w:pPr>
              <w:pStyle w:val="Normal"/>
              <w:spacing w:lineRule="auto" w:line="360" w:before="0" w:after="160"/>
              <w:jc w:val="center"/>
              <w:rPr>
                <w:color w:val="000000"/>
                <w:sz w:val="22"/>
                <w:szCs w:val="22"/>
              </w:rPr>
            </w:pPr>
            <w:r>
              <w:rPr>
                <w:rFonts w:eastAsia="Arial" w:cs="Arial"/>
                <w:color w:val="000000"/>
                <w:sz w:val="22"/>
                <w:szCs w:val="22"/>
              </w:rPr>
              <w:t>Estudiante de Ingeniería de Software</w:t>
            </w:r>
          </w:p>
          <w:p>
            <w:pPr>
              <w:pStyle w:val="Normal"/>
              <w:spacing w:lineRule="auto" w:line="360" w:before="0" w:after="160"/>
              <w:jc w:val="center"/>
              <w:rPr>
                <w:color w:val="000000"/>
                <w:sz w:val="22"/>
                <w:szCs w:val="22"/>
              </w:rPr>
            </w:pPr>
            <w:r>
              <w:rPr>
                <w:rFonts w:eastAsia="Arial" w:cs="Arial"/>
                <w:color w:val="000000"/>
                <w:sz w:val="22"/>
                <w:szCs w:val="22"/>
              </w:rPr>
              <w:t>Universidad Católica Boliviana “San Pablo”</w:t>
            </w:r>
          </w:p>
          <w:p>
            <w:pPr>
              <w:pStyle w:val="Normal"/>
              <w:spacing w:lineRule="auto" w:line="360" w:before="0" w:after="160"/>
              <w:jc w:val="center"/>
              <w:rPr>
                <w:color w:val="000000"/>
                <w:sz w:val="22"/>
                <w:szCs w:val="22"/>
              </w:rPr>
            </w:pPr>
            <w:r>
              <w:rPr>
                <w:rFonts w:eastAsia="Arial" w:cs="Arial"/>
                <w:color w:val="000000"/>
                <w:sz w:val="22"/>
                <w:szCs w:val="22"/>
              </w:rPr>
              <w:t>nicolas.oly@ucb.edu.bo</w:t>
            </w:r>
          </w:p>
        </w:tc>
      </w:tr>
    </w:tbl>
    <w:p>
      <w:pPr>
        <w:pStyle w:val="Normal"/>
        <w:spacing w:lineRule="auto" w:line="360" w:before="0" w:after="120"/>
        <w:jc w:val="left"/>
        <w:rPr>
          <w:color w:val="000000"/>
          <w:sz w:val="22"/>
          <w:szCs w:val="22"/>
        </w:rPr>
      </w:pPr>
      <w:r>
        <w:rPr>
          <w:color w:val="000000"/>
          <w:sz w:val="22"/>
          <w:szCs w:val="22"/>
        </w:rPr>
      </w:r>
    </w:p>
    <w:p>
      <w:pPr>
        <w:pStyle w:val="Normal"/>
        <w:spacing w:lineRule="auto" w:line="360" w:before="0" w:after="160"/>
        <w:jc w:val="left"/>
        <w:rPr>
          <w:color w:val="000000"/>
          <w:sz w:val="22"/>
          <w:szCs w:val="22"/>
        </w:rPr>
      </w:pPr>
      <w:r>
        <w:rPr>
          <w:rFonts w:eastAsia="Arial" w:cs="Arial"/>
          <w:color w:val="000000"/>
          <w:sz w:val="22"/>
          <w:szCs w:val="22"/>
        </w:rPr>
        <w:t xml:space="preserve">Recibido: </w:t>
      </w:r>
      <w:r>
        <w:rPr>
          <w:rFonts w:eastAsia="Arial" w:cs="Arial"/>
          <w:b/>
          <w:bCs/>
          <w:color w:val="000000"/>
          <w:sz w:val="22"/>
          <w:szCs w:val="22"/>
        </w:rPr>
        <w:t>22/04/2026</w:t>
      </w:r>
    </w:p>
    <w:p>
      <w:pPr>
        <w:pStyle w:val="Normal"/>
        <w:spacing w:lineRule="auto" w:line="360" w:before="240" w:after="80"/>
        <w:jc w:val="left"/>
        <w:rPr>
          <w:color w:val="000000"/>
          <w:sz w:val="22"/>
          <w:szCs w:val="22"/>
        </w:rPr>
      </w:pPr>
      <w:r>
        <w:rPr>
          <w:rFonts w:eastAsia="Arial" w:cs="Arial"/>
          <w:b/>
          <w:bCs/>
          <w:color w:val="000000"/>
          <w:sz w:val="22"/>
          <w:szCs w:val="22"/>
        </w:rPr>
        <w:t>Resumen</w:t>
      </w:r>
    </w:p>
    <w:p>
      <w:pPr>
        <w:pStyle w:val="BodyText"/>
        <w:spacing w:lineRule="auto" w:line="360" w:before="0" w:after="160"/>
        <w:jc w:val="left"/>
        <w:rPr>
          <w:color w:val="000000"/>
          <w:sz w:val="22"/>
          <w:szCs w:val="22"/>
        </w:rPr>
      </w:pPr>
      <w:r>
        <w:rPr>
          <w:rFonts w:eastAsia="Arial" w:cs="Arial"/>
          <w:color w:val="000000"/>
          <w:sz w:val="22"/>
          <w:szCs w:val="22"/>
        </w:rPr>
        <w:t>El presente estudio tiene como objetivo desarrollar un sistema inteligente multimodal capaz de detectar de forma temprana los signos clínicos del accidente cerebrovascular (ACV), basado en la nemotecnia FAST (Face, Arms, Speech, Time), mediante el uso de modelos de inteligencia artificial. La investigación adopta un enfoque cuantitativo con diseño experimental, en el cual se construyen tres modelos de clasificación independientes: uno para el análisis de asimetría facial, otro para la detección de debilidad en brazos mediante estimación de pose, y un tercero para la identificación de alteraciones en el habla a partir de audio. El entrenamiento se realiza utilizando la plataforma Teachable Machine, con un conjunto de 1.850 muestras distribuidas en las diferentes clases y configurado a 50 épocas de entrenamiento.</w:t>
      </w:r>
    </w:p>
    <w:p>
      <w:pPr>
        <w:pStyle w:val="BodyText"/>
        <w:spacing w:lineRule="auto" w:line="360"/>
        <w:jc w:val="left"/>
        <w:rPr/>
      </w:pPr>
      <w:r>
        <w:rPr/>
        <w:t>Los resultados muestran diferencias en el desempeño de los modelos, destacando el modelo de brazos con una exactitud del 90% (18) y una sensibilidad del 90% (9), seguido del modelo de audio con una exactitud del 70% (14) y una sensibilidad del 77% (7), y finalmente el modelo facial con una exactitud del 65% (13) y una sensibilidad del 60% (6). Estos datos indican que el análisis de la posición de las extremidades superiores constituye el componente más robusto del sistema, mientras que el análisis facial y de audio presentan mayores desafíos en la clasificación.</w:t>
      </w:r>
    </w:p>
    <w:p>
      <w:pPr>
        <w:pStyle w:val="BodyText"/>
        <w:spacing w:lineRule="auto" w:line="360"/>
        <w:jc w:val="left"/>
        <w:rPr/>
      </w:pPr>
      <w:r>
        <w:rPr/>
        <w:t>En conclusión, el sistema multimodal desarrollado demuestra viabilidad técnica para la detección temprana de signos de ACV, al integrar múltiples fuentes de información que permiten compensar las limitaciones individuales de cada modelo. Su implementación como aplicación web no invasiva facilita su uso en entornos no clínicos, contribuyendo potencialmente a la reducción de los tiempos de respuesta ante esta emergencia neurológica.</w:t>
      </w:r>
    </w:p>
    <w:p>
      <w:pPr>
        <w:pStyle w:val="Normal"/>
        <w:spacing w:lineRule="auto" w:line="360" w:before="0" w:after="160"/>
        <w:jc w:val="left"/>
        <w:rPr>
          <w:rFonts w:ascii="Arial" w:hAnsi="Arial" w:eastAsia="Arial" w:cs="Arial"/>
        </w:rPr>
      </w:pPr>
      <w:r>
        <w:rPr>
          <w:rFonts w:eastAsia="Arial" w:cs="Arial"/>
        </w:rPr>
      </w:r>
    </w:p>
    <w:p>
      <w:pPr>
        <w:pStyle w:val="Normal"/>
        <w:spacing w:lineRule="auto" w:line="360" w:before="0" w:after="160"/>
        <w:jc w:val="left"/>
        <w:rPr>
          <w:color w:val="000000"/>
          <w:sz w:val="22"/>
          <w:szCs w:val="22"/>
        </w:rPr>
      </w:pPr>
      <w:r>
        <w:rPr>
          <w:rFonts w:eastAsia="Arial" w:cs="Arial"/>
          <w:b/>
          <w:bCs/>
          <w:color w:val="000000"/>
          <w:sz w:val="22"/>
          <w:szCs w:val="22"/>
        </w:rPr>
        <w:t xml:space="preserve">Palabras clave: </w:t>
      </w:r>
      <w:r>
        <w:rPr>
          <w:rFonts w:eastAsia="Arial" w:cs="Arial"/>
          <w:color w:val="000000"/>
          <w:sz w:val="22"/>
          <w:szCs w:val="22"/>
        </w:rPr>
        <w:t>accidente cerebrovascular, inteligencia artificial, detección temprana, FAST, aprendizaje automático</w:t>
      </w:r>
    </w:p>
    <w:p>
      <w:pPr>
        <w:pStyle w:val="Normal"/>
        <w:spacing w:lineRule="auto" w:line="360" w:before="240" w:after="80"/>
        <w:jc w:val="left"/>
        <w:rPr>
          <w:color w:val="000000"/>
          <w:sz w:val="22"/>
          <w:szCs w:val="22"/>
        </w:rPr>
      </w:pPr>
      <w:r>
        <w:rPr>
          <w:rFonts w:eastAsia="Arial" w:cs="Arial"/>
          <w:b/>
          <w:bCs/>
          <w:color w:val="000000"/>
          <w:sz w:val="22"/>
          <w:szCs w:val="22"/>
        </w:rPr>
        <w:t>Abstract</w:t>
      </w:r>
    </w:p>
    <w:p>
      <w:pPr>
        <w:pStyle w:val="Normal"/>
        <w:spacing w:lineRule="auto" w:line="360" w:before="0" w:after="160"/>
        <w:jc w:val="left"/>
        <w:rPr>
          <w:color w:val="000000"/>
          <w:sz w:val="22"/>
          <w:szCs w:val="22"/>
        </w:rPr>
      </w:pPr>
      <w:r>
        <w:rPr>
          <w:rFonts w:eastAsia="Arial" w:cs="Arial"/>
          <w:color w:val="000000"/>
          <w:sz w:val="22"/>
          <w:szCs w:val="22"/>
        </w:rPr>
        <w:t>The objective of this research was to develop a multimodal intelligent system capable of early detection of clinical signs of stroke, based on the FAST mnemonic (Face, Arms, Speech, Time), through the use of artificial intelligence models trained with images and audio. To this end, a quantitative experimental study was conducted in which three classification models were built using Google's Teachable Machine platform: a facial recognition model to detect facial asymmetry, a pose estimation model to assess arm weakness, and an audio recognition model to identify speech impairment; training was performed on a dataset of 1,850 images distributed across the corresponding classes over 50 training epochs. The results showed that the facial detection model achieved an accuracy of 85%, a sensitivity of 80%, and a specificity of 90% on an evaluation set of 20 cases, correctly identifying 8 out of 10 cases with stroke signs. In conclusion, the developed multimodal system demonstrates technical feasibility for assisting in the early detection of stroke signs, constituting a diagnostic support tool that can reduce response times in this neurological emergency.</w:t>
      </w:r>
    </w:p>
    <w:p>
      <w:pPr>
        <w:pStyle w:val="Normal"/>
        <w:spacing w:lineRule="auto" w:line="360" w:before="0" w:after="240"/>
        <w:jc w:val="left"/>
        <w:rPr>
          <w:color w:val="000000"/>
          <w:sz w:val="22"/>
          <w:szCs w:val="22"/>
        </w:rPr>
      </w:pPr>
      <w:r>
        <w:rPr>
          <w:rFonts w:eastAsia="Arial" w:cs="Arial"/>
          <w:b/>
          <w:bCs/>
          <w:color w:val="000000"/>
          <w:sz w:val="22"/>
          <w:szCs w:val="22"/>
        </w:rPr>
        <w:t xml:space="preserve">Keywords: </w:t>
      </w:r>
      <w:r>
        <w:rPr>
          <w:rFonts w:eastAsia="Arial" w:cs="Arial"/>
          <w:color w:val="000000"/>
          <w:sz w:val="22"/>
          <w:szCs w:val="22"/>
        </w:rPr>
        <w:t>stroke, artificial intelligence, early detection, FAST, machine learning</w:t>
      </w:r>
    </w:p>
    <w:p>
      <w:pPr>
        <w:pStyle w:val="Heading1"/>
        <w:spacing w:lineRule="auto" w:line="360"/>
        <w:jc w:val="left"/>
        <w:rPr>
          <w:color w:val="000000"/>
          <w:sz w:val="22"/>
          <w:szCs w:val="22"/>
        </w:rPr>
      </w:pPr>
      <w:r>
        <w:rPr>
          <w:rFonts w:eastAsia="Arial" w:cs="Arial" w:ascii="Arial" w:hAnsi="Arial"/>
          <w:b/>
          <w:bCs/>
          <w:color w:val="000000"/>
          <w:sz w:val="22"/>
          <w:szCs w:val="22"/>
        </w:rPr>
        <w:t>Introducción</w:t>
      </w:r>
    </w:p>
    <w:p>
      <w:pPr>
        <w:pStyle w:val="BodyText"/>
        <w:spacing w:lineRule="auto" w:line="360" w:before="0" w:after="160"/>
        <w:jc w:val="left"/>
        <w:rPr>
          <w:color w:val="000000"/>
          <w:sz w:val="22"/>
          <w:szCs w:val="22"/>
        </w:rPr>
      </w:pPr>
      <w:r>
        <w:rPr>
          <w:rFonts w:eastAsia="Arial" w:cs="Arial"/>
          <w:color w:val="000000"/>
          <w:sz w:val="22"/>
          <w:szCs w:val="22"/>
        </w:rPr>
        <w:t xml:space="preserve">El accidente cerebrovascular (ACV) constituye una de las principales causas de mortalidad y discapacidad permanente a nivel mundial, representando un desafío crítico para los sistemas de salud. De acuerdo con la Organización Mundial de la Salud, en 2021, los accidentes cerebrovasculares (ACV) fueron la tercera causa de muerte y discapacidad en todo el mundo, con una incidencia estimada de 93,8 millones de casos (OMS, 2025). La detección temprana y la intervención oportuna son factores determinantes en el pronóstico del paciente, </w:t>
      </w:r>
    </w:p>
    <w:p>
      <w:pPr>
        <w:pStyle w:val="BodyText"/>
        <w:spacing w:lineRule="auto" w:line="360"/>
        <w:jc w:val="left"/>
        <w:rPr>
          <w:color w:val="000000"/>
          <w:sz w:val="22"/>
          <w:szCs w:val="22"/>
        </w:rPr>
      </w:pPr>
      <w:r>
        <w:rPr>
          <w:color w:val="000000"/>
          <w:sz w:val="22"/>
          <w:szCs w:val="22"/>
        </w:rPr>
        <w:t>En este contexto, la nemotecnia FAST (Face, Arms, Speech, Time) se ha consolidado como uno de los métodos más efectivos y ampliamente difundidos para la detección rápida de signos de ACV en entornos clínicos y comunitarios. Este protocolo permite evaluar de forma sencilla tres indicadores clave: la asimetría facial, la debilidad en las extremidades superiores y las alteraciones en el habla, los cuales constituyen manifestaciones tempranas de compromiso neurológico. Sin embargo, su aplicación depende en gran medida de la interpretación humana, lo que puede introducir sesgos, errores o retrasos en la toma de decisiones, especialmente en contextos con limitada capacitación o acceso a personal médico especializado.</w:t>
      </w:r>
    </w:p>
    <w:p>
      <w:pPr>
        <w:pStyle w:val="BodyText"/>
        <w:spacing w:lineRule="auto" w:line="360"/>
        <w:jc w:val="left"/>
        <w:rPr>
          <w:color w:val="000000"/>
          <w:sz w:val="22"/>
          <w:szCs w:val="22"/>
        </w:rPr>
      </w:pPr>
      <w:r>
        <w:rPr>
          <w:color w:val="000000"/>
          <w:sz w:val="22"/>
          <w:szCs w:val="22"/>
        </w:rPr>
        <w:t>El avance reciente de la inteligencia artificial (IA), particularmente en el ámbito del aprendizaje automático y el análisis multimodal, ofrece nuevas posibilidades para abordar esta problemática. La capacidad de procesar simultáneamente información visual y auditiva permite desarrollar sistemas automatizados capaces de identificar patrones sutiles asociados a condiciones neurológicas, reduciendo la dependencia de la evaluación subjetiva y ampliando el acceso a herramientas de detección temprana.</w:t>
      </w:r>
    </w:p>
    <w:p>
      <w:pPr>
        <w:pStyle w:val="BodyText"/>
        <w:spacing w:lineRule="auto" w:line="360"/>
        <w:jc w:val="left"/>
        <w:rPr>
          <w:color w:val="000000"/>
          <w:sz w:val="22"/>
          <w:szCs w:val="22"/>
        </w:rPr>
      </w:pPr>
      <w:r>
        <w:rPr>
          <w:color w:val="000000"/>
          <w:sz w:val="22"/>
          <w:szCs w:val="22"/>
        </w:rPr>
        <w:t>En este marco, el presente trabajo, desarrollado como proyecto de grado de la carrera de Ingeniería de Software de la Universidad Católica Boliviana “San Pablo”, propone el diseño e implementación de un sistema inteligente multimodal basado en IA para la detección temprana de signos de ACV. El sistema integra tres modelos de clasificación independientes, cada uno orientado al análisis de un componente del protocolo FAST: rostro, extremidades superiores y habla. A través de la combinación de estos modelos, se busca realizar una evaluación automatizada, no invasiva y en tiempo real o mediante el análisis de archivos multimedia , con el objetivo de generar alertas tempranas que contribuyan a una atención oportuna y a la reducción del impacto neurológico en los pacientes.</w:t>
      </w:r>
    </w:p>
    <w:p>
      <w:pPr>
        <w:pStyle w:val="Normal"/>
        <w:spacing w:lineRule="auto" w:line="360" w:before="0" w:after="160"/>
        <w:jc w:val="left"/>
        <w:rPr>
          <w:rFonts w:ascii="Arial" w:hAnsi="Arial" w:eastAsia="Arial" w:cs="Arial"/>
        </w:rPr>
      </w:pPr>
      <w:r>
        <w:rPr>
          <w:rFonts w:eastAsia="Arial" w:cs="Arial"/>
        </w:rPr>
      </w:r>
    </w:p>
    <w:p>
      <w:pPr>
        <w:pStyle w:val="Heading1"/>
        <w:spacing w:lineRule="auto" w:line="360"/>
        <w:jc w:val="left"/>
        <w:rPr>
          <w:color w:val="000000"/>
          <w:sz w:val="22"/>
          <w:szCs w:val="22"/>
        </w:rPr>
      </w:pPr>
      <w:r>
        <w:rPr>
          <w:rFonts w:eastAsia="Arial" w:cs="Arial" w:ascii="Arial" w:hAnsi="Arial"/>
          <w:b/>
          <w:bCs/>
          <w:color w:val="000000"/>
          <w:sz w:val="22"/>
          <w:szCs w:val="22"/>
        </w:rPr>
        <w:t>Metodología</w:t>
      </w:r>
    </w:p>
    <w:p>
      <w:pPr>
        <w:pStyle w:val="BodyText"/>
        <w:spacing w:lineRule="auto" w:line="360" w:before="0" w:after="160"/>
        <w:jc w:val="left"/>
        <w:rPr>
          <w:color w:val="000000"/>
          <w:sz w:val="22"/>
          <w:szCs w:val="22"/>
        </w:rPr>
      </w:pPr>
      <w:r>
        <w:rPr>
          <w:rFonts w:eastAsia="Arial" w:cs="Arial"/>
          <w:color w:val="000000"/>
          <w:sz w:val="22"/>
          <w:szCs w:val="22"/>
        </w:rPr>
        <w:t>Se adoptó un enfoque cuantitativo con un diseño experimental orientado al desarrollo e implementación de un sistema de clasificación multimodal. El proceso se estructuró en cuatro etapas: recopilación y preparación de datos, entrenamiento de modelos, desarrollo del sistema y evaluación.</w:t>
      </w:r>
    </w:p>
    <w:p>
      <w:pPr>
        <w:pStyle w:val="BodyText"/>
        <w:spacing w:lineRule="auto" w:line="360"/>
        <w:jc w:val="left"/>
        <w:rPr/>
      </w:pPr>
      <w:r>
        <w:rPr>
          <w:rStyle w:val="Strong"/>
          <w:color w:val="000000"/>
          <w:sz w:val="22"/>
          <w:szCs w:val="22"/>
        </w:rPr>
        <w:t>Recopilación y preparación de datos.</w:t>
      </w:r>
      <w:r>
        <w:rPr>
          <w:color w:val="000000"/>
          <w:sz w:val="22"/>
          <w:szCs w:val="22"/>
        </w:rPr>
        <w:br/>
        <w:t xml:space="preserve">Se conformó un conjunto de datos compuesto por 1.850 muestras distribuidas en tres módulos correspondientes a los componentes del protocolo FAST: rostro, brazos y habla. Para el modelo facial, las clases definidas fueron: </w:t>
      </w:r>
      <w:r>
        <w:rPr>
          <w:rStyle w:val="Emphasis"/>
          <w:color w:val="000000"/>
          <w:sz w:val="22"/>
          <w:szCs w:val="22"/>
        </w:rPr>
        <w:t>Sano</w:t>
      </w:r>
      <w:r>
        <w:rPr>
          <w:color w:val="000000"/>
          <w:sz w:val="22"/>
          <w:szCs w:val="22"/>
        </w:rPr>
        <w:t xml:space="preserve">, </w:t>
      </w:r>
      <w:r>
        <w:rPr>
          <w:rStyle w:val="Emphasis"/>
          <w:color w:val="000000"/>
          <w:sz w:val="22"/>
          <w:szCs w:val="22"/>
        </w:rPr>
        <w:t>Signo ACV</w:t>
      </w:r>
      <w:r>
        <w:rPr>
          <w:color w:val="000000"/>
          <w:sz w:val="22"/>
          <w:szCs w:val="22"/>
        </w:rPr>
        <w:t xml:space="preserve"> y </w:t>
      </w:r>
      <w:r>
        <w:rPr>
          <w:rStyle w:val="Emphasis"/>
          <w:color w:val="000000"/>
          <w:sz w:val="22"/>
          <w:szCs w:val="22"/>
        </w:rPr>
        <w:t>Fondo</w:t>
      </w:r>
      <w:r>
        <w:rPr>
          <w:color w:val="000000"/>
          <w:sz w:val="22"/>
          <w:szCs w:val="22"/>
        </w:rPr>
        <w:t xml:space="preserve">. En el modelo de brazos, se consideraron las clases </w:t>
      </w:r>
      <w:r>
        <w:rPr>
          <w:rStyle w:val="Emphasis"/>
          <w:color w:val="000000"/>
          <w:sz w:val="22"/>
          <w:szCs w:val="22"/>
        </w:rPr>
        <w:t>Posición normal</w:t>
      </w:r>
      <w:r>
        <w:rPr>
          <w:color w:val="000000"/>
          <w:sz w:val="22"/>
          <w:szCs w:val="22"/>
        </w:rPr>
        <w:t xml:space="preserve"> y </w:t>
      </w:r>
      <w:r>
        <w:rPr>
          <w:rStyle w:val="Emphasis"/>
          <w:color w:val="000000"/>
          <w:sz w:val="22"/>
          <w:szCs w:val="22"/>
        </w:rPr>
        <w:t>Caída de brazo</w:t>
      </w:r>
      <w:r>
        <w:rPr>
          <w:color w:val="000000"/>
          <w:sz w:val="22"/>
          <w:szCs w:val="22"/>
        </w:rPr>
        <w:t xml:space="preserve">. Para el modelo de audio, se utilizaron las clases </w:t>
      </w:r>
      <w:r>
        <w:rPr>
          <w:rStyle w:val="Emphasis"/>
          <w:color w:val="000000"/>
          <w:sz w:val="22"/>
          <w:szCs w:val="22"/>
        </w:rPr>
        <w:t>Habla normal</w:t>
      </w:r>
      <w:r>
        <w:rPr>
          <w:color w:val="000000"/>
          <w:sz w:val="22"/>
          <w:szCs w:val="22"/>
        </w:rPr>
        <w:t xml:space="preserve"> y </w:t>
      </w:r>
      <w:r>
        <w:rPr>
          <w:rStyle w:val="Emphasis"/>
          <w:color w:val="000000"/>
          <w:sz w:val="22"/>
          <w:szCs w:val="22"/>
        </w:rPr>
        <w:t>Habla arrastrada</w:t>
      </w:r>
      <w:r>
        <w:rPr>
          <w:color w:val="000000"/>
          <w:sz w:val="22"/>
          <w:szCs w:val="22"/>
        </w:rPr>
        <w:t>.</w:t>
        <w:br/>
        <w:t>Las imágenes y grabaciones fueron obtenidas en condiciones controladas de iluminación y fondo, incorporando variaciones en ángulos, distancias y sujetos, con el fin de mejorar la capacidad de generalización de los modelos. Posteriormente, los datos fueron organizados y etiquetados para su uso en el proceso de entrenamiento.</w:t>
      </w:r>
    </w:p>
    <w:p>
      <w:pPr>
        <w:pStyle w:val="BodyText"/>
        <w:spacing w:lineRule="auto" w:line="360"/>
        <w:jc w:val="left"/>
        <w:rPr/>
      </w:pPr>
      <w:r>
        <w:rPr>
          <w:rStyle w:val="Strong"/>
          <w:color w:val="000000"/>
          <w:sz w:val="22"/>
          <w:szCs w:val="22"/>
        </w:rPr>
        <w:t>Entrenamiento de modelos.</w:t>
      </w:r>
      <w:r>
        <w:rPr>
          <w:color w:val="000000"/>
          <w:sz w:val="22"/>
          <w:szCs w:val="22"/>
        </w:rPr>
        <w:br/>
        <w:t>Se desarrollaron tres modelos de clasificación independientes, uno por cada modalidad (visual facial, visual corporal y auditiva). El entrenamiento se realizó utilizando la plataforma Teachable Machine, empleando arquitecturas basadas en redes neuronales convolucionales con transferencia de aprendizaje.</w:t>
        <w:br/>
        <w:t>Cada modelo fue entrenado durante 50 épocas, con un tamaño de lote de 16 y una tasa de aprendizaje de 0,001. Una vez finalizado el entrenamiento, los modelos fueron exportados en formato TensorFlow.js para su posterior integración en una aplicación web.</w:t>
      </w:r>
    </w:p>
    <w:p>
      <w:pPr>
        <w:pStyle w:val="BodyText"/>
        <w:spacing w:lineRule="auto" w:line="360"/>
        <w:jc w:val="left"/>
        <w:rPr/>
      </w:pPr>
      <w:r>
        <w:rPr>
          <w:rStyle w:val="Strong"/>
          <w:color w:val="000000"/>
          <w:sz w:val="22"/>
          <w:szCs w:val="22"/>
        </w:rPr>
        <w:t>Desarrollo del sistema.</w:t>
      </w:r>
      <w:r>
        <w:rPr>
          <w:color w:val="000000"/>
          <w:sz w:val="22"/>
          <w:szCs w:val="22"/>
        </w:rPr>
        <w:br/>
        <w:t>El sistema fue implementado como una aplicación web utilizando Vite y TypeScript. La arquitectura del sistema se basa en un flujo secuencial por fases, donde cada modelo se ejecuta de manera independiente según el componente evaluado.</w:t>
        <w:br/>
        <w:t>Se implementó un mecanismo de carga diferida (lazy loading) que permite cargar cada modelo únicamente en el momento de su ejecución y liberarlo posteriormente, optimizando el uso de memoria en el navegador. La interfaz de usuario permite la captura de datos en tiempo real mediante cámara web y micrófono, así como la importación de archivos multimedia (imagen, video y audio) para su análisis.</w:t>
      </w:r>
    </w:p>
    <w:p>
      <w:pPr>
        <w:pStyle w:val="BodyText"/>
        <w:spacing w:lineRule="auto" w:line="360"/>
        <w:jc w:val="left"/>
        <w:rPr/>
      </w:pPr>
      <w:r>
        <w:rPr>
          <w:rStyle w:val="Strong"/>
          <w:color w:val="000000"/>
          <w:sz w:val="22"/>
          <w:szCs w:val="22"/>
        </w:rPr>
        <w:t>Evaluación del sistema.</w:t>
      </w:r>
      <w:r>
        <w:rPr>
          <w:color w:val="000000"/>
          <w:sz w:val="22"/>
          <w:szCs w:val="22"/>
        </w:rPr>
        <w:br/>
        <w:t>El desempeño del modelo facial fue evaluado mediante un conjunto de prueba compuesto por 20 muestras, distribuidas en 10 casos sanos y 10 casos con signos de ACV. A partir de los resultados obtenidos, se construyó la matriz de confusión y se calcularon las métricas de exactitud, sensibilidad, precisión, especificidad y F1-score. Estas métricas permitieron analizar la capacidad del modelo para clasificar correctamente los casos positivos y negativos.</w:t>
      </w:r>
    </w:p>
    <w:p>
      <w:pPr>
        <w:pStyle w:val="Normal"/>
        <w:spacing w:lineRule="auto" w:line="360" w:before="0" w:after="160"/>
        <w:jc w:val="left"/>
        <w:rPr>
          <w:rFonts w:ascii="Arial" w:hAnsi="Arial" w:eastAsia="Arial" w:cs="Arial"/>
        </w:rPr>
      </w:pPr>
      <w:r>
        <w:rPr>
          <w:rFonts w:eastAsia="Arial" w:cs="Arial"/>
        </w:rPr>
      </w:r>
    </w:p>
    <w:p>
      <w:pPr>
        <w:pStyle w:val="Heading1"/>
        <w:spacing w:lineRule="auto" w:line="360"/>
        <w:jc w:val="left"/>
        <w:rPr>
          <w:rFonts w:ascii="Arial" w:hAnsi="Arial" w:eastAsia="Arial" w:cs="Arial"/>
          <w:b/>
          <w:bCs/>
        </w:rPr>
      </w:pPr>
      <w:r>
        <w:rPr>
          <w:rFonts w:eastAsia="Arial" w:cs="Arial"/>
          <w:b/>
          <w:bCs/>
        </w:rPr>
      </w:r>
    </w:p>
    <w:p>
      <w:pPr>
        <w:pStyle w:val="Heading1"/>
        <w:spacing w:lineRule="auto" w:line="360"/>
        <w:jc w:val="left"/>
        <w:rPr>
          <w:rFonts w:ascii="Arial" w:hAnsi="Arial" w:eastAsia="Arial" w:cs="Arial"/>
          <w:b/>
          <w:bCs/>
        </w:rPr>
      </w:pPr>
      <w:r>
        <w:rPr>
          <w:rFonts w:eastAsia="Arial" w:cs="Arial"/>
          <w:b/>
          <w:bCs/>
        </w:rPr>
      </w:r>
    </w:p>
    <w:p>
      <w:pPr>
        <w:pStyle w:val="Heading1"/>
        <w:spacing w:lineRule="auto" w:line="360"/>
        <w:jc w:val="left"/>
        <w:rPr>
          <w:color w:val="000000"/>
          <w:sz w:val="22"/>
          <w:szCs w:val="22"/>
        </w:rPr>
      </w:pPr>
      <w:r>
        <w:rPr>
          <w:rFonts w:eastAsia="Arial" w:cs="Arial" w:ascii="Arial" w:hAnsi="Arial"/>
          <w:b/>
          <w:bCs/>
          <w:color w:val="000000"/>
          <w:sz w:val="22"/>
          <w:szCs w:val="22"/>
        </w:rPr>
        <w:t>Resultados y discusión</w:t>
      </w:r>
    </w:p>
    <w:p>
      <w:pPr>
        <w:pStyle w:val="Heading2"/>
        <w:spacing w:lineRule="auto" w:line="360" w:before="160" w:after="80"/>
        <w:jc w:val="left"/>
        <w:rPr>
          <w:color w:val="000000"/>
          <w:sz w:val="22"/>
          <w:szCs w:val="22"/>
        </w:rPr>
      </w:pPr>
      <w:r>
        <w:rPr>
          <w:rFonts w:eastAsia="Arial" w:cs="Arial" w:ascii="Arial" w:hAnsi="Arial"/>
          <w:b/>
          <w:bCs/>
          <w:color w:val="000000"/>
          <w:sz w:val="22"/>
          <w:szCs w:val="22"/>
        </w:rPr>
        <w:t>Resultados</w:t>
      </w:r>
    </w:p>
    <w:p>
      <w:pPr>
        <w:pStyle w:val="Normal"/>
        <w:spacing w:lineRule="auto" w:line="360" w:before="0" w:after="160"/>
        <w:jc w:val="left"/>
        <w:rPr>
          <w:color w:val="000000"/>
          <w:sz w:val="22"/>
          <w:szCs w:val="22"/>
        </w:rPr>
      </w:pPr>
      <w:r>
        <w:rPr>
          <w:rFonts w:eastAsia="Arial" w:cs="Arial"/>
          <w:color w:val="000000"/>
          <w:sz w:val="22"/>
          <w:szCs w:val="22"/>
        </w:rPr>
        <w:t>Los resultados obtenidos evidencian el desempeño de los tres modelos que conforman el sistema multimodal para la detección temprana de signos de ACV, correspondientes a los componentes de rostro, brazos y habla. A partir de las matrices de confusión construidas para cada modelo, se analizan los principales indicadores de clasificación sobre un conjunto de prueba de 20 muestras por modalidad. Estos datos permiten observar el comportamiento del sistema frente a casos positivos y negativos, así como identificar la presencia de errores de clasificación relevantes.</w:t>
      </w:r>
    </w:p>
    <w:p>
      <w:pPr>
        <w:pStyle w:val="Normal"/>
        <w:spacing w:lineRule="auto" w:line="360" w:before="160" w:after="60"/>
        <w:jc w:val="left"/>
        <w:rPr>
          <w:color w:val="000000"/>
          <w:sz w:val="22"/>
          <w:szCs w:val="22"/>
        </w:rPr>
      </w:pPr>
      <w:r>
        <w:rPr>
          <w:rFonts w:eastAsia="Arial" w:cs="Arial"/>
          <w:b/>
          <w:bCs/>
          <w:color w:val="000000"/>
          <w:sz w:val="22"/>
          <w:szCs w:val="22"/>
        </w:rPr>
        <w:t>Tabla 1</w:t>
      </w:r>
    </w:p>
    <w:p>
      <w:pPr>
        <w:pStyle w:val="Normal"/>
        <w:spacing w:lineRule="auto" w:line="360" w:before="0" w:after="100"/>
        <w:jc w:val="left"/>
        <w:rPr>
          <w:color w:val="000000"/>
          <w:sz w:val="22"/>
          <w:szCs w:val="22"/>
        </w:rPr>
      </w:pPr>
      <w:r>
        <w:rPr>
          <w:rFonts w:eastAsia="Arial" w:cs="Arial"/>
          <w:i/>
          <w:iCs/>
          <w:color w:val="000000"/>
          <w:sz w:val="22"/>
          <w:szCs w:val="22"/>
        </w:rPr>
        <w:t>Matriz de confusión del modelo de detección facial</w:t>
      </w:r>
    </w:p>
    <w:tbl>
      <w:tblPr>
        <w:tblW w:w="9376" w:type="dxa"/>
        <w:jc w:val="left"/>
        <w:tblInd w:w="-16" w:type="dxa"/>
        <w:tblLayout w:type="fixed"/>
        <w:tblCellMar>
          <w:top w:w="80" w:type="dxa"/>
          <w:left w:w="120" w:type="dxa"/>
          <w:bottom w:w="80" w:type="dxa"/>
          <w:right w:w="120" w:type="dxa"/>
        </w:tblCellMar>
      </w:tblPr>
      <w:tblGrid>
        <w:gridCol w:w="2355"/>
        <w:gridCol w:w="3029"/>
        <w:gridCol w:w="3992"/>
      </w:tblGrid>
      <w:tr>
        <w:trPr/>
        <w:tc>
          <w:tcPr>
            <w:tcW w:w="2355" w:type="dxa"/>
            <w:tcBorders>
              <w:top w:val="single" w:sz="2" w:space="0" w:color="CCCCCC"/>
              <w:left w:val="single" w:sz="2" w:space="0" w:color="CCCCCC"/>
              <w:bottom w:val="single" w:sz="2" w:space="0" w:color="CCCCCC"/>
              <w:right w:val="single" w:sz="2" w:space="0" w:color="CCCCCC"/>
            </w:tcBorders>
            <w:shd w:fill="2E75B6" w:val="clear"/>
          </w:tcPr>
          <w:p>
            <w:pPr>
              <w:pStyle w:val="Normal"/>
              <w:spacing w:lineRule="auto" w:line="360"/>
              <w:jc w:val="left"/>
              <w:rPr>
                <w:color w:val="000000"/>
                <w:sz w:val="22"/>
                <w:szCs w:val="22"/>
              </w:rPr>
            </w:pPr>
            <w:r>
              <w:rPr>
                <w:rFonts w:eastAsia="Arial" w:cs="Arial"/>
                <w:b/>
                <w:bCs/>
                <w:color w:val="000000"/>
                <w:sz w:val="22"/>
                <w:szCs w:val="22"/>
              </w:rPr>
              <w:t>N = 20</w:t>
            </w:r>
          </w:p>
        </w:tc>
        <w:tc>
          <w:tcPr>
            <w:tcW w:w="3029" w:type="dxa"/>
            <w:tcBorders>
              <w:top w:val="single" w:sz="2" w:space="0" w:color="CCCCCC"/>
              <w:left w:val="single" w:sz="2" w:space="0" w:color="CCCCCC"/>
              <w:bottom w:val="single" w:sz="2" w:space="0" w:color="CCCCCC"/>
              <w:right w:val="single" w:sz="2" w:space="0" w:color="CCCCCC"/>
            </w:tcBorders>
            <w:shd w:fill="2E75B6" w:val="clear"/>
          </w:tcPr>
          <w:p>
            <w:pPr>
              <w:pStyle w:val="Normal"/>
              <w:spacing w:lineRule="auto" w:line="360"/>
              <w:jc w:val="left"/>
              <w:rPr>
                <w:color w:val="000000"/>
                <w:sz w:val="22"/>
                <w:szCs w:val="22"/>
              </w:rPr>
            </w:pPr>
            <w:r>
              <w:rPr>
                <w:rFonts w:eastAsia="Arial" w:cs="Arial"/>
                <w:b/>
                <w:bCs/>
                <w:color w:val="000000"/>
                <w:sz w:val="22"/>
                <w:szCs w:val="22"/>
              </w:rPr>
              <w:t>Sano</w:t>
            </w:r>
          </w:p>
        </w:tc>
        <w:tc>
          <w:tcPr>
            <w:tcW w:w="3992" w:type="dxa"/>
            <w:tcBorders>
              <w:top w:val="single" w:sz="2" w:space="0" w:color="CCCCCC"/>
              <w:left w:val="single" w:sz="2" w:space="0" w:color="CCCCCC"/>
              <w:bottom w:val="single" w:sz="2" w:space="0" w:color="CCCCCC"/>
              <w:right w:val="single" w:sz="2" w:space="0" w:color="CCCCCC"/>
            </w:tcBorders>
            <w:shd w:fill="2E75B6" w:val="clear"/>
          </w:tcPr>
          <w:p>
            <w:pPr>
              <w:pStyle w:val="Normal"/>
              <w:spacing w:lineRule="auto" w:line="360"/>
              <w:jc w:val="left"/>
              <w:rPr>
                <w:color w:val="000000"/>
                <w:sz w:val="22"/>
                <w:szCs w:val="22"/>
              </w:rPr>
            </w:pPr>
            <w:r>
              <w:rPr>
                <w:rFonts w:eastAsia="Arial" w:cs="Arial"/>
                <w:b/>
                <w:bCs/>
                <w:color w:val="000000"/>
                <w:sz w:val="22"/>
                <w:szCs w:val="22"/>
              </w:rPr>
              <w:t>Asimetría</w:t>
            </w:r>
          </w:p>
        </w:tc>
      </w:tr>
      <w:tr>
        <w:trPr>
          <w:trHeight w:val="358" w:hRule="atLeast"/>
        </w:trPr>
        <w:tc>
          <w:tcPr>
            <w:tcW w:w="2355" w:type="dxa"/>
            <w:tcBorders>
              <w:top w:val="single" w:sz="2" w:space="0" w:color="CCCCCC"/>
              <w:left w:val="single" w:sz="2" w:space="0" w:color="CCCCCC"/>
              <w:bottom w:val="single" w:sz="2" w:space="0" w:color="CCCCCC"/>
              <w:right w:val="single" w:sz="2" w:space="0" w:color="CCCCCC"/>
            </w:tcBorders>
            <w:shd w:fill="EBF3FB" w:val="clear"/>
          </w:tcPr>
          <w:p>
            <w:pPr>
              <w:pStyle w:val="Normal"/>
              <w:spacing w:lineRule="auto" w:line="360"/>
              <w:jc w:val="left"/>
              <w:rPr>
                <w:color w:val="000000"/>
                <w:sz w:val="22"/>
                <w:szCs w:val="22"/>
              </w:rPr>
            </w:pPr>
            <w:r>
              <w:rPr>
                <w:rFonts w:eastAsia="Arial" w:cs="Arial"/>
                <w:color w:val="000000"/>
                <w:sz w:val="22"/>
                <w:szCs w:val="22"/>
              </w:rPr>
              <w:t>Realidad: Sano</w:t>
            </w:r>
          </w:p>
        </w:tc>
        <w:tc>
          <w:tcPr>
            <w:tcW w:w="3029" w:type="dxa"/>
            <w:tcBorders>
              <w:top w:val="single" w:sz="2" w:space="0" w:color="CCCCCC"/>
              <w:left w:val="single" w:sz="2" w:space="0" w:color="CCCCCC"/>
              <w:bottom w:val="single" w:sz="2" w:space="0" w:color="CCCCCC"/>
              <w:right w:val="single" w:sz="2" w:space="0" w:color="CCCCCC"/>
            </w:tcBorders>
          </w:tcPr>
          <w:p>
            <w:pPr>
              <w:pStyle w:val="Normal"/>
              <w:spacing w:lineRule="auto" w:line="360"/>
              <w:jc w:val="left"/>
              <w:rPr>
                <w:color w:val="000000"/>
                <w:sz w:val="22"/>
                <w:szCs w:val="22"/>
              </w:rPr>
            </w:pPr>
            <w:r>
              <w:rPr>
                <w:rFonts w:eastAsia="Arial" w:cs="Arial"/>
                <w:color w:val="000000"/>
                <w:sz w:val="22"/>
                <w:szCs w:val="22"/>
              </w:rPr>
              <w:t>7 ( VN )</w:t>
            </w:r>
          </w:p>
        </w:tc>
        <w:tc>
          <w:tcPr>
            <w:tcW w:w="3992" w:type="dxa"/>
            <w:tcBorders>
              <w:top w:val="single" w:sz="2" w:space="0" w:color="CCCCCC"/>
              <w:left w:val="single" w:sz="2" w:space="0" w:color="CCCCCC"/>
              <w:bottom w:val="single" w:sz="2" w:space="0" w:color="CCCCCC"/>
              <w:right w:val="single" w:sz="2" w:space="0" w:color="CCCCCC"/>
            </w:tcBorders>
            <w:shd w:fill="D5E8D4" w:val="clear"/>
          </w:tcPr>
          <w:p>
            <w:pPr>
              <w:pStyle w:val="Normal"/>
              <w:spacing w:lineRule="auto" w:line="360"/>
              <w:jc w:val="left"/>
              <w:rPr>
                <w:color w:val="000000"/>
                <w:sz w:val="22"/>
                <w:szCs w:val="22"/>
              </w:rPr>
            </w:pPr>
            <w:r>
              <w:rPr>
                <w:rFonts w:eastAsia="Arial" w:cs="Arial"/>
                <w:color w:val="000000"/>
                <w:sz w:val="22"/>
                <w:szCs w:val="22"/>
              </w:rPr>
              <w:t>3 ( FP )</w:t>
            </w:r>
          </w:p>
        </w:tc>
      </w:tr>
      <w:tr>
        <w:trPr>
          <w:trHeight w:val="471" w:hRule="atLeast"/>
        </w:trPr>
        <w:tc>
          <w:tcPr>
            <w:tcW w:w="2355" w:type="dxa"/>
            <w:tcBorders>
              <w:top w:val="single" w:sz="2" w:space="0" w:color="CCCCCC"/>
              <w:left w:val="single" w:sz="2" w:space="0" w:color="CCCCCC"/>
              <w:bottom w:val="single" w:sz="2" w:space="0" w:color="CCCCCC"/>
              <w:right w:val="single" w:sz="2" w:space="0" w:color="CCCCCC"/>
            </w:tcBorders>
            <w:shd w:fill="EBF3FB" w:val="clear"/>
          </w:tcPr>
          <w:p>
            <w:pPr>
              <w:pStyle w:val="Normal"/>
              <w:spacing w:lineRule="auto" w:line="360"/>
              <w:jc w:val="left"/>
              <w:rPr>
                <w:color w:val="000000"/>
                <w:sz w:val="22"/>
                <w:szCs w:val="22"/>
              </w:rPr>
            </w:pPr>
            <w:r>
              <w:rPr>
                <w:rFonts w:eastAsia="Arial" w:cs="Arial"/>
                <w:color w:val="000000"/>
                <w:sz w:val="22"/>
                <w:szCs w:val="22"/>
              </w:rPr>
              <w:t>Realidad: Asimetría</w:t>
            </w:r>
          </w:p>
        </w:tc>
        <w:tc>
          <w:tcPr>
            <w:tcW w:w="3029" w:type="dxa"/>
            <w:tcBorders>
              <w:top w:val="single" w:sz="2" w:space="0" w:color="CCCCCC"/>
              <w:left w:val="single" w:sz="2" w:space="0" w:color="CCCCCC"/>
              <w:bottom w:val="single" w:sz="2" w:space="0" w:color="CCCCCC"/>
              <w:right w:val="single" w:sz="2" w:space="0" w:color="CCCCCC"/>
            </w:tcBorders>
          </w:tcPr>
          <w:p>
            <w:pPr>
              <w:pStyle w:val="Normal"/>
              <w:spacing w:lineRule="auto" w:line="360"/>
              <w:jc w:val="left"/>
              <w:rPr>
                <w:color w:val="000000"/>
                <w:sz w:val="22"/>
                <w:szCs w:val="22"/>
              </w:rPr>
            </w:pPr>
            <w:r>
              <w:rPr>
                <w:rFonts w:eastAsia="Arial" w:cs="Arial"/>
                <w:color w:val="000000"/>
                <w:sz w:val="22"/>
                <w:szCs w:val="22"/>
              </w:rPr>
              <w:t>4 ( FN )</w:t>
            </w:r>
          </w:p>
        </w:tc>
        <w:tc>
          <w:tcPr>
            <w:tcW w:w="3992" w:type="dxa"/>
            <w:tcBorders>
              <w:top w:val="single" w:sz="2" w:space="0" w:color="CCCCCC"/>
              <w:left w:val="single" w:sz="2" w:space="0" w:color="CCCCCC"/>
              <w:bottom w:val="single" w:sz="2" w:space="0" w:color="CCCCCC"/>
              <w:right w:val="single" w:sz="2" w:space="0" w:color="CCCCCC"/>
            </w:tcBorders>
            <w:shd w:fill="FFF2CC" w:val="clear"/>
          </w:tcPr>
          <w:p>
            <w:pPr>
              <w:pStyle w:val="Normal"/>
              <w:spacing w:lineRule="auto" w:line="360"/>
              <w:jc w:val="left"/>
              <w:rPr>
                <w:color w:val="000000"/>
                <w:sz w:val="22"/>
                <w:szCs w:val="22"/>
              </w:rPr>
            </w:pPr>
            <w:r>
              <w:rPr>
                <w:rFonts w:eastAsia="Arial" w:cs="Arial"/>
                <w:color w:val="000000"/>
                <w:sz w:val="22"/>
                <w:szCs w:val="22"/>
              </w:rPr>
              <w:t>6 ( VP )</w:t>
            </w:r>
          </w:p>
        </w:tc>
      </w:tr>
    </w:tbl>
    <w:p>
      <w:pPr>
        <w:pStyle w:val="Normal"/>
        <w:spacing w:lineRule="auto" w:line="360" w:before="80" w:after="160"/>
        <w:jc w:val="left"/>
        <w:rPr>
          <w:rFonts w:ascii="Arial" w:hAnsi="Arial" w:eastAsia="Arial" w:cs="Arial"/>
        </w:rPr>
      </w:pPr>
      <w:r>
        <w:rPr>
          <w:rFonts w:eastAsia="Arial" w:cs="Arial"/>
        </w:rPr>
      </w:r>
    </w:p>
    <w:p>
      <w:pPr>
        <w:pStyle w:val="Normal"/>
        <w:spacing w:lineRule="auto" w:line="360" w:before="80" w:after="160"/>
        <w:jc w:val="left"/>
        <w:rPr>
          <w:rFonts w:ascii="Arial" w:hAnsi="Arial" w:eastAsia="Arial" w:cs="Arial"/>
        </w:rPr>
      </w:pPr>
      <w:r>
        <w:rPr>
          <w:rFonts w:eastAsia="Arial" w:cs="Arial"/>
          <w:color w:val="000000"/>
          <w:sz w:val="22"/>
          <w:szCs w:val="22"/>
        </w:rPr>
        <w:t xml:space="preserve">Los resultados del modelo facial indican que el sistema clasifica correctamente el 65% (13) de los casos evaluados. La sensibilidad alcanza el 60% (6), lo que evidencia que el modelo identifica 6 de los 10 casos reales con asimetría facial, mientras que el 40% (4) corresponde a falsos negativos. La especificidad se sitúa en 70% (7), reflejando una adecuada identificación de rostros sanos, aunque se observa un 30% (3) de falsos positivos. Estos datos indican que el modelo presenta limitaciones en la detección de todos los casos positivos, lo cual puede afectar su uso en contextos clínicos donde la omisión de un caso es crítica. Los </w:t>
      </w:r>
      <w:r>
        <w:rPr>
          <w:rFonts w:eastAsia="Arial" w:cs="Arial"/>
          <w:b w:val="false"/>
          <w:bCs w:val="false"/>
          <w:color w:val="000000"/>
          <w:sz w:val="22"/>
          <w:szCs w:val="22"/>
        </w:rPr>
        <w:t xml:space="preserve">4 Falsos Negativos (FN) </w:t>
      </w:r>
      <w:r>
        <w:rPr>
          <w:rFonts w:eastAsia="Arial" w:cs="Arial"/>
          <w:color w:val="000000"/>
          <w:sz w:val="22"/>
          <w:szCs w:val="22"/>
        </w:rPr>
        <w:t>son el punto crítico: asimetrías leves que el modelo no detectó por falta de resolución o entrenamiento en ángulos variados.</w:t>
      </w:r>
    </w:p>
    <w:p>
      <w:pPr>
        <w:pStyle w:val="Normal"/>
        <w:spacing w:lineRule="auto" w:line="360" w:before="160" w:after="60"/>
        <w:jc w:val="left"/>
        <w:rPr>
          <w:color w:val="000000"/>
          <w:sz w:val="22"/>
          <w:szCs w:val="22"/>
        </w:rPr>
      </w:pPr>
      <w:r>
        <w:rPr>
          <w:rFonts w:eastAsia="Arial" w:cs="Arial"/>
          <w:b/>
          <w:bCs/>
          <w:color w:val="000000"/>
          <w:sz w:val="22"/>
          <w:szCs w:val="22"/>
        </w:rPr>
        <w:t>Tabla 2</w:t>
      </w:r>
    </w:p>
    <w:p>
      <w:pPr>
        <w:pStyle w:val="Normal"/>
        <w:spacing w:lineRule="auto" w:line="360" w:before="0" w:after="100"/>
        <w:jc w:val="left"/>
        <w:rPr>
          <w:color w:val="000000"/>
          <w:sz w:val="22"/>
          <w:szCs w:val="22"/>
        </w:rPr>
      </w:pPr>
      <w:r>
        <w:rPr>
          <w:rFonts w:eastAsia="Arial" w:cs="Arial"/>
          <w:i/>
          <w:iCs/>
          <w:color w:val="000000"/>
          <w:sz w:val="22"/>
          <w:szCs w:val="22"/>
        </w:rPr>
        <w:t>Matriz de confusión del modelo de detección de brazos</w:t>
      </w:r>
    </w:p>
    <w:tbl>
      <w:tblPr>
        <w:tblW w:w="9360" w:type="dxa"/>
        <w:jc w:val="left"/>
        <w:tblInd w:w="0" w:type="dxa"/>
        <w:tblLayout w:type="fixed"/>
        <w:tblCellMar>
          <w:top w:w="80" w:type="dxa"/>
          <w:left w:w="120" w:type="dxa"/>
          <w:bottom w:w="80" w:type="dxa"/>
          <w:right w:w="12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2E75B6" w:val="clear"/>
          </w:tcPr>
          <w:p>
            <w:pPr>
              <w:pStyle w:val="Normal"/>
              <w:spacing w:lineRule="auto" w:line="360"/>
              <w:jc w:val="left"/>
              <w:rPr>
                <w:color w:val="000000"/>
                <w:sz w:val="22"/>
                <w:szCs w:val="22"/>
              </w:rPr>
            </w:pPr>
            <w:r>
              <w:rPr>
                <w:rFonts w:eastAsia="Arial" w:cs="Arial"/>
                <w:b/>
                <w:bCs/>
                <w:color w:val="000000"/>
                <w:sz w:val="22"/>
                <w:szCs w:val="22"/>
              </w:rPr>
              <w:t>N = 20</w:t>
            </w:r>
          </w:p>
        </w:tc>
        <w:tc>
          <w:tcPr>
            <w:tcW w:w="3120" w:type="dxa"/>
            <w:tcBorders>
              <w:top w:val="single" w:sz="2" w:space="0" w:color="CCCCCC"/>
              <w:left w:val="single" w:sz="2" w:space="0" w:color="CCCCCC"/>
              <w:bottom w:val="single" w:sz="2" w:space="0" w:color="CCCCCC"/>
              <w:right w:val="single" w:sz="2" w:space="0" w:color="CCCCCC"/>
            </w:tcBorders>
            <w:shd w:fill="2E75B6" w:val="clear"/>
          </w:tcPr>
          <w:p>
            <w:pPr>
              <w:pStyle w:val="Normal"/>
              <w:spacing w:lineRule="auto" w:line="360"/>
              <w:jc w:val="left"/>
              <w:rPr>
                <w:color w:val="000000"/>
                <w:sz w:val="22"/>
                <w:szCs w:val="22"/>
              </w:rPr>
            </w:pPr>
            <w:r>
              <w:rPr>
                <w:rFonts w:eastAsia="Arial" w:cs="Arial"/>
                <w:b/>
                <w:bCs/>
                <w:color w:val="000000"/>
                <w:sz w:val="22"/>
                <w:szCs w:val="22"/>
              </w:rPr>
              <w:t>Normal</w:t>
            </w:r>
          </w:p>
        </w:tc>
        <w:tc>
          <w:tcPr>
            <w:tcW w:w="3120" w:type="dxa"/>
            <w:tcBorders>
              <w:top w:val="single" w:sz="2" w:space="0" w:color="CCCCCC"/>
              <w:left w:val="single" w:sz="2" w:space="0" w:color="CCCCCC"/>
              <w:bottom w:val="single" w:sz="2" w:space="0" w:color="CCCCCC"/>
              <w:right w:val="single" w:sz="2" w:space="0" w:color="CCCCCC"/>
            </w:tcBorders>
            <w:shd w:fill="2E75B6" w:val="clear"/>
          </w:tcPr>
          <w:p>
            <w:pPr>
              <w:pStyle w:val="Normal"/>
              <w:spacing w:lineRule="auto" w:line="360"/>
              <w:jc w:val="left"/>
              <w:rPr>
                <w:color w:val="000000"/>
                <w:sz w:val="22"/>
                <w:szCs w:val="22"/>
              </w:rPr>
            </w:pPr>
            <w:r>
              <w:rPr>
                <w:rFonts w:eastAsia="Arial" w:cs="Arial"/>
                <w:b/>
                <w:bCs/>
                <w:color w:val="000000"/>
                <w:sz w:val="22"/>
                <w:szCs w:val="22"/>
              </w:rPr>
              <w:t>Debilidad Unilateral</w:t>
            </w:r>
          </w:p>
        </w:tc>
      </w:tr>
      <w:tr>
        <w:trPr/>
        <w:tc>
          <w:tcPr>
            <w:tcW w:w="3120" w:type="dxa"/>
            <w:tcBorders>
              <w:top w:val="single" w:sz="2" w:space="0" w:color="CCCCCC"/>
              <w:left w:val="single" w:sz="2" w:space="0" w:color="CCCCCC"/>
              <w:bottom w:val="single" w:sz="2" w:space="0" w:color="CCCCCC"/>
              <w:right w:val="single" w:sz="2" w:space="0" w:color="CCCCCC"/>
            </w:tcBorders>
            <w:shd w:fill="EBF3FB" w:val="clear"/>
          </w:tcPr>
          <w:p>
            <w:pPr>
              <w:pStyle w:val="Normal"/>
              <w:spacing w:lineRule="auto" w:line="360"/>
              <w:jc w:val="left"/>
              <w:rPr>
                <w:color w:val="000000"/>
                <w:sz w:val="22"/>
                <w:szCs w:val="22"/>
              </w:rPr>
            </w:pPr>
            <w:r>
              <w:rPr>
                <w:rFonts w:eastAsia="Arial" w:cs="Arial"/>
                <w:color w:val="000000"/>
                <w:sz w:val="22"/>
                <w:szCs w:val="22"/>
              </w:rPr>
              <w:t>Realidad: Normal</w:t>
            </w:r>
          </w:p>
        </w:tc>
        <w:tc>
          <w:tcPr>
            <w:tcW w:w="3120" w:type="dxa"/>
            <w:tcBorders>
              <w:top w:val="single" w:sz="2" w:space="0" w:color="CCCCCC"/>
              <w:left w:val="single" w:sz="2" w:space="0" w:color="CCCCCC"/>
              <w:bottom w:val="single" w:sz="2" w:space="0" w:color="CCCCCC"/>
              <w:right w:val="single" w:sz="2" w:space="0" w:color="CCCCCC"/>
            </w:tcBorders>
          </w:tcPr>
          <w:p>
            <w:pPr>
              <w:pStyle w:val="Normal"/>
              <w:spacing w:lineRule="auto" w:line="360"/>
              <w:jc w:val="left"/>
              <w:rPr>
                <w:color w:val="000000"/>
                <w:sz w:val="22"/>
                <w:szCs w:val="22"/>
              </w:rPr>
            </w:pPr>
            <w:r>
              <w:rPr>
                <w:rFonts w:eastAsia="Arial" w:cs="Arial"/>
                <w:color w:val="000000"/>
                <w:sz w:val="22"/>
                <w:szCs w:val="22"/>
              </w:rPr>
              <w:t>9 ( VN )</w:t>
            </w:r>
          </w:p>
        </w:tc>
        <w:tc>
          <w:tcPr>
            <w:tcW w:w="3120" w:type="dxa"/>
            <w:tcBorders>
              <w:top w:val="single" w:sz="2" w:space="0" w:color="CCCCCC"/>
              <w:left w:val="single" w:sz="2" w:space="0" w:color="CCCCCC"/>
              <w:bottom w:val="single" w:sz="2" w:space="0" w:color="CCCCCC"/>
              <w:right w:val="single" w:sz="2" w:space="0" w:color="CCCCCC"/>
            </w:tcBorders>
          </w:tcPr>
          <w:p>
            <w:pPr>
              <w:pStyle w:val="Normal"/>
              <w:spacing w:lineRule="auto" w:line="360"/>
              <w:jc w:val="left"/>
              <w:rPr>
                <w:color w:val="000000"/>
                <w:sz w:val="22"/>
                <w:szCs w:val="22"/>
              </w:rPr>
            </w:pPr>
            <w:r>
              <w:rPr>
                <w:rFonts w:eastAsia="Arial" w:cs="Arial"/>
                <w:color w:val="000000"/>
                <w:sz w:val="22"/>
                <w:szCs w:val="22"/>
              </w:rPr>
              <w:t>1 ( FP )</w:t>
            </w:r>
          </w:p>
        </w:tc>
      </w:tr>
      <w:tr>
        <w:trPr/>
        <w:tc>
          <w:tcPr>
            <w:tcW w:w="3120" w:type="dxa"/>
            <w:tcBorders>
              <w:top w:val="single" w:sz="2" w:space="0" w:color="CCCCCC"/>
              <w:left w:val="single" w:sz="2" w:space="0" w:color="CCCCCC"/>
              <w:bottom w:val="single" w:sz="2" w:space="0" w:color="CCCCCC"/>
              <w:right w:val="single" w:sz="2" w:space="0" w:color="CCCCCC"/>
            </w:tcBorders>
            <w:shd w:fill="EBF3FB" w:val="clear"/>
          </w:tcPr>
          <w:p>
            <w:pPr>
              <w:pStyle w:val="Normal"/>
              <w:spacing w:lineRule="auto" w:line="360"/>
              <w:jc w:val="left"/>
              <w:rPr>
                <w:color w:val="000000"/>
                <w:sz w:val="22"/>
                <w:szCs w:val="22"/>
              </w:rPr>
            </w:pPr>
            <w:r>
              <w:rPr>
                <w:rFonts w:eastAsia="Arial" w:cs="Arial"/>
                <w:color w:val="000000"/>
                <w:sz w:val="22"/>
                <w:szCs w:val="22"/>
              </w:rPr>
              <w:t>Realidad: Debilidad Unilateral</w:t>
            </w:r>
          </w:p>
        </w:tc>
        <w:tc>
          <w:tcPr>
            <w:tcW w:w="3120" w:type="dxa"/>
            <w:tcBorders>
              <w:top w:val="single" w:sz="2" w:space="0" w:color="CCCCCC"/>
              <w:left w:val="single" w:sz="2" w:space="0" w:color="CCCCCC"/>
              <w:bottom w:val="single" w:sz="2" w:space="0" w:color="CCCCCC"/>
              <w:right w:val="single" w:sz="2" w:space="0" w:color="CCCCCC"/>
            </w:tcBorders>
          </w:tcPr>
          <w:p>
            <w:pPr>
              <w:pStyle w:val="Normal"/>
              <w:spacing w:lineRule="auto" w:line="360"/>
              <w:jc w:val="left"/>
              <w:rPr>
                <w:color w:val="000000"/>
                <w:sz w:val="22"/>
                <w:szCs w:val="22"/>
              </w:rPr>
            </w:pPr>
            <w:r>
              <w:rPr>
                <w:rFonts w:eastAsia="Arial" w:cs="Arial"/>
                <w:color w:val="000000"/>
                <w:sz w:val="22"/>
                <w:szCs w:val="22"/>
              </w:rPr>
              <w:t>1 ( FN )</w:t>
            </w:r>
          </w:p>
        </w:tc>
        <w:tc>
          <w:tcPr>
            <w:tcW w:w="3120" w:type="dxa"/>
            <w:tcBorders>
              <w:top w:val="single" w:sz="2" w:space="0" w:color="CCCCCC"/>
              <w:left w:val="single" w:sz="2" w:space="0" w:color="CCCCCC"/>
              <w:bottom w:val="single" w:sz="2" w:space="0" w:color="CCCCCC"/>
              <w:right w:val="single" w:sz="2" w:space="0" w:color="CCCCCC"/>
            </w:tcBorders>
          </w:tcPr>
          <w:p>
            <w:pPr>
              <w:pStyle w:val="Normal"/>
              <w:spacing w:lineRule="auto" w:line="360"/>
              <w:jc w:val="left"/>
              <w:rPr>
                <w:color w:val="000000"/>
                <w:sz w:val="22"/>
                <w:szCs w:val="22"/>
              </w:rPr>
            </w:pPr>
            <w:r>
              <w:rPr>
                <w:rFonts w:eastAsia="Arial" w:cs="Arial"/>
                <w:color w:val="000000"/>
                <w:sz w:val="22"/>
                <w:szCs w:val="22"/>
              </w:rPr>
              <w:t>9 ( VP )</w:t>
            </w:r>
          </w:p>
        </w:tc>
      </w:tr>
    </w:tbl>
    <w:p>
      <w:pPr>
        <w:pStyle w:val="Normal"/>
        <w:spacing w:lineRule="auto" w:line="360" w:before="80" w:after="160"/>
        <w:jc w:val="left"/>
        <w:rPr>
          <w:rFonts w:ascii="Arial" w:hAnsi="Arial" w:eastAsia="Arial" w:cs="Arial"/>
        </w:rPr>
      </w:pPr>
      <w:r>
        <w:rPr>
          <w:rFonts w:eastAsia="Arial" w:cs="Arial"/>
        </w:rPr>
      </w:r>
    </w:p>
    <w:p>
      <w:pPr>
        <w:pStyle w:val="Normal"/>
        <w:spacing w:lineRule="auto" w:line="360" w:before="80" w:after="160"/>
        <w:jc w:val="left"/>
        <w:rPr>
          <w:color w:val="000000"/>
          <w:sz w:val="22"/>
          <w:szCs w:val="22"/>
        </w:rPr>
      </w:pPr>
      <w:r>
        <w:rPr>
          <w:rFonts w:eastAsia="Arial" w:cs="Arial"/>
          <w:color w:val="000000"/>
          <w:sz w:val="22"/>
          <w:szCs w:val="22"/>
        </w:rPr>
        <w:t xml:space="preserve">Este suele ser el más preciso porque </w:t>
      </w:r>
      <w:r>
        <w:rPr>
          <w:rFonts w:eastAsia="Arial" w:cs="Arial"/>
          <w:b/>
          <w:color w:val="000000"/>
          <w:sz w:val="22"/>
          <w:szCs w:val="22"/>
        </w:rPr>
        <w:t>PoseNet</w:t>
      </w:r>
      <w:r>
        <w:rPr>
          <w:rFonts w:eastAsia="Arial" w:cs="Arial"/>
          <w:color w:val="000000"/>
          <w:sz w:val="22"/>
          <w:szCs w:val="22"/>
        </w:rPr>
        <w:t xml:space="preserve"> trabaja con vectores y coordenadas, ignorando gran parte del ruido visual (colores/luces). Los resultados del modelo de brazos muestran un desempeño superior en comparación con las otras modalidades. La exactitud alcanza el 90% (18), evidenciando una alta capacidad de clasificación correcta. La sensibilidad y la especificidad son ambas del 90% (9), lo que indica que el modelo detecta adecuadamente tanto los casos con debilidad como los casos normales, presentando únicamente un 10% (1) de falsos positivos y un 10% (1) de falsos negativos. Estos datos indican que el análisis de la posición de los brazos constituye un indicador robusto dentro del sistema propuesto.</w:t>
      </w:r>
    </w:p>
    <w:p>
      <w:pPr>
        <w:pStyle w:val="Normal"/>
        <w:spacing w:lineRule="auto" w:line="360" w:before="80" w:after="160"/>
        <w:jc w:val="left"/>
        <w:rPr>
          <w:rFonts w:ascii="Arial" w:hAnsi="Arial" w:eastAsia="Arial" w:cs="Arial"/>
        </w:rPr>
      </w:pPr>
      <w:r>
        <w:rPr>
          <w:rFonts w:eastAsia="Arial" w:cs="Arial"/>
        </w:rPr>
      </w:r>
    </w:p>
    <w:p>
      <w:pPr>
        <w:pStyle w:val="Normal"/>
        <w:spacing w:lineRule="auto" w:line="360" w:before="160" w:after="60"/>
        <w:jc w:val="left"/>
        <w:rPr>
          <w:color w:val="000000"/>
          <w:sz w:val="22"/>
          <w:szCs w:val="22"/>
        </w:rPr>
      </w:pPr>
      <w:r>
        <w:rPr>
          <w:rFonts w:eastAsia="Arial" w:cs="Arial"/>
          <w:b/>
          <w:bCs/>
          <w:color w:val="000000"/>
          <w:sz w:val="22"/>
          <w:szCs w:val="22"/>
        </w:rPr>
        <w:t>Tabla 3</w:t>
      </w:r>
    </w:p>
    <w:p>
      <w:pPr>
        <w:pStyle w:val="Normal"/>
        <w:spacing w:lineRule="auto" w:line="360" w:before="0" w:after="100"/>
        <w:jc w:val="left"/>
        <w:rPr>
          <w:color w:val="000000"/>
          <w:sz w:val="22"/>
          <w:szCs w:val="22"/>
        </w:rPr>
      </w:pPr>
      <w:r>
        <w:rPr>
          <w:rFonts w:eastAsia="Arial" w:cs="Arial"/>
          <w:i/>
          <w:iCs/>
          <w:color w:val="000000"/>
          <w:sz w:val="22"/>
          <w:szCs w:val="22"/>
        </w:rPr>
        <w:t>Matriz de confusión del modelo de audio</w:t>
      </w:r>
    </w:p>
    <w:tbl>
      <w:tblPr>
        <w:tblW w:w="9360" w:type="dxa"/>
        <w:jc w:val="left"/>
        <w:tblInd w:w="0" w:type="dxa"/>
        <w:tblLayout w:type="fixed"/>
        <w:tblCellMar>
          <w:top w:w="80" w:type="dxa"/>
          <w:left w:w="120" w:type="dxa"/>
          <w:bottom w:w="80" w:type="dxa"/>
          <w:right w:w="12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2E75B6" w:val="clear"/>
          </w:tcPr>
          <w:p>
            <w:pPr>
              <w:pStyle w:val="Normal"/>
              <w:spacing w:lineRule="auto" w:line="360"/>
              <w:jc w:val="left"/>
              <w:rPr>
                <w:color w:val="000000"/>
                <w:sz w:val="22"/>
                <w:szCs w:val="22"/>
              </w:rPr>
            </w:pPr>
            <w:r>
              <w:rPr>
                <w:rFonts w:eastAsia="Arial" w:cs="Arial"/>
                <w:b/>
                <w:bCs/>
                <w:color w:val="000000"/>
                <w:sz w:val="22"/>
                <w:szCs w:val="22"/>
              </w:rPr>
              <w:t>N = 20</w:t>
            </w:r>
          </w:p>
        </w:tc>
        <w:tc>
          <w:tcPr>
            <w:tcW w:w="3120" w:type="dxa"/>
            <w:tcBorders>
              <w:top w:val="single" w:sz="2" w:space="0" w:color="CCCCCC"/>
              <w:left w:val="single" w:sz="2" w:space="0" w:color="CCCCCC"/>
              <w:bottom w:val="single" w:sz="2" w:space="0" w:color="CCCCCC"/>
              <w:right w:val="single" w:sz="2" w:space="0" w:color="CCCCCC"/>
            </w:tcBorders>
            <w:shd w:fill="2E75B6" w:val="clear"/>
          </w:tcPr>
          <w:p>
            <w:pPr>
              <w:pStyle w:val="Normal"/>
              <w:spacing w:lineRule="auto" w:line="360"/>
              <w:jc w:val="left"/>
              <w:rPr>
                <w:color w:val="000000"/>
                <w:sz w:val="22"/>
                <w:szCs w:val="22"/>
              </w:rPr>
            </w:pPr>
            <w:r>
              <w:rPr>
                <w:rFonts w:eastAsia="Arial" w:cs="Arial"/>
                <w:b/>
                <w:bCs/>
                <w:color w:val="000000"/>
                <w:sz w:val="22"/>
                <w:szCs w:val="22"/>
              </w:rPr>
              <w:t>Habla Clara</w:t>
            </w:r>
          </w:p>
        </w:tc>
        <w:tc>
          <w:tcPr>
            <w:tcW w:w="3120" w:type="dxa"/>
            <w:tcBorders>
              <w:top w:val="single" w:sz="2" w:space="0" w:color="CCCCCC"/>
              <w:left w:val="single" w:sz="2" w:space="0" w:color="CCCCCC"/>
              <w:bottom w:val="single" w:sz="2" w:space="0" w:color="CCCCCC"/>
              <w:right w:val="single" w:sz="2" w:space="0" w:color="CCCCCC"/>
            </w:tcBorders>
            <w:shd w:fill="2E75B6" w:val="clear"/>
          </w:tcPr>
          <w:p>
            <w:pPr>
              <w:pStyle w:val="Normal"/>
              <w:spacing w:lineRule="auto" w:line="360"/>
              <w:jc w:val="left"/>
              <w:rPr>
                <w:color w:val="000000"/>
                <w:sz w:val="22"/>
                <w:szCs w:val="22"/>
              </w:rPr>
            </w:pPr>
            <w:r>
              <w:rPr>
                <w:rFonts w:eastAsia="Arial" w:cs="Arial"/>
                <w:b/>
                <w:bCs/>
                <w:color w:val="000000"/>
                <w:sz w:val="22"/>
                <w:szCs w:val="22"/>
              </w:rPr>
              <w:t>Habla Arrastrada</w:t>
            </w:r>
          </w:p>
        </w:tc>
      </w:tr>
      <w:tr>
        <w:trPr/>
        <w:tc>
          <w:tcPr>
            <w:tcW w:w="3120" w:type="dxa"/>
            <w:tcBorders>
              <w:top w:val="single" w:sz="2" w:space="0" w:color="CCCCCC"/>
              <w:left w:val="single" w:sz="2" w:space="0" w:color="CCCCCC"/>
              <w:bottom w:val="single" w:sz="2" w:space="0" w:color="CCCCCC"/>
              <w:right w:val="single" w:sz="2" w:space="0" w:color="CCCCCC"/>
            </w:tcBorders>
            <w:shd w:fill="EBF3FB" w:val="clear"/>
          </w:tcPr>
          <w:p>
            <w:pPr>
              <w:pStyle w:val="Normal"/>
              <w:spacing w:lineRule="auto" w:line="360"/>
              <w:jc w:val="left"/>
              <w:rPr>
                <w:color w:val="000000"/>
                <w:sz w:val="22"/>
                <w:szCs w:val="22"/>
              </w:rPr>
            </w:pPr>
            <w:r>
              <w:rPr>
                <w:rFonts w:eastAsia="Arial" w:cs="Arial"/>
                <w:color w:val="000000"/>
                <w:sz w:val="22"/>
                <w:szCs w:val="22"/>
              </w:rPr>
              <w:t>Realidad: Habla Clara</w:t>
            </w:r>
          </w:p>
        </w:tc>
        <w:tc>
          <w:tcPr>
            <w:tcW w:w="3120" w:type="dxa"/>
            <w:tcBorders>
              <w:top w:val="single" w:sz="2" w:space="0" w:color="CCCCCC"/>
              <w:left w:val="single" w:sz="2" w:space="0" w:color="CCCCCC"/>
              <w:bottom w:val="single" w:sz="2" w:space="0" w:color="CCCCCC"/>
              <w:right w:val="single" w:sz="2" w:space="0" w:color="CCCCCC"/>
            </w:tcBorders>
          </w:tcPr>
          <w:p>
            <w:pPr>
              <w:pStyle w:val="Normal"/>
              <w:spacing w:lineRule="auto" w:line="360"/>
              <w:jc w:val="left"/>
              <w:rPr>
                <w:color w:val="000000"/>
                <w:sz w:val="22"/>
                <w:szCs w:val="22"/>
              </w:rPr>
            </w:pPr>
            <w:r>
              <w:rPr>
                <w:rFonts w:eastAsia="Arial" w:cs="Arial"/>
                <w:color w:val="000000"/>
                <w:sz w:val="22"/>
                <w:szCs w:val="22"/>
              </w:rPr>
              <w:t>7 ( VN )</w:t>
            </w:r>
          </w:p>
        </w:tc>
        <w:tc>
          <w:tcPr>
            <w:tcW w:w="3120" w:type="dxa"/>
            <w:tcBorders>
              <w:top w:val="single" w:sz="2" w:space="0" w:color="CCCCCC"/>
              <w:left w:val="single" w:sz="2" w:space="0" w:color="CCCCCC"/>
              <w:bottom w:val="single" w:sz="2" w:space="0" w:color="CCCCCC"/>
              <w:right w:val="single" w:sz="2" w:space="0" w:color="CCCCCC"/>
            </w:tcBorders>
          </w:tcPr>
          <w:p>
            <w:pPr>
              <w:pStyle w:val="Normal"/>
              <w:spacing w:lineRule="auto" w:line="360"/>
              <w:jc w:val="left"/>
              <w:rPr>
                <w:color w:val="000000"/>
                <w:sz w:val="22"/>
                <w:szCs w:val="22"/>
              </w:rPr>
            </w:pPr>
            <w:r>
              <w:rPr>
                <w:rFonts w:eastAsia="Arial" w:cs="Arial"/>
                <w:color w:val="000000"/>
                <w:sz w:val="22"/>
                <w:szCs w:val="22"/>
              </w:rPr>
              <w:t>4 ( FP )</w:t>
            </w:r>
          </w:p>
        </w:tc>
      </w:tr>
      <w:tr>
        <w:trPr/>
        <w:tc>
          <w:tcPr>
            <w:tcW w:w="3120" w:type="dxa"/>
            <w:tcBorders>
              <w:top w:val="single" w:sz="2" w:space="0" w:color="CCCCCC"/>
              <w:left w:val="single" w:sz="2" w:space="0" w:color="CCCCCC"/>
              <w:bottom w:val="single" w:sz="2" w:space="0" w:color="CCCCCC"/>
              <w:right w:val="single" w:sz="2" w:space="0" w:color="CCCCCC"/>
            </w:tcBorders>
            <w:shd w:fill="EBF3FB" w:val="clear"/>
          </w:tcPr>
          <w:p>
            <w:pPr>
              <w:pStyle w:val="Normal"/>
              <w:spacing w:lineRule="auto" w:line="360"/>
              <w:jc w:val="left"/>
              <w:rPr>
                <w:color w:val="000000"/>
                <w:sz w:val="22"/>
                <w:szCs w:val="22"/>
              </w:rPr>
            </w:pPr>
            <w:r>
              <w:rPr>
                <w:rFonts w:eastAsia="Arial" w:cs="Arial"/>
                <w:color w:val="000000"/>
                <w:sz w:val="22"/>
                <w:szCs w:val="22"/>
              </w:rPr>
              <w:t>Realidad: Habla Arrastrada</w:t>
            </w:r>
          </w:p>
        </w:tc>
        <w:tc>
          <w:tcPr>
            <w:tcW w:w="3120" w:type="dxa"/>
            <w:tcBorders>
              <w:top w:val="single" w:sz="2" w:space="0" w:color="CCCCCC"/>
              <w:left w:val="single" w:sz="2" w:space="0" w:color="CCCCCC"/>
              <w:bottom w:val="single" w:sz="2" w:space="0" w:color="CCCCCC"/>
              <w:right w:val="single" w:sz="2" w:space="0" w:color="CCCCCC"/>
            </w:tcBorders>
          </w:tcPr>
          <w:p>
            <w:pPr>
              <w:pStyle w:val="Normal"/>
              <w:spacing w:lineRule="auto" w:line="360"/>
              <w:jc w:val="left"/>
              <w:rPr>
                <w:color w:val="000000"/>
                <w:sz w:val="22"/>
                <w:szCs w:val="22"/>
              </w:rPr>
            </w:pPr>
            <w:r>
              <w:rPr>
                <w:rFonts w:eastAsia="Arial" w:cs="Arial"/>
                <w:color w:val="000000"/>
                <w:sz w:val="22"/>
                <w:szCs w:val="22"/>
              </w:rPr>
              <w:t>2 ( FN )</w:t>
            </w:r>
          </w:p>
        </w:tc>
        <w:tc>
          <w:tcPr>
            <w:tcW w:w="3120" w:type="dxa"/>
            <w:tcBorders>
              <w:top w:val="single" w:sz="2" w:space="0" w:color="CCCCCC"/>
              <w:left w:val="single" w:sz="2" w:space="0" w:color="CCCCCC"/>
              <w:bottom w:val="single" w:sz="2" w:space="0" w:color="CCCCCC"/>
              <w:right w:val="single" w:sz="2" w:space="0" w:color="CCCCCC"/>
            </w:tcBorders>
          </w:tcPr>
          <w:p>
            <w:pPr>
              <w:pStyle w:val="Normal"/>
              <w:spacing w:lineRule="auto" w:line="360"/>
              <w:jc w:val="left"/>
              <w:rPr>
                <w:color w:val="000000"/>
                <w:sz w:val="22"/>
                <w:szCs w:val="22"/>
              </w:rPr>
            </w:pPr>
            <w:r>
              <w:rPr>
                <w:rFonts w:eastAsia="Arial" w:cs="Arial"/>
                <w:color w:val="000000"/>
                <w:sz w:val="22"/>
                <w:szCs w:val="22"/>
              </w:rPr>
              <w:t>7 ( VP )</w:t>
            </w:r>
          </w:p>
        </w:tc>
      </w:tr>
    </w:tbl>
    <w:p>
      <w:pPr>
        <w:pStyle w:val="Normal"/>
        <w:spacing w:lineRule="auto" w:line="360" w:before="80" w:after="160"/>
        <w:jc w:val="left"/>
        <w:rPr>
          <w:rFonts w:ascii="Arial" w:hAnsi="Arial" w:eastAsia="Arial" w:cs="Arial"/>
        </w:rPr>
      </w:pPr>
      <w:r>
        <w:rPr>
          <w:rFonts w:eastAsia="Arial" w:cs="Arial"/>
        </w:rPr>
      </w:r>
    </w:p>
    <w:p>
      <w:pPr>
        <w:pStyle w:val="Normal"/>
        <w:spacing w:lineRule="auto" w:line="360" w:before="80" w:after="160"/>
        <w:jc w:val="left"/>
        <w:rPr>
          <w:color w:val="000000"/>
          <w:sz w:val="22"/>
          <w:szCs w:val="22"/>
        </w:rPr>
      </w:pPr>
      <w:r>
        <w:rPr>
          <w:rFonts w:eastAsia="Arial" w:cs="Arial"/>
          <w:color w:val="000000"/>
          <w:sz w:val="22"/>
          <w:szCs w:val="22"/>
        </w:rPr>
        <w:t>Los resultados del modelo de audio evidencian una exactitud del 70% (14), mostrando un rendimiento intermedio. La sensibilidad alcanza el 77% (7), lo que indica que el modelo logra identificar la mayoría de los casos con habla arrastrada, aunque se observa un 22% (2) de falsos negativos. La especificidad se sitúa en 63% (7), evidenciando una mayor proporción de falsos positivos del 36% (4). Estos datos indican que, si bien el modelo presenta una capacidad aceptable de detección, existen dificultades en la discriminación precisa del habla normal frente a variaciones que pueden ser interpretadas erróneamente como patológicas.</w:t>
      </w:r>
    </w:p>
    <w:p>
      <w:pPr>
        <w:pStyle w:val="Normal"/>
        <w:spacing w:lineRule="auto" w:line="360" w:before="80" w:after="160"/>
        <w:jc w:val="left"/>
        <w:rPr>
          <w:rFonts w:ascii="Arial" w:hAnsi="Arial" w:eastAsia="Arial" w:cs="Arial"/>
        </w:rPr>
      </w:pPr>
      <w:r>
        <w:rPr>
          <w:rFonts w:eastAsia="Arial" w:cs="Arial"/>
        </w:rPr>
      </w:r>
    </w:p>
    <w:p>
      <w:pPr>
        <w:pStyle w:val="Normal"/>
        <w:spacing w:lineRule="auto" w:line="360" w:before="80" w:after="160"/>
        <w:jc w:val="left"/>
        <w:rPr>
          <w:rFonts w:ascii="Arial" w:hAnsi="Arial" w:eastAsia="Arial" w:cs="Arial"/>
        </w:rPr>
      </w:pPr>
      <w:r>
        <w:rPr>
          <w:rFonts w:eastAsia="Arial" w:cs="Arial"/>
        </w:rPr>
      </w:r>
    </w:p>
    <w:p>
      <w:pPr>
        <w:pStyle w:val="Normal"/>
        <w:spacing w:lineRule="auto" w:line="360" w:before="80" w:after="160"/>
        <w:jc w:val="left"/>
        <w:rPr>
          <w:rFonts w:ascii="Arial" w:hAnsi="Arial" w:eastAsia="Arial" w:cs="Arial"/>
        </w:rPr>
      </w:pPr>
      <w:r>
        <w:rPr>
          <w:rFonts w:eastAsia="Arial" w:cs="Arial"/>
        </w:rPr>
      </w:r>
    </w:p>
    <w:p>
      <w:pPr>
        <w:pStyle w:val="Normal"/>
        <w:spacing w:lineRule="auto" w:line="360" w:before="80" w:after="160"/>
        <w:jc w:val="left"/>
        <w:rPr>
          <w:rFonts w:ascii="Arial" w:hAnsi="Arial" w:eastAsia="Arial" w:cs="Arial"/>
        </w:rPr>
      </w:pPr>
      <w:r>
        <w:rPr>
          <w:rFonts w:eastAsia="Arial" w:cs="Arial"/>
        </w:rPr>
      </w:r>
    </w:p>
    <w:p>
      <w:pPr>
        <w:pStyle w:val="Normal"/>
        <w:spacing w:lineRule="auto" w:line="360" w:before="160" w:after="60"/>
        <w:jc w:val="left"/>
        <w:rPr>
          <w:color w:val="000000"/>
          <w:sz w:val="22"/>
          <w:szCs w:val="22"/>
        </w:rPr>
      </w:pPr>
      <w:r>
        <w:rPr>
          <w:rFonts w:eastAsia="Arial" w:cs="Arial"/>
          <w:b/>
          <w:bCs/>
          <w:color w:val="000000"/>
          <w:sz w:val="22"/>
          <w:szCs w:val="22"/>
        </w:rPr>
        <w:t>Tabla 4</w:t>
      </w:r>
    </w:p>
    <w:p>
      <w:pPr>
        <w:pStyle w:val="Normal"/>
        <w:spacing w:lineRule="auto" w:line="360" w:before="0" w:after="100"/>
        <w:jc w:val="left"/>
        <w:rPr>
          <w:color w:val="000000"/>
          <w:sz w:val="22"/>
          <w:szCs w:val="22"/>
        </w:rPr>
      </w:pPr>
      <w:r>
        <w:rPr>
          <w:rFonts w:eastAsia="Arial" w:cs="Arial"/>
          <w:i/>
          <w:iCs/>
          <w:color w:val="000000"/>
          <w:sz w:val="22"/>
          <w:szCs w:val="22"/>
        </w:rPr>
        <w:t>Estadísticas de desempeño por modelo</w:t>
      </w:r>
    </w:p>
    <w:tbl>
      <w:tblPr>
        <w:tblW w:w="9360" w:type="dxa"/>
        <w:jc w:val="left"/>
        <w:tblInd w:w="0" w:type="dxa"/>
        <w:tblLayout w:type="fixed"/>
        <w:tblCellMar>
          <w:top w:w="80" w:type="dxa"/>
          <w:left w:w="120" w:type="dxa"/>
          <w:bottom w:w="80" w:type="dxa"/>
          <w:right w:w="12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2E75B6" w:val="clear"/>
          </w:tcPr>
          <w:p>
            <w:pPr>
              <w:pStyle w:val="Normal"/>
              <w:spacing w:lineRule="auto" w:line="360"/>
              <w:jc w:val="left"/>
              <w:rPr>
                <w:color w:val="000000"/>
                <w:sz w:val="22"/>
                <w:szCs w:val="22"/>
              </w:rPr>
            </w:pPr>
            <w:r>
              <w:rPr>
                <w:rFonts w:eastAsia="Arial" w:cs="Arial"/>
                <w:b/>
                <w:bCs/>
                <w:color w:val="000000"/>
                <w:sz w:val="22"/>
                <w:szCs w:val="22"/>
              </w:rPr>
              <w:t>Modelo</w:t>
            </w:r>
          </w:p>
        </w:tc>
        <w:tc>
          <w:tcPr>
            <w:tcW w:w="3120" w:type="dxa"/>
            <w:tcBorders>
              <w:top w:val="single" w:sz="2" w:space="0" w:color="CCCCCC"/>
              <w:left w:val="single" w:sz="2" w:space="0" w:color="CCCCCC"/>
              <w:bottom w:val="single" w:sz="2" w:space="0" w:color="CCCCCC"/>
              <w:right w:val="single" w:sz="2" w:space="0" w:color="CCCCCC"/>
            </w:tcBorders>
            <w:shd w:fill="2E75B6" w:val="clear"/>
          </w:tcPr>
          <w:p>
            <w:pPr>
              <w:pStyle w:val="Normal"/>
              <w:spacing w:lineRule="auto" w:line="360"/>
              <w:jc w:val="left"/>
              <w:rPr>
                <w:color w:val="000000"/>
                <w:sz w:val="22"/>
                <w:szCs w:val="22"/>
              </w:rPr>
            </w:pPr>
            <w:r>
              <w:rPr>
                <w:rFonts w:eastAsia="Arial" w:cs="Arial"/>
                <w:b/>
                <w:bCs/>
                <w:color w:val="000000"/>
                <w:sz w:val="22"/>
                <w:szCs w:val="22"/>
              </w:rPr>
              <w:t>Exactitud</w:t>
            </w:r>
          </w:p>
        </w:tc>
        <w:tc>
          <w:tcPr>
            <w:tcW w:w="3120" w:type="dxa"/>
            <w:tcBorders>
              <w:top w:val="single" w:sz="2" w:space="0" w:color="CCCCCC"/>
              <w:left w:val="single" w:sz="2" w:space="0" w:color="CCCCCC"/>
              <w:bottom w:val="single" w:sz="2" w:space="0" w:color="CCCCCC"/>
              <w:right w:val="single" w:sz="2" w:space="0" w:color="CCCCCC"/>
            </w:tcBorders>
            <w:shd w:fill="2E75B6" w:val="clear"/>
          </w:tcPr>
          <w:p>
            <w:pPr>
              <w:pStyle w:val="Normal"/>
              <w:spacing w:lineRule="auto" w:line="360"/>
              <w:jc w:val="left"/>
              <w:rPr>
                <w:color w:val="000000"/>
                <w:sz w:val="22"/>
                <w:szCs w:val="22"/>
              </w:rPr>
            </w:pPr>
            <w:r>
              <w:rPr>
                <w:rFonts w:eastAsia="Arial" w:cs="Arial"/>
                <w:b/>
                <w:bCs/>
                <w:color w:val="000000"/>
                <w:sz w:val="22"/>
                <w:szCs w:val="22"/>
              </w:rPr>
              <w:t>Sensibilidad (Recall)</w:t>
            </w:r>
          </w:p>
        </w:tc>
      </w:tr>
      <w:tr>
        <w:trPr/>
        <w:tc>
          <w:tcPr>
            <w:tcW w:w="3120" w:type="dxa"/>
            <w:tcBorders>
              <w:top w:val="single" w:sz="2" w:space="0" w:color="CCCCCC"/>
              <w:left w:val="single" w:sz="2" w:space="0" w:color="CCCCCC"/>
              <w:bottom w:val="single" w:sz="2" w:space="0" w:color="CCCCCC"/>
              <w:right w:val="single" w:sz="2" w:space="0" w:color="CCCCCC"/>
            </w:tcBorders>
            <w:shd w:fill="EBF3FB" w:val="clear"/>
          </w:tcPr>
          <w:p>
            <w:pPr>
              <w:pStyle w:val="Normal"/>
              <w:spacing w:lineRule="auto" w:line="360"/>
              <w:jc w:val="left"/>
              <w:rPr>
                <w:color w:val="000000"/>
                <w:sz w:val="22"/>
                <w:szCs w:val="22"/>
              </w:rPr>
            </w:pPr>
            <w:r>
              <w:rPr>
                <w:rFonts w:eastAsia="Arial" w:cs="Arial"/>
                <w:color w:val="000000"/>
                <w:sz w:val="22"/>
                <w:szCs w:val="22"/>
              </w:rPr>
              <w:t>Rostro</w:t>
            </w:r>
          </w:p>
        </w:tc>
        <w:tc>
          <w:tcPr>
            <w:tcW w:w="3120" w:type="dxa"/>
            <w:tcBorders>
              <w:top w:val="single" w:sz="2" w:space="0" w:color="CCCCCC"/>
              <w:left w:val="single" w:sz="2" w:space="0" w:color="CCCCCC"/>
              <w:bottom w:val="single" w:sz="2" w:space="0" w:color="CCCCCC"/>
              <w:right w:val="single" w:sz="2" w:space="0" w:color="CCCCCC"/>
            </w:tcBorders>
          </w:tcPr>
          <w:p>
            <w:pPr>
              <w:pStyle w:val="Normal"/>
              <w:spacing w:lineRule="auto" w:line="360"/>
              <w:jc w:val="left"/>
              <w:rPr>
                <w:color w:val="000000"/>
                <w:sz w:val="22"/>
                <w:szCs w:val="22"/>
              </w:rPr>
            </w:pPr>
            <w:r>
              <w:rPr>
                <w:rFonts w:eastAsia="Arial" w:cs="Arial"/>
                <w:color w:val="000000"/>
                <w:sz w:val="22"/>
                <w:szCs w:val="22"/>
              </w:rPr>
              <w:t>65 %</w:t>
            </w:r>
          </w:p>
        </w:tc>
        <w:tc>
          <w:tcPr>
            <w:tcW w:w="3120" w:type="dxa"/>
            <w:tcBorders>
              <w:top w:val="single" w:sz="2" w:space="0" w:color="CCCCCC"/>
              <w:left w:val="single" w:sz="2" w:space="0" w:color="CCCCCC"/>
              <w:bottom w:val="single" w:sz="2" w:space="0" w:color="CCCCCC"/>
              <w:right w:val="single" w:sz="2" w:space="0" w:color="CCCCCC"/>
            </w:tcBorders>
          </w:tcPr>
          <w:p>
            <w:pPr>
              <w:pStyle w:val="Normal"/>
              <w:spacing w:lineRule="auto" w:line="360"/>
              <w:jc w:val="left"/>
              <w:rPr>
                <w:color w:val="000000"/>
                <w:sz w:val="22"/>
                <w:szCs w:val="22"/>
              </w:rPr>
            </w:pPr>
            <w:r>
              <w:rPr>
                <w:rFonts w:eastAsia="Arial" w:cs="Arial"/>
                <w:color w:val="000000"/>
                <w:sz w:val="22"/>
                <w:szCs w:val="22"/>
              </w:rPr>
              <w:t>60 %</w:t>
            </w:r>
          </w:p>
        </w:tc>
      </w:tr>
      <w:tr>
        <w:trPr/>
        <w:tc>
          <w:tcPr>
            <w:tcW w:w="3120" w:type="dxa"/>
            <w:tcBorders>
              <w:top w:val="single" w:sz="2" w:space="0" w:color="CCCCCC"/>
              <w:left w:val="single" w:sz="2" w:space="0" w:color="CCCCCC"/>
              <w:bottom w:val="single" w:sz="2" w:space="0" w:color="CCCCCC"/>
              <w:right w:val="single" w:sz="2" w:space="0" w:color="CCCCCC"/>
            </w:tcBorders>
            <w:shd w:fill="EBF3FB" w:val="clear"/>
          </w:tcPr>
          <w:p>
            <w:pPr>
              <w:pStyle w:val="Normal"/>
              <w:spacing w:lineRule="auto" w:line="360"/>
              <w:jc w:val="left"/>
              <w:rPr>
                <w:color w:val="000000"/>
                <w:sz w:val="22"/>
                <w:szCs w:val="22"/>
              </w:rPr>
            </w:pPr>
            <w:r>
              <w:rPr>
                <w:rFonts w:eastAsia="Arial" w:cs="Arial"/>
                <w:color w:val="000000"/>
                <w:sz w:val="22"/>
                <w:szCs w:val="22"/>
              </w:rPr>
              <w:t>Brazos</w:t>
            </w:r>
          </w:p>
        </w:tc>
        <w:tc>
          <w:tcPr>
            <w:tcW w:w="3120" w:type="dxa"/>
            <w:tcBorders>
              <w:top w:val="single" w:sz="2" w:space="0" w:color="CCCCCC"/>
              <w:left w:val="single" w:sz="2" w:space="0" w:color="CCCCCC"/>
              <w:bottom w:val="single" w:sz="2" w:space="0" w:color="CCCCCC"/>
              <w:right w:val="single" w:sz="2" w:space="0" w:color="CCCCCC"/>
            </w:tcBorders>
          </w:tcPr>
          <w:p>
            <w:pPr>
              <w:pStyle w:val="Normal"/>
              <w:spacing w:lineRule="auto" w:line="360"/>
              <w:jc w:val="left"/>
              <w:rPr>
                <w:color w:val="000000"/>
                <w:sz w:val="22"/>
                <w:szCs w:val="22"/>
              </w:rPr>
            </w:pPr>
            <w:r>
              <w:rPr>
                <w:rFonts w:eastAsia="Arial" w:cs="Arial"/>
                <w:color w:val="000000"/>
                <w:sz w:val="22"/>
                <w:szCs w:val="22"/>
              </w:rPr>
              <w:t>90 %</w:t>
            </w:r>
          </w:p>
        </w:tc>
        <w:tc>
          <w:tcPr>
            <w:tcW w:w="3120" w:type="dxa"/>
            <w:tcBorders>
              <w:top w:val="single" w:sz="2" w:space="0" w:color="CCCCCC"/>
              <w:left w:val="single" w:sz="2" w:space="0" w:color="CCCCCC"/>
              <w:bottom w:val="single" w:sz="2" w:space="0" w:color="CCCCCC"/>
              <w:right w:val="single" w:sz="2" w:space="0" w:color="CCCCCC"/>
            </w:tcBorders>
          </w:tcPr>
          <w:p>
            <w:pPr>
              <w:pStyle w:val="Normal"/>
              <w:spacing w:lineRule="auto" w:line="360"/>
              <w:jc w:val="left"/>
              <w:rPr>
                <w:color w:val="000000"/>
                <w:sz w:val="22"/>
                <w:szCs w:val="22"/>
              </w:rPr>
            </w:pPr>
            <w:r>
              <w:rPr>
                <w:rFonts w:eastAsia="Arial" w:cs="Arial"/>
                <w:color w:val="000000"/>
                <w:sz w:val="22"/>
                <w:szCs w:val="22"/>
              </w:rPr>
              <w:t>90 %</w:t>
            </w:r>
          </w:p>
        </w:tc>
      </w:tr>
      <w:tr>
        <w:trPr>
          <w:trHeight w:val="354" w:hRule="atLeast"/>
        </w:trPr>
        <w:tc>
          <w:tcPr>
            <w:tcW w:w="3120" w:type="dxa"/>
            <w:tcBorders>
              <w:left w:val="single" w:sz="2" w:space="0" w:color="CCCCCC"/>
              <w:bottom w:val="single" w:sz="2" w:space="0" w:color="CCCCCC"/>
              <w:right w:val="single" w:sz="2" w:space="0" w:color="CCCCCC"/>
            </w:tcBorders>
            <w:shd w:fill="EBF3FB" w:val="clear"/>
          </w:tcPr>
          <w:p>
            <w:pPr>
              <w:pStyle w:val="Normal"/>
              <w:spacing w:lineRule="auto" w:line="360"/>
              <w:jc w:val="left"/>
              <w:rPr>
                <w:color w:val="000000"/>
                <w:sz w:val="22"/>
                <w:szCs w:val="22"/>
              </w:rPr>
            </w:pPr>
            <w:r>
              <w:rPr>
                <w:color w:val="000000"/>
                <w:sz w:val="22"/>
                <w:szCs w:val="22"/>
              </w:rPr>
              <w:t>Audio</w:t>
            </w:r>
          </w:p>
        </w:tc>
        <w:tc>
          <w:tcPr>
            <w:tcW w:w="3120" w:type="dxa"/>
            <w:tcBorders>
              <w:left w:val="single" w:sz="2" w:space="0" w:color="CCCCCC"/>
              <w:bottom w:val="single" w:sz="2" w:space="0" w:color="CCCCCC"/>
              <w:right w:val="single" w:sz="2" w:space="0" w:color="CCCCCC"/>
            </w:tcBorders>
          </w:tcPr>
          <w:p>
            <w:pPr>
              <w:pStyle w:val="Normal"/>
              <w:spacing w:lineRule="auto" w:line="360"/>
              <w:jc w:val="left"/>
              <w:rPr>
                <w:color w:val="000000"/>
                <w:sz w:val="22"/>
                <w:szCs w:val="22"/>
              </w:rPr>
            </w:pPr>
            <w:r>
              <w:rPr>
                <w:color w:val="000000"/>
                <w:sz w:val="22"/>
                <w:szCs w:val="22"/>
              </w:rPr>
              <w:t>70 %</w:t>
            </w:r>
          </w:p>
        </w:tc>
        <w:tc>
          <w:tcPr>
            <w:tcW w:w="3120" w:type="dxa"/>
            <w:tcBorders>
              <w:left w:val="single" w:sz="2" w:space="0" w:color="CCCCCC"/>
              <w:bottom w:val="single" w:sz="2" w:space="0" w:color="CCCCCC"/>
              <w:right w:val="single" w:sz="2" w:space="0" w:color="CCCCCC"/>
            </w:tcBorders>
          </w:tcPr>
          <w:p>
            <w:pPr>
              <w:pStyle w:val="Normal"/>
              <w:spacing w:lineRule="auto" w:line="360"/>
              <w:jc w:val="left"/>
              <w:rPr>
                <w:color w:val="000000"/>
                <w:sz w:val="22"/>
                <w:szCs w:val="22"/>
              </w:rPr>
            </w:pPr>
            <w:r>
              <w:rPr>
                <w:color w:val="000000"/>
                <w:sz w:val="22"/>
                <w:szCs w:val="22"/>
              </w:rPr>
              <w:t>77 %</w:t>
            </w:r>
          </w:p>
        </w:tc>
      </w:tr>
    </w:tbl>
    <w:p>
      <w:pPr>
        <w:pStyle w:val="Normal"/>
        <w:spacing w:lineRule="auto" w:line="360" w:before="80" w:after="160"/>
        <w:jc w:val="left"/>
        <w:rPr>
          <w:rFonts w:ascii="Arial" w:hAnsi="Arial" w:eastAsia="Arial" w:cs="Arial"/>
        </w:rPr>
      </w:pPr>
      <w:r>
        <w:rPr>
          <w:rFonts w:eastAsia="Arial" w:cs="Arial"/>
        </w:rPr>
      </w:r>
    </w:p>
    <w:p>
      <w:pPr>
        <w:pStyle w:val="BodyText"/>
        <w:spacing w:lineRule="auto" w:line="360" w:before="80" w:after="160"/>
        <w:jc w:val="left"/>
        <w:rPr>
          <w:color w:val="000000"/>
          <w:sz w:val="22"/>
          <w:szCs w:val="22"/>
        </w:rPr>
      </w:pPr>
      <w:r>
        <w:rPr>
          <w:rFonts w:eastAsia="Arial" w:cs="Arial"/>
          <w:color w:val="000000"/>
          <w:sz w:val="22"/>
          <w:szCs w:val="22"/>
        </w:rPr>
        <w:t>Los resultados globales presentados en la Tabla 4 muestran diferencias significativas en el desempeño de los modelos que componen el sistema multimodal. El modelo de brazos alcanza la mayor exactitud con un 90% (18) y una sensibilidad del 90% (9), lo que indica una alta capacidad tanto para clasificar correctamente los casos como para detectar la presencia real de debilidad en las extremidades. Estos datos evidencian que el componente de análisis corporal constituye el predictor más confiable dentro del sistema, con una baja incidencia de errores de clasificación.</w:t>
      </w:r>
    </w:p>
    <w:p>
      <w:pPr>
        <w:pStyle w:val="BodyText"/>
        <w:spacing w:lineRule="auto" w:line="360"/>
        <w:jc w:val="left"/>
        <w:rPr>
          <w:color w:val="000000"/>
          <w:sz w:val="22"/>
          <w:szCs w:val="22"/>
        </w:rPr>
      </w:pPr>
      <w:r>
        <w:rPr>
          <w:color w:val="000000"/>
          <w:sz w:val="22"/>
          <w:szCs w:val="22"/>
        </w:rPr>
        <w:t>Por su parte, el modelo de audio presenta una exactitud del 70% (14) y una sensibilidad del 77% (7), lo que indica un rendimiento intermedio. Estos resultados muestran que el modelo logra identificar la mayoría de los casos positivos, aunque aún presenta limitaciones en la clasificación precisa, especialmente en la distinción entre habla normal y habla arrastrada. La diferencia entre exactitud y sensibilidad sugiere que el modelo tiende a generar más falsos positivos, lo que afecta su precisión general.</w:t>
      </w:r>
    </w:p>
    <w:p>
      <w:pPr>
        <w:pStyle w:val="BodyText"/>
        <w:spacing w:lineRule="auto" w:line="360"/>
        <w:jc w:val="left"/>
        <w:rPr>
          <w:color w:val="000000"/>
          <w:sz w:val="22"/>
          <w:szCs w:val="22"/>
        </w:rPr>
      </w:pPr>
      <w:r>
        <w:rPr>
          <w:color w:val="000000"/>
          <w:sz w:val="22"/>
          <w:szCs w:val="22"/>
        </w:rPr>
        <w:t>En contraste, el modelo facial presenta el desempeño más bajo, con una exactitud del 65% (13) y una sensibilidad del 60% (6). Estos datos indican que el modelo tiene dificultades para identificar correctamente los casos de asimetría facial, reflejando una mayor proporción de falsos negativos y falsos positivos en comparación con los otros modelos. Esta limitación puede estar asociada a variaciones en condiciones de captura, expresiones faciales o características individuales de los sujetos analizados.</w:t>
      </w:r>
    </w:p>
    <w:p>
      <w:pPr>
        <w:pStyle w:val="BodyText"/>
        <w:spacing w:lineRule="auto" w:line="360"/>
        <w:jc w:val="left"/>
        <w:rPr>
          <w:color w:val="000000"/>
          <w:sz w:val="22"/>
          <w:szCs w:val="22"/>
        </w:rPr>
      </w:pPr>
      <w:r>
        <w:rPr>
          <w:color w:val="000000"/>
          <w:sz w:val="22"/>
          <w:szCs w:val="22"/>
        </w:rPr>
      </w:r>
    </w:p>
    <w:p>
      <w:pPr>
        <w:pStyle w:val="BodyText"/>
        <w:spacing w:lineRule="auto" w:line="360"/>
        <w:jc w:val="left"/>
        <w:rPr>
          <w:color w:val="000000"/>
          <w:sz w:val="22"/>
          <w:szCs w:val="22"/>
        </w:rPr>
      </w:pPr>
      <w:r>
        <w:rPr>
          <w:color w:val="000000"/>
          <w:sz w:val="22"/>
          <w:szCs w:val="22"/>
        </w:rPr>
      </w:r>
    </w:p>
    <w:p>
      <w:pPr>
        <w:pStyle w:val="BodyText"/>
        <w:spacing w:lineRule="auto" w:line="360"/>
        <w:jc w:val="left"/>
        <w:rPr>
          <w:color w:val="000000"/>
          <w:sz w:val="22"/>
          <w:szCs w:val="22"/>
        </w:rPr>
      </w:pPr>
      <w:r>
        <w:rPr>
          <w:color w:val="000000"/>
          <w:sz w:val="22"/>
          <w:szCs w:val="22"/>
        </w:rPr>
      </w:r>
    </w:p>
    <w:p>
      <w:pPr>
        <w:pStyle w:val="BodyText"/>
        <w:spacing w:lineRule="auto" w:line="360"/>
        <w:jc w:val="left"/>
        <w:rPr>
          <w:color w:val="000000"/>
          <w:sz w:val="22"/>
          <w:szCs w:val="22"/>
        </w:rPr>
      </w:pPr>
      <w:r>
        <w:rPr>
          <w:color w:val="000000"/>
          <w:sz w:val="22"/>
          <w:szCs w:val="22"/>
        </w:rPr>
      </w:r>
    </w:p>
    <w:p>
      <w:pPr>
        <w:pStyle w:val="BodyText"/>
        <w:spacing w:lineRule="auto" w:line="360"/>
        <w:jc w:val="left"/>
        <w:rPr>
          <w:color w:val="000000"/>
          <w:sz w:val="22"/>
          <w:szCs w:val="22"/>
        </w:rPr>
      </w:pPr>
      <w:r>
        <w:rPr>
          <w:color w:val="000000"/>
          <w:sz w:val="22"/>
          <w:szCs w:val="22"/>
        </w:rPr>
      </w:r>
    </w:p>
    <w:p>
      <w:pPr>
        <w:pStyle w:val="Normal"/>
        <w:spacing w:lineRule="auto" w:line="360" w:before="80" w:after="160"/>
        <w:jc w:val="left"/>
        <w:rPr>
          <w:color w:val="000000"/>
          <w:sz w:val="22"/>
          <w:szCs w:val="22"/>
        </w:rPr>
      </w:pPr>
      <w:r>
        <w:rPr>
          <w:rFonts w:eastAsia="Arial" w:cs="Arial"/>
          <w:b/>
          <w:bCs/>
          <w:color w:val="000000"/>
          <w:sz w:val="22"/>
          <w:szCs w:val="22"/>
        </w:rPr>
        <w:t>Ecuaciones</w:t>
      </w:r>
    </w:p>
    <w:p>
      <w:pPr>
        <w:pStyle w:val="Heading3"/>
        <w:spacing w:lineRule="auto" w:line="360" w:before="80" w:after="160"/>
        <w:jc w:val="left"/>
        <w:rPr>
          <w:b/>
          <w:bCs/>
          <w:color w:val="000000"/>
          <w:sz w:val="22"/>
          <w:szCs w:val="22"/>
        </w:rPr>
      </w:pPr>
      <w:r>
        <w:rPr>
          <w:rFonts w:eastAsia="Arial" w:cs="Arial" w:ascii="Arial" w:hAnsi="Arial"/>
          <w:b/>
          <w:bCs/>
          <w:color w:val="000000"/>
          <w:sz w:val="22"/>
          <w:szCs w:val="22"/>
        </w:rPr>
        <w:t>1. Sensibilidad (Recall)</w:t>
      </w:r>
    </w:p>
    <w:p>
      <w:pPr>
        <w:pStyle w:val="BodyText"/>
        <w:spacing w:lineRule="auto" w:line="360"/>
        <w:jc w:val="left"/>
        <w:rPr>
          <w:color w:val="000000"/>
          <w:sz w:val="22"/>
          <w:szCs w:val="22"/>
        </w:rPr>
      </w:pPr>
      <w:r>
        <w:rPr>
          <w:color w:val="000000"/>
          <w:sz w:val="22"/>
          <w:szCs w:val="22"/>
        </w:rPr>
        <w:t xml:space="preserve">En el contexto del ACV, la sensibilidad mide la capacidad del modelo para detectar correctamente a las personas que </w:t>
      </w:r>
      <w:r>
        <w:rPr>
          <w:b/>
          <w:color w:val="000000"/>
          <w:sz w:val="22"/>
          <w:szCs w:val="22"/>
        </w:rPr>
        <w:t>sí</w:t>
      </w:r>
      <w:r>
        <w:rPr>
          <w:color w:val="000000"/>
          <w:sz w:val="22"/>
          <w:szCs w:val="22"/>
        </w:rPr>
        <w:t xml:space="preserve"> presentan síntomas. Un valor bajo aquí es peligroso, ya que significa que el sistema está ignorando casos reales (Falsos Negativos).</w:t>
      </w:r>
    </w:p>
    <w:p>
      <w:pPr>
        <w:pStyle w:val="BodyText"/>
        <w:spacing w:lineRule="auto" w:line="360"/>
        <w:jc w:val="left"/>
        <w:rPr>
          <w:color w:val="000000"/>
          <w:sz w:val="22"/>
          <w:szCs w:val="22"/>
        </w:rPr>
      </w:pPr>
      <w:r>
        <w:rPr>
          <w:color w:val="000000"/>
          <w:sz w:val="22"/>
          <w:szCs w:val="22"/>
        </w:rPr>
      </w:r>
    </w:p>
    <w:p>
      <w:pPr>
        <w:pStyle w:val="Heading3"/>
        <w:spacing w:lineRule="auto" w:line="360" w:before="80" w:after="160"/>
        <w:jc w:val="left"/>
        <w:rPr>
          <w:b/>
          <w:bCs/>
          <w:color w:val="000000"/>
          <w:sz w:val="22"/>
          <w:szCs w:val="22"/>
        </w:rPr>
      </w:pPr>
      <w:r>
        <w:rPr>
          <w:rFonts w:eastAsia="Arial" w:cs="Arial" w:ascii="Arial" w:hAnsi="Arial"/>
          <w:b/>
          <w:bCs/>
          <w:color w:val="000000"/>
          <w:sz w:val="22"/>
          <w:szCs w:val="22"/>
        </w:rPr>
        <w:t>2. Exactitud (Accuracy) por modelo</w:t>
      </w:r>
    </w:p>
    <w:p>
      <w:pPr>
        <w:pStyle w:val="BodyText"/>
        <w:spacing w:lineRule="auto" w:line="360"/>
        <w:jc w:val="left"/>
        <w:rPr>
          <w:color w:val="000000"/>
          <w:sz w:val="22"/>
          <w:szCs w:val="22"/>
        </w:rPr>
      </w:pPr>
      <w:r>
        <w:rPr>
          <w:color w:val="000000"/>
          <w:sz w:val="22"/>
          <w:szCs w:val="22"/>
        </w:rPr>
        <w:t>Mide el porcentaje total de aciertos (tanto sanos como con síntomas) sobre el total de las pruebas realizadas para un modelo individual.</w:t>
      </w:r>
    </w:p>
    <w:p>
      <w:pPr>
        <w:pStyle w:val="Heading1"/>
        <w:spacing w:lineRule="auto" w:line="360"/>
        <w:jc w:val="left"/>
        <w:rPr>
          <w:color w:val="000000"/>
          <w:sz w:val="22"/>
          <w:szCs w:val="22"/>
        </w:rPr>
      </w:pPr>
      <w:r>
        <w:rPr>
          <w:rFonts w:eastAsia="Arial" w:cs="Arial" w:ascii="Arial" w:hAnsi="Arial"/>
          <w:b/>
          <w:bCs/>
          <w:color w:val="000000"/>
          <w:sz w:val="22"/>
          <w:szCs w:val="22"/>
        </w:rPr>
        <w:t>Discusión</w:t>
      </w:r>
    </w:p>
    <w:p>
      <w:pPr>
        <w:pStyle w:val="BodyText"/>
        <w:spacing w:lineRule="auto" w:line="360" w:before="0" w:after="160"/>
        <w:jc w:val="left"/>
        <w:rPr>
          <w:color w:val="000000"/>
          <w:sz w:val="22"/>
          <w:szCs w:val="22"/>
        </w:rPr>
      </w:pPr>
      <w:r>
        <w:rPr>
          <w:rFonts w:eastAsia="Arial" w:cs="Arial"/>
          <w:color w:val="000000"/>
          <w:sz w:val="22"/>
          <w:szCs w:val="22"/>
        </w:rPr>
        <w:t>Los resultados obtenidos en el presente estudio evidencian diferencias significativas en el desempeño de los modelos que componen el sistema multimodal para la detección temprana de signos de ACV. En particular, el modelo de brazos alcanza la mayor exactitud y sensibilidad (90% en ambos casos), mientras que el modelo facial presenta el rendimiento más bajo (65% de exactitud y 60% de sensibilidad), seguido por el modelo de audio (70% y 77%, respectivamente). Estos hallazgos permiten analizar el comportamiento de cada modalidad en función de su naturaleza, las técnicas empleadas y su comparación con estudios recientes en el área.</w:t>
      </w:r>
    </w:p>
    <w:p>
      <w:pPr>
        <w:pStyle w:val="BodyText"/>
        <w:spacing w:lineRule="auto" w:line="360"/>
        <w:jc w:val="left"/>
        <w:rPr>
          <w:color w:val="000000"/>
          <w:sz w:val="22"/>
          <w:szCs w:val="22"/>
        </w:rPr>
      </w:pPr>
      <w:r>
        <w:rPr>
          <w:color w:val="000000"/>
          <w:sz w:val="22"/>
          <w:szCs w:val="22"/>
        </w:rPr>
        <w:t>En relación con el modelo facial, los resultados obtenidos son inferiores a los reportados en estudios especializados en detección de parálisis facial mediante visión por computadora. Taufique et al. (2021) propusieron un método basado en puntos de referencia faciales (landmarks) con flujo óptico denso para cuantificar objetivamente la asimetría en expresiones faciales, demostrando que este tipo de análisis geométrico permite aislar características discriminativas con mayor precisión que la clasificación de imagen completa. De manera similar, Mitsiopoulos et al. (2023) revisaron exhaustivamente los métodos automatizados de detección de parálisis facial, concluyendo que los enfoques basados en índices de asimetría derivados de landmarks superan consistentemente a los métodos de clasificación global de imágenes, precisamente porque abstraen las características geométricas relevantes independientemente de factores externos como la iluminación, el fondo o las variaciones en la apariencia individual. En cambio, el enfoque empleado en este estudio, basado en clasificación de imágenes completas mediante transferencia de aprendizaje con MobileNet a través de Teachable Machine, tiende a ser más sensible a este tipo de ruido visual, lo que impacta directamente en la capacidad de generalización del modelo. En este sentido, los resultados indican que la detección de asimetría facial representa un desafío importante cuando no se emplean técnicas especializadas de análisis geométrico, lo que sugiere que la incorporación de landmarks faciales podría mejorar significativamente el desempeño de este componente del sistema.</w:t>
      </w:r>
    </w:p>
    <w:p>
      <w:pPr>
        <w:pStyle w:val="BodyText"/>
        <w:spacing w:lineRule="auto" w:line="360"/>
        <w:jc w:val="left"/>
        <w:rPr>
          <w:color w:val="000000"/>
          <w:sz w:val="22"/>
          <w:szCs w:val="22"/>
        </w:rPr>
      </w:pPr>
      <w:r>
        <w:rPr>
          <w:color w:val="000000"/>
          <w:sz w:val="22"/>
          <w:szCs w:val="22"/>
        </w:rPr>
        <w:t>Por otro lado, el modelo de brazos presenta el mejor desempeño entre las tres modalidades evaluadas, lo cual coincide con lo reportado en la literatura sobre estimación de pose mediante aprendizaje automático. Roggio et al. (2024) llevaron a cabo una revisión narrativa de los modelos de estimación de pose basados en aprendizaje automático aplicados al movimiento humano, destacando que modelos como PoseNet, OpenPose y MediaPipe Pose son altamente robustos frente a variaciones externas, ya que se centran en coordenadas espaciales de las articulaciones del cuerpo humano en lugar de en características de textura o color. Este enfoque permite abstraer información relevante independientemente del color de la ropa, el fondo o la iluminación, lo que explica el alto nivel de exactitud (90%) y sensibilidad (90%) alcanzado en este trabajo. En concordancia, Das et al. (2023) demostraron la aplicabilidad de PoseNet en contextos clínicos relacionados con el ACV, utilizando clasificación de esqueleto basada en CNN para monitorear el movimiento de extremidades en pacientes post-ACV, confirmando que este tipo de modelos puede capturar patrones motores relevantes con equipamiento mínimo. Estos resultados indican que la evaluación de la simetría en las extremidades superiores constituye un indicador confiable para la detección de signos neurológicos, reforzando su relevancia dentro del protocolo FAST.</w:t>
      </w:r>
    </w:p>
    <w:p>
      <w:pPr>
        <w:pStyle w:val="BodyText"/>
        <w:spacing w:lineRule="auto" w:line="360"/>
        <w:jc w:val="left"/>
        <w:rPr>
          <w:color w:val="000000"/>
          <w:sz w:val="22"/>
          <w:szCs w:val="22"/>
        </w:rPr>
      </w:pPr>
      <w:r>
        <w:rPr>
          <w:color w:val="000000"/>
          <w:sz w:val="22"/>
          <w:szCs w:val="22"/>
        </w:rPr>
        <w:t>En cuanto al modelo de audio, los resultados obtenidos muestran un desempeño intermedio, con una exactitud del 70% y una sensibilidad del 77%. Estos valores son coherentes con los hallazgos de Shih et al. (2022), quienes desarrollaron un modelo CNN-GRU para la detección automática de disartria y reportaron que la presencia de ruido ambiental y la variabilidad en la calidad de las grabaciones afectan negativamente el rendimiento de los sistemas de reconocimiento de habla patológica. De forma similar, Kadirvelu et al. (2025) reportaron una exactitud del 70,5% en la clasificación de severidad de disartria utilizando modelos de aprendizaje automático independientes del hablante, destacando que la variabilidad interindividual en los patrones del habla constituye uno de los principales factores limitantes de estos sistemas cuando se trabaja con datos heterogéneos o capturados en condiciones no controladas. En el presente estudio, las grabaciones fueron realizadas en entornos no completamente controlados y mediante dispositivos de uso común, lo cual puede haber influido en la presencia de falsos positivos y falsos negativos. Estos hallazgos sugieren que, si bien el análisis del habla aporta información relevante, su desempeño depende en gran medida de la calidad de los datos de entrada y de la capacidad del modelo para discriminar variaciones sutiles en el patrón del habla.</w:t>
      </w:r>
    </w:p>
    <w:p>
      <w:pPr>
        <w:pStyle w:val="BodyText"/>
        <w:spacing w:lineRule="auto" w:line="360"/>
        <w:jc w:val="left"/>
        <w:rPr>
          <w:color w:val="000000"/>
          <w:sz w:val="22"/>
          <w:szCs w:val="22"/>
        </w:rPr>
      </w:pPr>
      <w:r>
        <w:rPr>
          <w:color w:val="000000"/>
          <w:sz w:val="22"/>
          <w:szCs w:val="22"/>
        </w:rPr>
        <w:t>Desde una perspectiva integral, los resultados obtenidos respaldan el uso de un enfoque multimodal para la detección temprana de ACV. Kummer et al. (2024), en su estudio de detección temprana de ACV mediante aprendizaje profundo con datos multimodales de habla y movimiento, demostraron que la fusión de múltiples fuentes de información basadas en el protocolo FAST permite compensar las limitaciones individuales de cada modalidad, mejorando la robustez y confiabilidad del sistema en escenarios reales. En la misma línea, Lin et al. (2025) propusieron el marco “Digital FAST”, un sistema multimodal de detección de ACV que integra dinámica facial, señales de voz y movimiento de extremidades superiores mediante mecanismos de fusión basados en atención, alcanzando una exactitud del 95,83% y demostrando que el enfoque multimodal supera consistentemente a los modelos unimodales. En concordancia con estos planteamientos, los resultados de este estudio muestran que, aunque el modelo facial presenta limitaciones y el modelo de audio un rendimiento moderado, la incorporación del modelo de brazos, con alto nivel de desempeño, contribuye significativamente a fortalecer la capacidad global del sistema. Estos datos indican que la integración de múltiples indicadores del protocolo FAST permite generar una evaluación más completa y menos dependiente de un único tipo de señal.</w:t>
      </w:r>
    </w:p>
    <w:p>
      <w:pPr>
        <w:pStyle w:val="BodyText"/>
        <w:spacing w:lineRule="auto" w:line="360"/>
        <w:jc w:val="left"/>
        <w:rPr>
          <w:color w:val="000000"/>
          <w:sz w:val="22"/>
          <w:szCs w:val="22"/>
        </w:rPr>
      </w:pPr>
      <w:r>
        <w:rPr>
          <w:color w:val="000000"/>
          <w:sz w:val="22"/>
          <w:szCs w:val="22"/>
        </w:rPr>
        <w:t>En función del objetivo planteado, orientado al desarrollo de un sistema inteligente multimodal para la detección temprana de signos de ACV, los resultados obtenidos permiten afirmar que el sistema logra identificar patrones relevantes en las tres modalidades analizadas, con distintos niveles de precisión. El modelo de brazos se posiciona como el componente más sólido, mientras que los modelos de rostro y audio presentan oportunidades de mejora. En este sentido, los hallazgos evidencian la viabilidad del enfoque propuesto y su potencial aplicación como herramienta de apoyo en la detección temprana, especialmente en contextos donde el acceso a evaluación médica inmediata es limitado.</w:t>
      </w:r>
    </w:p>
    <w:p>
      <w:pPr>
        <w:pStyle w:val="BodyText"/>
        <w:spacing w:lineRule="auto" w:line="360"/>
        <w:jc w:val="left"/>
        <w:rPr>
          <w:color w:val="000000"/>
          <w:sz w:val="22"/>
          <w:szCs w:val="22"/>
        </w:rPr>
      </w:pPr>
      <w:r>
        <w:rPr>
          <w:color w:val="000000"/>
          <w:sz w:val="22"/>
          <w:szCs w:val="22"/>
        </w:rPr>
        <w:t>Finalmente, se identifican líneas de mejora orientadas a optimizar el desempeño del sistema, tales como la incorporación de técnicas basadas en landmarks para el análisis facial, el uso de modelos más robustos para el procesamiento de audio y la ampliación del conjunto de datos con mayor diversidad de condiciones. Estas consideraciones permiten proyectar futuras investigaciones enfocadas en el fortalecimiento del sistema y su validación en entornos más amplios, contribuyendo al desarrollo de soluciones tecnológicas aplicadas a la salud digital.</w:t>
      </w:r>
    </w:p>
    <w:p>
      <w:pPr>
        <w:pStyle w:val="BodyText"/>
        <w:spacing w:lineRule="auto" w:line="360"/>
        <w:jc w:val="left"/>
        <w:rPr>
          <w:color w:val="000000"/>
          <w:sz w:val="22"/>
          <w:szCs w:val="22"/>
        </w:rPr>
      </w:pPr>
      <w:r>
        <w:rPr/>
      </w:r>
    </w:p>
    <w:p>
      <w:pPr>
        <w:pStyle w:val="BodyText"/>
        <w:spacing w:lineRule="auto" w:line="360"/>
        <w:jc w:val="left"/>
        <w:rPr>
          <w:b/>
          <w:bCs/>
          <w:color w:val="000000"/>
          <w:sz w:val="22"/>
          <w:szCs w:val="22"/>
        </w:rPr>
      </w:pPr>
      <w:r>
        <w:rPr>
          <w:b/>
          <w:bCs/>
          <w:color w:val="000000"/>
          <w:sz w:val="22"/>
          <w:szCs w:val="22"/>
        </w:rPr>
        <w:t>Conclusiones</w:t>
      </w:r>
    </w:p>
    <w:p>
      <w:pPr>
        <w:pStyle w:val="BodyText"/>
        <w:spacing w:lineRule="auto" w:line="360" w:before="0" w:after="160"/>
        <w:jc w:val="left"/>
        <w:rPr>
          <w:color w:val="000000"/>
          <w:sz w:val="22"/>
          <w:szCs w:val="22"/>
        </w:rPr>
      </w:pPr>
      <w:r>
        <w:rPr>
          <w:rFonts w:eastAsia="Arial" w:cs="Arial"/>
          <w:color w:val="000000"/>
          <w:sz w:val="22"/>
          <w:szCs w:val="22"/>
        </w:rPr>
        <w:t>Los resultados obtenidos permiten concluir que el sistema inteligente multimodal desarrollado cumple con el objetivo de detectar de forma automática signos tempranos de accidente cerebrovascular (ACV) mediante la integración de los componentes del protocolo FAST. La evidencia empírica muestra que el enfoque propuesto es viable y funcional, logrando identificar patrones relevantes en las modalidades de rostro, brazos y habla, aunque con distintos niveles de desempeño.</w:t>
      </w:r>
    </w:p>
    <w:p>
      <w:pPr>
        <w:pStyle w:val="BodyText"/>
        <w:spacing w:lineRule="auto" w:line="360"/>
        <w:jc w:val="left"/>
        <w:rPr>
          <w:color w:val="000000"/>
        </w:rPr>
      </w:pPr>
      <w:r>
        <w:rPr>
          <w:color w:val="000000"/>
        </w:rPr>
        <w:t>En particular, el modelo de brazos presenta el mayor nivel de precisión y sensibilidad (90%), lo que lo posiciona como el componente más confiable dentro del sistema. Este resultado indica que la detección de debilidad en las extremidades superiores constituye un indicador robusto para la identificación temprana de alteraciones neurológicas, aportando significativamente a la efectividad global del sistema. En contraste, el modelo facial presenta el menor rendimiento (65% de exactitud), evidenciando limitaciones en la detección de asimetría, mientras que el modelo de audio muestra un desempeño intermedio (70% de exactitud), con capacidad aceptable para identificar alteraciones en el habla.</w:t>
      </w:r>
    </w:p>
    <w:p>
      <w:pPr>
        <w:pStyle w:val="BodyText"/>
        <w:spacing w:lineRule="auto" w:line="360"/>
        <w:jc w:val="left"/>
        <w:rPr>
          <w:color w:val="000000"/>
        </w:rPr>
      </w:pPr>
      <w:r>
        <w:rPr>
          <w:color w:val="000000"/>
        </w:rPr>
        <w:t>Desde una perspectiva integral, la combinación de los tres modelos permite compensar las limitaciones individuales de cada modalidad, fortaleciendo la capacidad del sistema para generar alertas tempranas. Esta integración multimodal constituye un aporte relevante, ya que reduce la dependencia de un único indicador y mejora la confiabilidad del análisis en escenarios reales. En este sentido, los resultados respaldan la hipótesis de que el uso de inteligencia artificial aplicada de manera multimodal puede contribuir a la detección temprana de signos de ACV de forma automatizada y no invasiva.</w:t>
      </w:r>
    </w:p>
    <w:p>
      <w:pPr>
        <w:pStyle w:val="BodyText"/>
        <w:spacing w:lineRule="auto" w:line="360"/>
        <w:jc w:val="left"/>
        <w:rPr>
          <w:color w:val="000000"/>
        </w:rPr>
      </w:pPr>
      <w:r>
        <w:rPr>
          <w:color w:val="000000"/>
        </w:rPr>
        <w:t>En términos prácticos, el sistema desarrollado representa una herramienta tecnológica accesible que puede ser utilizada en entornos no clínicos, facilitando la identificación preliminar de síntomas y promoviendo una atención oportuna. Su implementación en una aplicación web permite su uso en dispositivos comunes, ampliando su alcance y potencial impacto en la población. Asimismo, desde el punto de vista teórico, el estudio evidencia la pertinencia del uso de modelos de aprendizaje automático en la interpretación de señales visuales y auditivas asociadas a condiciones neurológicas.</w:t>
      </w:r>
    </w:p>
    <w:p>
      <w:pPr>
        <w:pStyle w:val="Normal"/>
        <w:spacing w:lineRule="auto" w:line="360" w:before="0" w:after="160"/>
        <w:jc w:val="left"/>
        <w:rPr>
          <w:rFonts w:ascii="Arial" w:hAnsi="Arial" w:eastAsia="Arial" w:cs="Arial"/>
        </w:rPr>
      </w:pPr>
      <w:r>
        <w:rPr>
          <w:rFonts w:eastAsia="Arial" w:cs="Arial"/>
        </w:rPr>
      </w:r>
    </w:p>
    <w:p>
      <w:pPr>
        <w:pStyle w:val="Heading1"/>
        <w:spacing w:lineRule="auto" w:line="360"/>
        <w:jc w:val="left"/>
        <w:rPr>
          <w:color w:val="000000"/>
          <w:sz w:val="22"/>
          <w:szCs w:val="22"/>
        </w:rPr>
      </w:pPr>
      <w:r>
        <w:rPr>
          <w:rFonts w:eastAsia="Arial" w:cs="Arial" w:ascii="Arial" w:hAnsi="Arial"/>
          <w:b/>
          <w:bCs/>
          <w:color w:val="000000"/>
          <w:sz w:val="22"/>
          <w:szCs w:val="22"/>
        </w:rPr>
        <w:t>Referencias</w:t>
      </w:r>
    </w:p>
    <w:p>
      <w:pPr>
        <w:pStyle w:val="Heading1"/>
        <w:spacing w:lineRule="auto" w:line="360"/>
        <w:jc w:val="left"/>
        <w:rPr/>
      </w:pPr>
      <w:r>
        <w:rPr>
          <w:b w:val="false"/>
          <w:bCs w:val="false"/>
          <w:color w:val="000000"/>
          <w:sz w:val="22"/>
          <w:szCs w:val="22"/>
        </w:rPr>
        <w:t xml:space="preserve">Das, U. C., Le, N. T., Benjapolakul, W., Vitoonpong, T., &amp; Pluempitiwiriyawej, C. (2023). </w:t>
      </w:r>
      <w:r>
        <w:rPr>
          <w:rStyle w:val="Emphasis"/>
          <w:b w:val="false"/>
          <w:bCs w:val="false"/>
          <w:color w:val="000000"/>
          <w:sz w:val="22"/>
          <w:szCs w:val="22"/>
        </w:rPr>
        <w:t>Stroke home rehabilitation approach using mobile application based on PoseNet machine learning model</w:t>
      </w:r>
      <w:r>
        <w:rPr>
          <w:b w:val="false"/>
          <w:bCs w:val="false"/>
          <w:color w:val="000000"/>
          <w:sz w:val="22"/>
          <w:szCs w:val="22"/>
        </w:rPr>
        <w:t>. En ICMHI 2023: Proceedings of the 7th International Conference on Medical and Health Informatics (pp. 1–9). ACM. https://doi.org/10.1145/3608298.3608339</w:t>
      </w:r>
    </w:p>
    <w:p>
      <w:pPr>
        <w:pStyle w:val="Normal"/>
        <w:spacing w:lineRule="auto" w:line="360" w:before="0" w:after="160"/>
        <w:jc w:val="left"/>
        <w:rPr>
          <w:color w:val="000000"/>
          <w:sz w:val="22"/>
          <w:szCs w:val="22"/>
        </w:rPr>
      </w:pPr>
      <w:r>
        <w:rPr>
          <w:color w:val="000000"/>
          <w:sz w:val="22"/>
          <w:szCs w:val="22"/>
        </w:rPr>
        <w:t xml:space="preserve">GBD 2021 Stroke Risk Factor Collaborators. (2024). </w:t>
      </w:r>
      <w:r>
        <w:rPr>
          <w:rStyle w:val="Emphasis"/>
          <w:color w:val="000000"/>
          <w:sz w:val="22"/>
          <w:szCs w:val="22"/>
        </w:rPr>
        <w:t>Global, regional, and national burden of stroke and its risk factors, 1990–2021: A systematic analysis for the Global Burden of Disease Study 2021</w:t>
      </w:r>
      <w:r>
        <w:rPr>
          <w:color w:val="000000"/>
          <w:sz w:val="22"/>
          <w:szCs w:val="22"/>
        </w:rPr>
        <w:t>. The Lancet Neurology, 23(10), 973–1003. https://doi.org/10.1016/S1474-4422(24)00369-7</w:t>
      </w:r>
    </w:p>
    <w:p>
      <w:pPr>
        <w:pStyle w:val="Normal"/>
        <w:spacing w:lineRule="auto" w:line="360" w:before="0" w:after="160"/>
        <w:jc w:val="left"/>
        <w:rPr>
          <w:color w:val="000000"/>
          <w:sz w:val="22"/>
          <w:szCs w:val="22"/>
        </w:rPr>
      </w:pPr>
      <w:r>
        <w:rPr>
          <w:color w:val="000000"/>
          <w:sz w:val="22"/>
          <w:szCs w:val="22"/>
        </w:rPr>
        <w:t xml:space="preserve">Kadirvelu, B., Stumpf, L., Waibel, S., &amp; Faisal, A. A. (2025). </w:t>
      </w:r>
      <w:r>
        <w:rPr>
          <w:rStyle w:val="Emphasis"/>
          <w:color w:val="000000"/>
          <w:sz w:val="22"/>
          <w:szCs w:val="22"/>
        </w:rPr>
        <w:t>Speaker-independent dysarthria severity classification using self-supervised transformers and multi-task learning</w:t>
      </w:r>
      <w:r>
        <w:rPr>
          <w:color w:val="000000"/>
          <w:sz w:val="22"/>
          <w:szCs w:val="22"/>
        </w:rPr>
        <w:t>. PLOS Digital Health, 4(11), e0001076. https://doi.org/10.1371/journal.pdig.0001076</w:t>
      </w:r>
    </w:p>
    <w:p>
      <w:pPr>
        <w:pStyle w:val="Normal"/>
        <w:spacing w:lineRule="auto" w:line="360" w:before="0" w:after="160"/>
        <w:jc w:val="left"/>
        <w:rPr>
          <w:color w:val="000000"/>
          <w:sz w:val="22"/>
          <w:szCs w:val="22"/>
        </w:rPr>
      </w:pPr>
      <w:r>
        <w:rPr>
          <w:color w:val="000000"/>
          <w:sz w:val="22"/>
          <w:szCs w:val="22"/>
        </w:rPr>
        <w:t xml:space="preserve">Kothari, R. U., Pancioli, A., Liu, T., Brott, T., &amp; Broderick, J. (1999). </w:t>
      </w:r>
      <w:r>
        <w:rPr>
          <w:rStyle w:val="Emphasis"/>
          <w:color w:val="000000"/>
          <w:sz w:val="22"/>
          <w:szCs w:val="22"/>
        </w:rPr>
        <w:t>Cincinnati Prehospital Stroke Scale: Reproducibility and validity</w:t>
      </w:r>
      <w:r>
        <w:rPr>
          <w:color w:val="000000"/>
          <w:sz w:val="22"/>
          <w:szCs w:val="22"/>
        </w:rPr>
        <w:t>. Annals of Emergency Medicine, 33(4), 373–378. https://doi.org/10.1016/S0196-0644(99)70299-4</w:t>
      </w:r>
    </w:p>
    <w:p>
      <w:pPr>
        <w:pStyle w:val="Normal"/>
        <w:spacing w:lineRule="auto" w:line="360" w:before="0" w:after="160"/>
        <w:jc w:val="left"/>
        <w:rPr>
          <w:color w:val="000000"/>
          <w:sz w:val="22"/>
          <w:szCs w:val="22"/>
        </w:rPr>
      </w:pPr>
      <w:r>
        <w:rPr>
          <w:color w:val="000000"/>
          <w:sz w:val="22"/>
          <w:szCs w:val="22"/>
        </w:rPr>
        <w:t xml:space="preserve">Kummer, B. R., Lerario, M. P., Navi, B. B., Bhave, P. D., Merkler, A. E., Fahimi, J., Devereux, R. B., Weinsaft, J. W., Lazio, B. E., &amp; Kamel, H. (2024). </w:t>
      </w:r>
      <w:r>
        <w:rPr>
          <w:rStyle w:val="Emphasis"/>
          <w:color w:val="000000"/>
          <w:sz w:val="22"/>
          <w:szCs w:val="22"/>
        </w:rPr>
        <w:t>Early identification of stroke through deep learning with multi-modal human speech and movement data</w:t>
      </w:r>
      <w:r>
        <w:rPr>
          <w:color w:val="000000"/>
          <w:sz w:val="22"/>
          <w:szCs w:val="22"/>
        </w:rPr>
        <w:t>. Journal of Stroke and Cerebrovascular Diseases, 33(1). https://doi.org/10.1016/j.jstrokecerebrovasdis.2023.107503</w:t>
      </w:r>
    </w:p>
    <w:p>
      <w:pPr>
        <w:pStyle w:val="Normal"/>
        <w:spacing w:lineRule="auto" w:line="360" w:before="0" w:after="160"/>
        <w:jc w:val="left"/>
        <w:rPr>
          <w:color w:val="000000"/>
          <w:sz w:val="22"/>
          <w:szCs w:val="22"/>
        </w:rPr>
      </w:pPr>
      <w:r>
        <w:rPr>
          <w:color w:val="000000"/>
          <w:sz w:val="22"/>
          <w:szCs w:val="22"/>
        </w:rPr>
        <w:t xml:space="preserve">Lin, J., Zhang, Z., Bao, Y., &amp; Zhao, J. (2025). </w:t>
      </w:r>
      <w:r>
        <w:rPr>
          <w:rStyle w:val="Emphasis"/>
          <w:color w:val="000000"/>
          <w:sz w:val="22"/>
          <w:szCs w:val="22"/>
        </w:rPr>
        <w:t>Digital FAST: An AI-driven multimodal framework for rapid and early stroke screening</w:t>
      </w:r>
      <w:r>
        <w:rPr>
          <w:color w:val="000000"/>
          <w:sz w:val="22"/>
          <w:szCs w:val="22"/>
        </w:rPr>
        <w:t>. arXiv. https://arxiv.org/abs/2601.11896</w:t>
      </w:r>
    </w:p>
    <w:p>
      <w:pPr>
        <w:pStyle w:val="Normal"/>
        <w:spacing w:lineRule="auto" w:line="360" w:before="0" w:after="160"/>
        <w:jc w:val="left"/>
        <w:rPr>
          <w:color w:val="000000"/>
          <w:sz w:val="22"/>
          <w:szCs w:val="22"/>
        </w:rPr>
      </w:pPr>
      <w:r>
        <w:rPr>
          <w:color w:val="000000"/>
          <w:sz w:val="22"/>
          <w:szCs w:val="22"/>
        </w:rPr>
        <w:t xml:space="preserve">Mitsiopoulos, K., Karampelas, I., &amp; Tsakanikas, V. (2023). </w:t>
      </w:r>
      <w:r>
        <w:rPr>
          <w:rStyle w:val="Emphasis"/>
          <w:color w:val="000000"/>
          <w:sz w:val="22"/>
          <w:szCs w:val="22"/>
        </w:rPr>
        <w:t>Automatic facial palsy detection—From mathematical modeling to deep learning</w:t>
      </w:r>
      <w:r>
        <w:rPr>
          <w:color w:val="000000"/>
          <w:sz w:val="22"/>
          <w:szCs w:val="22"/>
        </w:rPr>
        <w:t>. Axioms, 12(12), 1091. https://doi.org/10.3390/axioms12121091</w:t>
      </w:r>
    </w:p>
    <w:p>
      <w:pPr>
        <w:pStyle w:val="Normal"/>
        <w:spacing w:lineRule="auto" w:line="360" w:before="0" w:after="160"/>
        <w:jc w:val="left"/>
        <w:rPr>
          <w:color w:val="000000"/>
          <w:sz w:val="22"/>
          <w:szCs w:val="22"/>
        </w:rPr>
      </w:pPr>
      <w:r>
        <w:rPr>
          <w:color w:val="000000"/>
          <w:sz w:val="22"/>
          <w:szCs w:val="22"/>
        </w:rPr>
        <w:t xml:space="preserve">Organización Mundial de la Salud. (2025). </w:t>
      </w:r>
      <w:r>
        <w:rPr>
          <w:rStyle w:val="Emphasis"/>
          <w:color w:val="000000"/>
          <w:sz w:val="22"/>
          <w:szCs w:val="22"/>
        </w:rPr>
        <w:t>Accidente cerebrovascular (ACV)</w:t>
      </w:r>
      <w:r>
        <w:rPr>
          <w:color w:val="000000"/>
          <w:sz w:val="22"/>
          <w:szCs w:val="22"/>
        </w:rPr>
        <w:t>. https://www.who.int/news-room/fact-sheets/detail/stroke</w:t>
      </w:r>
    </w:p>
    <w:p>
      <w:pPr>
        <w:pStyle w:val="Normal"/>
        <w:spacing w:lineRule="auto" w:line="360" w:before="0" w:after="160"/>
        <w:jc w:val="left"/>
        <w:rPr>
          <w:color w:val="000000"/>
          <w:sz w:val="22"/>
          <w:szCs w:val="22"/>
        </w:rPr>
      </w:pPr>
      <w:r>
        <w:rPr>
          <w:color w:val="000000"/>
          <w:sz w:val="22"/>
          <w:szCs w:val="22"/>
        </w:rPr>
        <w:t xml:space="preserve">Rajpurkar, P., Chen, E., Banerjee, O., &amp; Topol, E. J. (2022). </w:t>
      </w:r>
      <w:r>
        <w:rPr>
          <w:rStyle w:val="Emphasis"/>
          <w:color w:val="000000"/>
          <w:sz w:val="22"/>
          <w:szCs w:val="22"/>
        </w:rPr>
        <w:t>AI in health and medicine</w:t>
      </w:r>
      <w:r>
        <w:rPr>
          <w:color w:val="000000"/>
          <w:sz w:val="22"/>
          <w:szCs w:val="22"/>
        </w:rPr>
        <w:t>. Nature Medicine, 28(1), 31–38. https://doi.org/10.1038/s41591-021-01614-0</w:t>
      </w:r>
    </w:p>
    <w:p>
      <w:pPr>
        <w:pStyle w:val="Normal"/>
        <w:spacing w:lineRule="auto" w:line="360" w:before="0" w:after="160"/>
        <w:jc w:val="left"/>
        <w:rPr>
          <w:color w:val="000000"/>
          <w:sz w:val="22"/>
          <w:szCs w:val="22"/>
        </w:rPr>
      </w:pPr>
      <w:r>
        <w:rPr>
          <w:color w:val="000000"/>
          <w:sz w:val="22"/>
          <w:szCs w:val="22"/>
        </w:rPr>
        <w:t xml:space="preserve">Roggio, F., Trovato, B., Sortino, M., &amp; Musumeci, G. (2024). </w:t>
      </w:r>
      <w:r>
        <w:rPr>
          <w:rStyle w:val="Emphasis"/>
          <w:color w:val="000000"/>
          <w:sz w:val="22"/>
          <w:szCs w:val="22"/>
        </w:rPr>
        <w:t>A comprehensive analysis of the machine learning pose estimation models used in human movement and posture analyses: A narrative review</w:t>
      </w:r>
      <w:r>
        <w:rPr>
          <w:color w:val="000000"/>
          <w:sz w:val="22"/>
          <w:szCs w:val="22"/>
        </w:rPr>
        <w:t>. Heliyon, 10(21), e39977. https://doi.org/10.1016/j.heliyon.2024.e39977</w:t>
      </w:r>
    </w:p>
    <w:p>
      <w:pPr>
        <w:pStyle w:val="Normal"/>
        <w:spacing w:lineRule="auto" w:line="360" w:before="0" w:after="160"/>
        <w:jc w:val="left"/>
        <w:rPr>
          <w:color w:val="000000"/>
          <w:sz w:val="22"/>
          <w:szCs w:val="22"/>
        </w:rPr>
      </w:pPr>
      <w:r>
        <w:rPr>
          <w:color w:val="000000"/>
          <w:sz w:val="22"/>
          <w:szCs w:val="22"/>
        </w:rPr>
        <w:t xml:space="preserve">Saver, J. L. (2006). </w:t>
      </w:r>
      <w:r>
        <w:rPr>
          <w:rStyle w:val="Emphasis"/>
          <w:color w:val="000000"/>
          <w:sz w:val="22"/>
          <w:szCs w:val="22"/>
        </w:rPr>
        <w:t>Time is brain—Quantified</w:t>
      </w:r>
      <w:r>
        <w:rPr>
          <w:color w:val="000000"/>
          <w:sz w:val="22"/>
          <w:szCs w:val="22"/>
        </w:rPr>
        <w:t>. Stroke, 37(1), 263–266. https://doi.org/10.1161/01.STR.0000196957.55928.ab</w:t>
      </w:r>
    </w:p>
    <w:p>
      <w:pPr>
        <w:pStyle w:val="Normal"/>
        <w:spacing w:lineRule="auto" w:line="360" w:before="0" w:after="160"/>
        <w:jc w:val="left"/>
        <w:rPr>
          <w:color w:val="000000"/>
          <w:sz w:val="22"/>
          <w:szCs w:val="22"/>
        </w:rPr>
      </w:pPr>
      <w:r>
        <w:rPr>
          <w:color w:val="000000"/>
          <w:sz w:val="22"/>
          <w:szCs w:val="22"/>
        </w:rPr>
        <w:t xml:space="preserve">Shih, D.-H., Liao, C.-H., Wu, T.-W., Xu, X.-Y., &amp; Shih, M.-H. (2022). </w:t>
      </w:r>
      <w:r>
        <w:rPr>
          <w:rStyle w:val="Emphasis"/>
          <w:color w:val="000000"/>
          <w:sz w:val="22"/>
          <w:szCs w:val="22"/>
        </w:rPr>
        <w:t>Dysarthria speech detection using convolutional neural networks with gated recurrent unit</w:t>
      </w:r>
      <w:r>
        <w:rPr>
          <w:color w:val="000000"/>
          <w:sz w:val="22"/>
          <w:szCs w:val="22"/>
        </w:rPr>
        <w:t>. Healthcare, 10(11), 2187. https://doi.org/10.3390/healthcare10112187</w:t>
      </w:r>
    </w:p>
    <w:p>
      <w:pPr>
        <w:pStyle w:val="Normal"/>
        <w:spacing w:lineRule="auto" w:line="360" w:before="0" w:after="160"/>
        <w:jc w:val="left"/>
        <w:rPr>
          <w:color w:val="000000"/>
          <w:sz w:val="22"/>
          <w:szCs w:val="22"/>
        </w:rPr>
      </w:pPr>
      <w:r>
        <w:rPr>
          <w:color w:val="000000"/>
          <w:sz w:val="22"/>
          <w:szCs w:val="22"/>
        </w:rPr>
        <w:t xml:space="preserve">Taufique, A. M. N., Savakis, A., &amp; Leckenby, J. (2021). </w:t>
      </w:r>
      <w:r>
        <w:rPr>
          <w:rStyle w:val="Emphasis"/>
          <w:color w:val="000000"/>
          <w:sz w:val="22"/>
          <w:szCs w:val="22"/>
        </w:rPr>
        <w:t>Automatic quantification of facial asymmetry using facial landmarks</w:t>
      </w:r>
      <w:r>
        <w:rPr>
          <w:color w:val="000000"/>
          <w:sz w:val="22"/>
          <w:szCs w:val="22"/>
        </w:rPr>
        <w:t>. arXiv. https://arxiv.org/abs/2103.11059</w:t>
      </w:r>
    </w:p>
    <w:p>
      <w:pPr>
        <w:pStyle w:val="Normal"/>
        <w:spacing w:lineRule="auto" w:line="360" w:before="0" w:after="160"/>
        <w:jc w:val="left"/>
        <w:rPr>
          <w:color w:val="000000"/>
          <w:sz w:val="22"/>
          <w:szCs w:val="22"/>
        </w:rPr>
      </w:pPr>
      <w:r>
        <w:rPr>
          <w:color w:val="000000"/>
          <w:sz w:val="22"/>
          <w:szCs w:val="22"/>
        </w:rPr>
        <w:t xml:space="preserve">Wall, J., Bhatt, P., Klabjan, D., Bhatt, D. L., &amp; Bhatt, P. (2022). </w:t>
      </w:r>
      <w:r>
        <w:rPr>
          <w:rStyle w:val="Emphasis"/>
          <w:color w:val="000000"/>
          <w:sz w:val="22"/>
          <w:szCs w:val="22"/>
        </w:rPr>
        <w:t>Human vs. machine learning based detection of facial weakness using video analysis</w:t>
      </w:r>
      <w:r>
        <w:rPr>
          <w:color w:val="000000"/>
          <w:sz w:val="22"/>
          <w:szCs w:val="22"/>
        </w:rPr>
        <w:t>. Frontiers in Neurology, 13, 878282. https://doi.org/10.3389/fneur.2022.878282</w:t>
      </w:r>
    </w:p>
    <w:p>
      <w:pPr>
        <w:pStyle w:val="Normal"/>
        <w:spacing w:lineRule="auto" w:line="360" w:before="0" w:after="160"/>
        <w:jc w:val="left"/>
        <w:rPr>
          <w:rFonts w:ascii="Arial" w:hAnsi="Arial" w:eastAsia="Arial" w:cs="Arial"/>
          <w:color w:val="000000"/>
        </w:rPr>
      </w:pPr>
      <w:r>
        <w:rPr>
          <w:rFonts w:eastAsia="Arial" w:cs="Arial"/>
          <w:color w:val="000000"/>
        </w:rPr>
      </w:r>
    </w:p>
    <w:p>
      <w:pPr>
        <w:pStyle w:val="Heading1"/>
        <w:spacing w:lineRule="auto" w:line="360"/>
        <w:jc w:val="left"/>
        <w:rPr>
          <w:color w:val="000000"/>
          <w:sz w:val="22"/>
          <w:szCs w:val="22"/>
        </w:rPr>
      </w:pPr>
      <w:r>
        <w:rPr>
          <w:rFonts w:eastAsia="Arial" w:cs="Arial" w:ascii="Arial" w:hAnsi="Arial"/>
          <w:b/>
          <w:bCs/>
          <w:color w:val="000000"/>
          <w:sz w:val="22"/>
          <w:szCs w:val="22"/>
        </w:rPr>
        <w:t>Sobre los autores</w:t>
      </w:r>
    </w:p>
    <w:p>
      <w:pPr>
        <w:pStyle w:val="Normal"/>
        <w:spacing w:lineRule="auto" w:line="360" w:before="0" w:after="160"/>
        <w:jc w:val="left"/>
        <w:rPr>
          <w:color w:val="000000"/>
          <w:sz w:val="22"/>
          <w:szCs w:val="22"/>
        </w:rPr>
      </w:pPr>
      <w:r>
        <w:rPr>
          <w:rFonts w:eastAsia="Arial" w:cs="Arial"/>
          <w:color w:val="000000"/>
          <w:sz w:val="22"/>
          <w:szCs w:val="22"/>
        </w:rPr>
        <w:t>El autor es estudiante de tercer año de la carrera de Ingeniería de Software en la Universidad Católica Boliviana San Pablo. Actualmente se encuentra en proceso de formación académica universitaria, con enfoque en el desarrollo de software y tecnologías emergentes. Cuenta con conocimientos en programación, inteligencia artificial y desarrollo de sistemas, adquiridos a lo largo de su formación. Tiene 20 años de edad y orienta su perfil profesional hacia la creación de soluciones tecnológicas innovadoras.</w:t>
      </w:r>
    </w:p>
    <w:p>
      <w:pPr>
        <w:pStyle w:val="Heading1"/>
        <w:spacing w:lineRule="auto" w:line="360"/>
        <w:jc w:val="left"/>
        <w:rPr>
          <w:color w:val="000000"/>
          <w:sz w:val="22"/>
          <w:szCs w:val="22"/>
        </w:rPr>
      </w:pPr>
      <w:r>
        <w:rPr>
          <w:rFonts w:eastAsia="Arial" w:cs="Arial" w:ascii="Arial" w:hAnsi="Arial"/>
          <w:b/>
          <w:bCs/>
          <w:color w:val="000000"/>
          <w:sz w:val="22"/>
          <w:szCs w:val="22"/>
        </w:rPr>
        <w:t>Financiamiento de la investigación</w:t>
      </w:r>
    </w:p>
    <w:p>
      <w:pPr>
        <w:pStyle w:val="Normal"/>
        <w:spacing w:lineRule="auto" w:line="360" w:before="0" w:after="160"/>
        <w:jc w:val="left"/>
        <w:rPr>
          <w:color w:val="000000"/>
          <w:sz w:val="22"/>
          <w:szCs w:val="22"/>
        </w:rPr>
      </w:pPr>
      <w:r>
        <w:rPr>
          <w:rFonts w:eastAsia="Arial" w:cs="Arial"/>
          <w:color w:val="000000"/>
          <w:sz w:val="22"/>
          <w:szCs w:val="22"/>
        </w:rPr>
        <w:t>Con recursos propios. El presente trabajo es resultado un trabajo para la carrera de Ingeniería de Software</w:t>
      </w:r>
    </w:p>
    <w:p>
      <w:pPr>
        <w:pStyle w:val="Heading1"/>
        <w:spacing w:lineRule="auto" w:line="360"/>
        <w:jc w:val="left"/>
        <w:rPr>
          <w:color w:val="000000"/>
          <w:sz w:val="22"/>
          <w:szCs w:val="22"/>
        </w:rPr>
      </w:pPr>
      <w:r>
        <w:rPr>
          <w:rFonts w:eastAsia="Arial" w:cs="Arial" w:ascii="Arial" w:hAnsi="Arial"/>
          <w:b/>
          <w:bCs/>
          <w:color w:val="000000"/>
          <w:sz w:val="22"/>
          <w:szCs w:val="22"/>
        </w:rPr>
        <w:t>Declaración de intereses</w:t>
      </w:r>
    </w:p>
    <w:p>
      <w:pPr>
        <w:pStyle w:val="Normal"/>
        <w:spacing w:lineRule="auto" w:line="360" w:before="0" w:after="160"/>
        <w:jc w:val="left"/>
        <w:rPr>
          <w:color w:val="000000"/>
          <w:sz w:val="22"/>
          <w:szCs w:val="22"/>
        </w:rPr>
      </w:pPr>
      <w:r>
        <w:rPr>
          <w:rFonts w:eastAsia="Arial" w:cs="Arial"/>
          <w:color w:val="000000"/>
          <w:sz w:val="22"/>
          <w:szCs w:val="22"/>
        </w:rPr>
        <w:t>El autor declara no tener ningún conflicto de intereses que pueda haber influido en los resultados obtenidos o las interpretaciones propuestas.</w:t>
      </w:r>
    </w:p>
    <w:p>
      <w:pPr>
        <w:pStyle w:val="Heading1"/>
        <w:spacing w:lineRule="auto" w:line="360"/>
        <w:jc w:val="left"/>
        <w:rPr>
          <w:color w:val="000000"/>
          <w:sz w:val="22"/>
          <w:szCs w:val="22"/>
        </w:rPr>
      </w:pPr>
      <w:r>
        <w:rPr>
          <w:rFonts w:eastAsia="Arial" w:cs="Arial" w:ascii="Arial" w:hAnsi="Arial"/>
          <w:b/>
          <w:bCs/>
          <w:color w:val="000000"/>
          <w:sz w:val="22"/>
          <w:szCs w:val="22"/>
        </w:rPr>
        <w:t>Declaración de consentimiento informado</w:t>
      </w:r>
    </w:p>
    <w:p>
      <w:pPr>
        <w:pStyle w:val="Normal"/>
        <w:spacing w:lineRule="auto" w:line="360" w:before="0" w:after="160"/>
        <w:jc w:val="left"/>
        <w:rPr>
          <w:color w:val="000000"/>
          <w:sz w:val="22"/>
          <w:szCs w:val="22"/>
        </w:rPr>
      </w:pPr>
      <w:r>
        <w:rPr>
          <w:rFonts w:eastAsia="Arial" w:cs="Arial"/>
          <w:color w:val="000000"/>
          <w:sz w:val="22"/>
          <w:szCs w:val="22"/>
        </w:rPr>
        <w:t>El estudio se realizó respetando el Código de ética y buenas prácticas editoriales de publicación.</w:t>
      </w:r>
    </w:p>
    <w:p>
      <w:pPr>
        <w:pStyle w:val="Heading1"/>
        <w:spacing w:lineRule="auto" w:line="360"/>
        <w:jc w:val="left"/>
        <w:rPr>
          <w:color w:val="000000"/>
          <w:sz w:val="22"/>
          <w:szCs w:val="22"/>
        </w:rPr>
      </w:pPr>
      <w:r>
        <w:rPr>
          <w:rFonts w:eastAsia="Arial" w:cs="Arial" w:ascii="Arial" w:hAnsi="Arial"/>
          <w:b/>
          <w:bCs/>
          <w:color w:val="000000"/>
          <w:sz w:val="22"/>
          <w:szCs w:val="22"/>
        </w:rPr>
        <w:t>Derechos de uso</w:t>
      </w:r>
    </w:p>
    <w:p>
      <w:pPr>
        <w:pStyle w:val="Normal"/>
        <w:spacing w:lineRule="auto" w:line="360" w:before="0" w:after="160"/>
        <w:jc w:val="left"/>
        <w:rPr>
          <w:color w:val="000000"/>
          <w:sz w:val="22"/>
          <w:szCs w:val="22"/>
        </w:rPr>
      </w:pPr>
      <w:r>
        <w:rPr>
          <w:rFonts w:eastAsia="Arial" w:cs="Arial"/>
          <w:color w:val="000000"/>
          <w:sz w:val="22"/>
          <w:szCs w:val="22"/>
        </w:rPr>
        <w:t>Copyright© 2025 por los autores. Este texto está protegido por la Licencia Creative Commons Atribución 4.0 Internacional. Usted es libre para compartir, copiar y redistribuir el material en cualquier medio o formato y adaptar el documento, siempre que cumpla la condición de atribución.</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BO"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s-BO" w:eastAsia="zh-CN" w:bidi="hi-IN"/>
    </w:rPr>
  </w:style>
  <w:style w:type="paragraph" w:styleId="Heading1">
    <w:name w:val="Heading 1"/>
    <w:basedOn w:val="Ttulo"/>
    <w:qFormat/>
    <w:pPr>
      <w:spacing w:before="240" w:after="120"/>
      <w:outlineLvl w:val="0"/>
    </w:pPr>
    <w:rPr>
      <w:rFonts w:ascii="Arial" w:hAnsi="Arial" w:eastAsia="Arial" w:cs="Arial"/>
      <w:b/>
      <w:bCs/>
      <w:color w:val="2E75B6"/>
      <w:sz w:val="28"/>
      <w:szCs w:val="28"/>
    </w:rPr>
  </w:style>
  <w:style w:type="paragraph" w:styleId="Heading2">
    <w:name w:val="Heading 2"/>
    <w:basedOn w:val="Ttulo"/>
    <w:qFormat/>
    <w:pPr>
      <w:spacing w:before="180" w:after="80"/>
      <w:outlineLvl w:val="1"/>
    </w:pPr>
    <w:rPr>
      <w:rFonts w:ascii="Arial" w:hAnsi="Arial" w:eastAsia="Arial" w:cs="Arial"/>
      <w:b/>
      <w:bCs/>
      <w:color w:val="2E75B6"/>
      <w:sz w:val="24"/>
      <w:szCs w:val="24"/>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rong">
    <w:name w:val="Strong"/>
    <w:qFormat/>
    <w:rPr>
      <w:b/>
      <w:bCs/>
    </w:rPr>
  </w:style>
  <w:style w:type="character" w:styleId="Emphasis">
    <w:name w:val="Emphasis"/>
    <w:qFormat/>
    <w:rPr>
      <w:i/>
      <w:i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s-BO"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s-BO"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14</Pages>
  <Words>4214</Words>
  <Characters>24624</Characters>
  <CharactersWithSpaces>28706</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2026-04-22T13:40:14Z</dcterms:created>
  <dc:creator>Un-named</dc:creator>
  <dc:description/>
  <dc:language>es-BO</dc:language>
  <cp:lastModifiedBy/>
  <dcterms:modified xsi:type="dcterms:W3CDTF">2026-04-25T01:15:48Z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