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sz w:val="27"/>
        </w:rPr>
        <w:t>Day-ahead load forecasting for heat-pump households: one global model, plus a PV/non-PV split</w:t>
      </w:r>
    </w:p>
    <w:p>
      <w:pPr>
        <w:spacing w:after="40"/>
      </w:pPr>
      <w:r>
        <w:rPr>
          <w:i w:val="0"/>
          <w:color w:val="555555"/>
          <w:sz w:val="19"/>
        </w:rPr>
        <w:t>Bringing the Heat (E.ON challenge), Levels 0 and 1  |  Team: Anita Aghazadeh</w:t>
      </w:r>
    </w:p>
    <w:p>
      <w:pPr>
        <w:spacing w:before="100" w:after="30"/>
        <w:pBdr>
          <w:bottom w:val="single" w:sz="4" w:space="1" w:color="1F3A5F"/>
        </w:pBdr>
      </w:pPr>
      <w:r>
        <w:rPr>
          <w:b/>
          <w:color w:val="1F3A5F"/>
          <w:sz w:val="21"/>
        </w:rPr>
        <w:t>Approach</w:t>
      </w:r>
    </w:p>
    <w:p>
      <w:r>
        <w:rPr>
          <w:b/>
        </w:rPr>
        <w:t xml:space="preserve">Data. </w:t>
      </w:r>
      <w:r>
        <w:rPr>
          <w:i w:val="0"/>
        </w:rPr>
        <w:t>Hourly day-ahead forecasts of household net consumption. We summed the 15-minute readings to hourly values (only complete hours kept; 406 households with a total-load signal, 6.9M household-hours) and joined the hourly weather of each household's nearest station. Everything is in three short scripts (prepare, features, models).</w:t>
      </w:r>
    </w:p>
    <w:p>
      <w:r>
        <w:rPr>
          <w:b/>
        </w:rPr>
        <w:t xml:space="preserve">No leakage. </w:t>
      </w:r>
      <w:r>
        <w:rPr>
          <w:i w:val="0"/>
        </w:rPr>
        <w:t>The forecast origin is the end of day D-2, stricter than the real gate closure at noon on D-1, so every consumption feature for day D is at least 48 h old: same-hour lags (48/72/96/168 h), mean and std of the same hour over 7 days, recent level (last day, 7-day, 28-day means), local calendar features, and weather at the target hour (temperature, humidity, sunshine, wind, rain, heating degrees). The split is strictly chronological.</w:t>
      </w:r>
    </w:p>
    <w:p>
      <w:r>
        <w:rPr>
          <w:b/>
        </w:rPr>
        <w:t xml:space="preserve">Level 0. </w:t>
      </w:r>
      <w:r>
        <w:rPr>
          <w:i w:val="0"/>
        </w:rPr>
        <w:t>One global LightGBM model for all households (early stopping on the last 10% of the training period), compared with three naive rules: same hour last week, same hour two days ago, and the 7-day same-hour mean.</w:t>
      </w:r>
    </w:p>
    <w:p>
      <w:r>
        <w:rPr>
          <w:b/>
        </w:rPr>
        <w:t xml:space="preserve">Level 1. </w:t>
      </w:r>
      <w:r>
        <w:rPr>
          <w:i w:val="0"/>
        </w:rPr>
        <w:t>PV owners are found from their consumption pattern (option b). 131 households carry a PV flag and 111 a non-PV flag; for the unflagged ones a random forest uses summer midday share of load, midday-to-night and midday-to-evening ratios, summer/winter ratio and the correlation of midday share with temperature, all computed on the training period only. Cross-validated on the flagged households it reaches AUC 0.81 and 75% accuracy (AUC 0.89 / 82% with a longer training window). We compare three setups: the global model, the global model with a PV-flag input, and separate PV and non-PV models.</w:t>
      </w:r>
    </w:p>
    <w:p>
      <w:pPr>
        <w:spacing w:before="100" w:after="30"/>
        <w:pBdr>
          <w:bottom w:val="single" w:sz="4" w:space="1" w:color="1F3A5F"/>
        </w:pBdr>
      </w:pPr>
      <w:r>
        <w:rPr>
          <w:b/>
          <w:color w:val="1F3A5F"/>
          <w:sz w:val="21"/>
        </w:rPr>
        <w:t>Experimental design</w:t>
      </w:r>
    </w:p>
    <w:p>
      <w:r>
        <w:rPr>
          <w:i w:val="0"/>
        </w:rPr>
        <w:t>Train on all data before 2023-01-01, test on every hour of 2023 (403 households, 3.2M forecasts), which covers all seasons. Two extra checks gave consistent results: the last 20% of the data (Oct 2023 to Feb 2024) and Apr to Sep 2023. Metric: WAPE = total absolute error / total actual load. We report it per household-hour and for the summed portfolio per hour and per day, since the portfolio is what is bought on the day-ahead market.</w:t>
      </w:r>
    </w:p>
    <w:p>
      <w:pPr>
        <w:spacing w:before="100" w:after="30"/>
        <w:pBdr>
          <w:bottom w:val="single" w:sz="4" w:space="1" w:color="1F3A5F"/>
        </w:pBdr>
      </w:pPr>
      <w:r>
        <w:rPr>
          <w:b/>
          <w:color w:val="1F3A5F"/>
          <w:sz w:val="21"/>
        </w:rPr>
        <w:t>Results (2023 test, portfolio WAPE per hour, lower is better)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1587"/>
        <w:gridCol w:w="1587"/>
        <w:gridCol w:w="1587"/>
      </w:tblGrid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All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PV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non-PV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hour last week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20.2%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23.6%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19.2%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Mean of same hour, last 7 days (best naive)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15.9%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18.5%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15.1%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LightGBM, global (Level 0)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8.5%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11.2%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8.2%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LightGBM, global + PV flag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8.4%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10.9%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8.1%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LightGBM, separate PV / non-PV models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8.3%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11.0%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7.9%</w:t>
            </w:r>
          </w:p>
        </w:tc>
      </w:tr>
    </w:tbl>
    <w:p>
      <w:pPr>
        <w:spacing w:after="20"/>
      </w:pPr>
      <w:r>
        <w:rPr>
          <w:i w:val="0"/>
        </w:rPr>
      </w:r>
    </w:p>
    <w:p>
      <w:r>
        <w:rPr>
          <w:b/>
        </w:rPr>
        <w:t xml:space="preserve">Accuracy. </w:t>
      </w:r>
      <w:r>
        <w:rPr>
          <w:i w:val="0"/>
        </w:rPr>
        <w:t>The global model roughly halves the day-ahead error of the best naive rule, in every month of the year, and the daily portfolio error falls from 13.4% to 6.2%. Error per single household-hour stays high (43% vs 46%), as expected for individual homes; aggregation is what makes the forecast usable for procurement. Errors peak in spring and October (about 10%), when heating switches on and off, and are lowest in June and July (about 6%).</w:t>
      </w:r>
    </w:p>
    <w:p>
      <w:r>
        <w:rPr>
          <w:b/>
        </w:rPr>
        <w:t xml:space="preserve">PV vs non-PV. </w:t>
      </w:r>
      <w:r>
        <w:rPr>
          <w:i w:val="0"/>
        </w:rPr>
        <w:t>PV households are consistently harder to forecast, by about 3 percentage points (11.2% vs 8.2%), and by more on the households with a known PV flag (13.5%). Separate PV and non-PV models gain only 0.2 to 0.3 points over the global model, which is within the roughly 0.4-point run-to-run variation we saw between training runs, so we do not claim a benefit. The practical value of identifying PV households is risk sizing: they need larger safety margins on the day-ahead bid.</w:t>
      </w:r>
    </w:p>
    <w:p>
      <w:pPr>
        <w:spacing w:before="100" w:after="30"/>
        <w:pBdr>
          <w:bottom w:val="single" w:sz="4" w:space="1" w:color="1F3A5F"/>
        </w:pBdr>
      </w:pPr>
      <w:r>
        <w:rPr>
          <w:b/>
          <w:color w:val="1F3A5F"/>
          <w:sz w:val="21"/>
        </w:rPr>
        <w:t>Limitations</w:t>
      </w:r>
    </w:p>
    <w:p>
      <w:r>
        <w:rPr>
          <w:i w:val="0"/>
        </w:rPr>
        <w:t>The data holds net consumption only, so we forecast grid draw, not PV production. Weather is the observed weather, a stand-in for a forecast, so real errors would be somewhat higher (weather ranks far below recent consumption in feature importance). Households without a week of history are excluded from scoring, and 29 households with no training history default to non-PV. We did not attempt Level 2 (cost metrics) or Level 3 (uncertainty).</w:t>
      </w:r>
    </w:p>
    <w:p>
      <w:pPr>
        <w:spacing w:before="100" w:after="30"/>
        <w:pBdr>
          <w:bottom w:val="single" w:sz="4" w:space="1" w:color="1F3A5F"/>
        </w:pBdr>
      </w:pPr>
      <w:r>
        <w:rPr>
          <w:b/>
          <w:color w:val="1F3A5F"/>
          <w:sz w:val="21"/>
        </w:rPr>
        <w:t>Reproduce</w:t>
      </w:r>
    </w:p>
    <w:p>
      <w:r>
        <w:rPr>
          <w:i w:val="0"/>
          <w:sz w:val="17"/>
        </w:rPr>
        <w:t>python 01_prepare.py &lt;repo&gt; work;  python 02_features.py &lt;repo&gt; work;  python 03_models.py work results 2023-01-01T00:00 2023-01-01T00:00 2024-01-01T00:00 year2023   (about 10 minutes, 2 cores, 6 GB RAM). Python with polars, pandas, scikit-learn and lightgbm.</w:t>
      </w:r>
    </w:p>
    <w:sectPr w:rsidR="00FC693F" w:rsidRPr="0006063C" w:rsidSect="00034616">
      <w:pgSz w:w="11906" w:h="16838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