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B5E20"/>
          <w:sz w:val="36"/>
          <w:szCs w:val="36"/>
        </w:rPr>
        <w:t xml:space="preserve">TRABAJO FINAL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Taller de Construcción de Software (INF243)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Universidad Siglo 21 — 2026</w:t>
      </w:r>
    </w:p>
    <w:p>
      <w:pPr>
        <w:spacing w:after="120"/>
        <w:jc w:val="center"/>
      </w:pPr>
      <w:r>
        <w:rPr>
          <w:b/>
          <w:bCs/>
          <w:color w:val="1B5E20"/>
          <w:sz w:val="56"/>
          <w:szCs w:val="56"/>
        </w:rPr>
        <w:t xml:space="preserve">EcoMarket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Plataforma de Comercio Electrónico Sostenible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spacing w:after="40"/>
        <w:jc w:val="center"/>
      </w:pPr>
      <w:r>
        <w:rPr>
          <w:sz w:val="22"/>
          <w:szCs w:val="22"/>
        </w:rPr>
        <w:t xml:space="preserve">Cuberli, Roman — 45352533</w:t>
      </w:r>
    </w:p>
    <w:p>
      <w:pPr>
        <w:spacing w:after="40"/>
        <w:jc w:val="center"/>
      </w:pPr>
      <w:r>
        <w:rPr>
          <w:sz w:val="22"/>
          <w:szCs w:val="22"/>
        </w:rPr>
        <w:t xml:space="preserve">Rinaldi, Nicolás — 45403417</w:t>
      </w:r>
    </w:p>
    <w:p>
      <w:pPr>
        <w:spacing w:after="40"/>
        <w:jc w:val="center"/>
      </w:pPr>
      <w:r>
        <w:rPr>
          <w:sz w:val="22"/>
          <w:szCs w:val="22"/>
        </w:rPr>
        <w:t xml:space="preserve">Aguilar, Esteban — 46307516</w:t>
      </w:r>
    </w:p>
    <w:p>
      <w:pPr>
        <w:spacing w:after="40"/>
        <w:jc w:val="center"/>
      </w:pPr>
      <w:r>
        <w:rPr>
          <w:sz w:val="22"/>
          <w:szCs w:val="22"/>
        </w:rPr>
        <w:t xml:space="preserve">Bruno, Enzo Eduardo — 38410678</w:t>
      </w:r>
    </w:p>
    <w:p>
      <w:pPr>
        <w:spacing w:before="500"/>
        <w:jc w:val="center"/>
      </w:pPr>
      <w:r>
        <w:rPr>
          <w:color w:val="555555"/>
          <w:sz w:val="20"/>
          <w:szCs w:val="20"/>
        </w:rPr>
        <w:t xml:space="preserve">Repositorio: github.com/nicote0/ecomarket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</w:pPr>
      <w:r>
        <w:rPr>
          <w:sz w:val="22"/>
          <w:szCs w:val="22"/>
        </w:rPr>
        <w:t xml:space="preserve">EcoMarket es una aplicación web que simula el funcionamiento de una tienda online de productos ecológicos y sostenibles. El sistema permite consultar un catálogo de productos, administrar un carrito de compras y registrar órdenes una vez que el usuario confirma la compra. El proyecto se desarrolló con una arquitectura cliente-servidor, separando claramente el frontend del backend para facilitar el desarrollo y el mantenimiento.</w:t>
      </w:r>
    </w:p>
    <w:p>
      <w:pPr>
        <w:spacing w:after="120" w:line="276"/>
      </w:pPr>
      <w:r>
        <w:rPr>
          <w:sz w:val="22"/>
          <w:szCs w:val="22"/>
        </w:rPr>
        <w:t xml:space="preserve">El backend se implementó con Spring Boot, aprovechando su organización por capas y sus herramientas para construir APIs REST. El frontend se desarrolló con React, que consume la API mediante solicitudes HTTP e intercambia información en formato JSON. La persistencia se resolvió con Spring Data JPA sobre una base de datos MySQL.</w:t>
      </w:r>
    </w:p>
    <w:p>
      <w:pPr>
        <w:spacing w:after="120" w:line="276"/>
      </w:pPr>
      <w:r>
        <w:rPr>
          <w:sz w:val="22"/>
          <w:szCs w:val="22"/>
        </w:rPr>
        <w:t xml:space="preserve">A lo largo del proyecto se buscó aplicar los conceptos de la materia: separación de responsabilidades, reutilización de código y organización por capas. Este informe documenta la arquitectura, el modelo de datos, el diseño de la API, el desarrollo del frontend, la integración entre ambas partes y las decisiones técnicas adoptadas.</w:t>
      </w:r>
    </w:p>
    <w:p>
      <w:pPr>
        <w:pStyle w:val="Heading1"/>
      </w:pPr>
      <w:r>
        <w:t xml:space="preserve">2. Arquitectura del sistema</w:t>
      </w:r>
    </w:p>
    <w:p>
      <w:pPr>
        <w:spacing w:after="120" w:line="276"/>
      </w:pPr>
      <w:r>
        <w:rPr>
          <w:sz w:val="22"/>
          <w:szCs w:val="22"/>
        </w:rPr>
        <w:t xml:space="preserve">EcoMarket sigue una arquitectura cliente-servidor con el backend organizado en capas. El frontend (React) envía solicitudes HTTP al backend; los controladores reciben las peticiones y las derivan a los servicios, que implementan la lógica de negocio; cuando se necesita acceder a los datos, los servicios utilizan los repositorios provistos por Spring Data JPA. La respuesta vuelve al frontend en formato JSON.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Flujo de una petición (de arriba hacia abajo):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Frontend (React) — interfaz de usuario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Controllers — reciben las peticiones HTTP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Services — lógica de negocio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Repositories — acceso a datos (Spring Data JPA)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Base de datos (MySQL)</w:t>
      </w:r>
    </w:p>
    <w:p>
      <w:pPr>
        <w:spacing w:after="120" w:line="276"/>
      </w:pPr>
      <w:r>
        <w:rPr>
          <w:sz w:val="22"/>
          <w:szCs w:val="22"/>
        </w:rPr>
        <w:t xml:space="preserve">Esta separación permite mantener un código ordenado, reducir el acoplamiento y facilitar futuras modificaciones, ya que cada capa cumple una responsabilidad específica.</w:t>
      </w:r>
    </w:p>
    <w:p>
      <w:pPr>
        <w:pStyle w:val="Heading1"/>
      </w:pPr>
      <w:r>
        <w:t xml:space="preserve">3. Modelo de datos</w:t>
      </w:r>
    </w:p>
    <w:p>
      <w:pPr>
        <w:spacing w:after="120" w:line="276"/>
      </w:pPr>
      <w:r>
        <w:rPr>
          <w:sz w:val="22"/>
          <w:szCs w:val="22"/>
        </w:rPr>
        <w:t xml:space="preserve">El modelo está compuesto por cuatro entidades JPA. Producto representa cada artículo del catálogo. Carrito agrupa los ítems que el usuario selecciona; cada ItemCarrito asocia un Producto con una cantidad. Al confirmar la compra, la Orden guarda una copia de los ítems junto con la fecha/hora, el total y el mensaje del cliente, de modo que el historial quede independiente de cambios posteriores en el carrito.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29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Atributos principales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Producto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nombre, descripcion, precio, stock, categoria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Es referenciado por ItemCarrito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Carrito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items (lista de ItemCarrito)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 a N con ItemCarrito (composición)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ItemCarrito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producto, cantidad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 a 1 con Producto; pertenece a un Carrito o a una Orden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Orden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fechaHora, mensajeCliente, total, items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Copia los ítems del carrito al confirmarse</w:t>
            </w:r>
          </w:p>
        </w:tc>
      </w:tr>
    </w:tbl>
    <w:p>
      <w:pPr>
        <w:spacing w:after="6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Las relaciones se mapean con anotaciones JPA (@OneToMany y @ManyToOne). El total del carrito y de la orden se calcula como la suma de precio × cantidad de cada ítem.</w:t>
      </w:r>
    </w:p>
    <w:p>
      <w:pPr>
        <w:pStyle w:val="Heading1"/>
      </w:pPr>
      <w:r>
        <w:t xml:space="preserve">4. Diseño de la API REST</w:t>
      </w:r>
    </w:p>
    <w:p>
      <w:pPr>
        <w:spacing w:after="120" w:line="276"/>
      </w:pPr>
      <w:r>
        <w:rPr>
          <w:sz w:val="22"/>
          <w:szCs w:val="22"/>
        </w:rPr>
        <w:t xml:space="preserve">La API expone los recursos productos, carritos y ordenes. Todos los endpoints responden en formato JSON y utilizan los códigos de estado HTTP correspondientes a cada operación (201 al crear, 204 al eliminar, 400 ante datos inválidos, 404 cuando el recurso no existe). Las entradas se validan con Bean Validation y los errores se devuelven de forma uniforme gracias a un manejador global de excepciones.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050"/>
        <w:gridCol w:w="3726"/>
        <w:gridCol w:w="1200"/>
      </w:tblGrid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 HTTP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/api/productos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 el catálogo de productos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/api/productos/{id}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el detalle de un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404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/api/productos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 un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201 / 400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/api/productos/{id}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Modificar un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400 / 404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/api/productos/{id}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Eliminar un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204 / 404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/api/carritos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 un carrito vacío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/api/carritos/{id}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el carrito con sus ítems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404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/api/carritos/{id}/items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Agregar un ítem al carrito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400 / 404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/api/carritos/{id}/items/{itemId}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Modificar la cantidad de un ítem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400 / 404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/api/carritos/{id}/items/{itemId}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Eliminar un ítem del carrito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404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/api/ordenes/confirmar/{carritoId}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el carrito como orden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201 / 400 / 404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/api/ordenes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 el historial de órdenes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/api/ordenes/{id}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una orden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404</w:t>
            </w:r>
          </w:p>
        </w:tc>
      </w:tr>
    </w:tbl>
    <w:p>
      <w:pPr>
        <w:spacing w:after="6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Antes de integrar el frontend, todos los endpoints se probaron con Postman. La colección exportada (EcoMarket.postman_collection.json) se incluye en el repositorio.</w:t>
      </w:r>
    </w:p>
    <w:p>
      <w:pPr>
        <w:pStyle w:val="Heading1"/>
      </w:pPr>
      <w:r>
        <w:t xml:space="preserve">5. Desarrollo del backend</w:t>
      </w:r>
    </w:p>
    <w:p>
      <w:pPr>
        <w:spacing w:after="120" w:line="276"/>
      </w:pPr>
      <w:r>
        <w:rPr>
          <w:sz w:val="22"/>
          <w:szCs w:val="22"/>
        </w:rPr>
        <w:t xml:space="preserve">El backend se organiza en paquetes por capa. Los controladores (capa Controller) son el punto de entrada de las solicitudes; reciben la petición y la derivan al servicio correspondiente, sin incluir lógica de negocio. La capa Service concentra las reglas del sistema: administrar productos, gestionar el carrito y registrar las órdenes. La capa Repository, implementada con Spring Data JPA, resuelve el acceso a la base de datos sin escribir SQL para las operaciones habituales.</w:t>
      </w:r>
    </w:p>
    <w:p>
      <w:pPr>
        <w:spacing w:after="120" w:line="276"/>
      </w:pPr>
      <w:r>
        <w:rPr>
          <w:sz w:val="22"/>
          <w:szCs w:val="22"/>
        </w:rPr>
        <w:t xml:space="preserve">En el paquete model están las entidades Producto, Carrito, ItemCarrito y Orden. Para la comunicación con el cliente se utilizan DTOs (AgregarItemRequest, ModificarItemRequest y ConfirmarOrdenRequest), que transportan solo la información necesaria de cada operación y evitan exponer directamente las entidades. Finalmente, un GlobalExceptionHandler centraliza el manejo de excepciones y mantiene respuestas de error consistentes (por ejemplo, 400 ante una validación fallida o un carrito vacío).</w:t>
      </w:r>
    </w:p>
    <w:p>
      <w:pPr>
        <w:pStyle w:val="Heading1"/>
      </w:pPr>
      <w:r>
        <w:t xml:space="preserve">6. Desarrollo del frontend</w:t>
      </w:r>
    </w:p>
    <w:p>
      <w:pPr>
        <w:spacing w:after="120" w:line="276"/>
      </w:pPr>
      <w:r>
        <w:rPr>
          <w:sz w:val="22"/>
          <w:szCs w:val="22"/>
        </w:rPr>
        <w:t xml:space="preserve">El frontend se construyó con React (y Vite como herramienta de desarrollo), utilizando exclusivamente componentes funcionales y los hooks useState y useEffect. useEffect se usa para la carga inicial de datos desde la API (productos, órdenes y carrito guardado) y useState para administrar el estado de la aplicación.</w:t>
      </w:r>
    </w:p>
    <w:p>
      <w:pPr>
        <w:spacing w:after="60" w:line="276"/>
      </w:pPr>
      <w:r>
        <w:rPr>
          <w:sz w:val="22"/>
          <w:szCs w:val="22"/>
        </w:rPr>
        <w:t xml:space="preserve">El flujo de datos respeta el patrón unidireccional de React: el estado principal (productos, carrito, órdenes y la vista actual) vive en el componente App. Ese estado se transmite a los componentes hijos mediante props, y las acciones del usuario se comunican hacia arriba mediante callbacks. Por ejemplo, ProductoCard recibe el producto por props y avisa "agregar al carrito" a través de una función recibida desde App.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Estructura principal de componentes: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App — estado global y orquestación (useState / useEffect)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Header — navegación entre catálogo, carrito y pedidos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Catalogo / ProductoCard — listado y tarjeta de producto, con filtro por categoría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ProductoDetalle — vista de detalle de un producto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ProductoForm — alta y edición de productos (gestión del catálogo)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Carrito — ítems, cantidades y total, con confirmación del pedido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Pedidos — historial de órdenes confirmadas</w:t>
      </w:r>
    </w:p>
    <w:p>
      <w:pPr>
        <w:spacing w:after="120" w:line="276"/>
      </w:pPr>
      <w:r>
        <w:rPr>
          <w:sz w:val="22"/>
          <w:szCs w:val="22"/>
        </w:rPr>
        <w:t xml:space="preserve">El identificador del carrito se guarda en localStorage para que persista entre recargas; al confirmar un pedido se descarta y se crea uno nuevo. La capa api/api.js centraliza todas las llamadas a la API.</w:t>
      </w:r>
    </w:p>
    <w:p>
      <w:pPr>
        <w:pStyle w:val="Heading1"/>
      </w:pPr>
      <w:r>
        <w:t xml:space="preserve">7. Integración y resolución de CORS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Problema:</w:t>
      </w:r>
    </w:p>
    <w:p>
      <w:pPr>
        <w:spacing w:after="120" w:line="276"/>
      </w:pPr>
      <w:r>
        <w:rPr>
          <w:sz w:val="22"/>
          <w:szCs w:val="22"/>
        </w:rPr>
        <w:t xml:space="preserve">El frontend se ejecuta en http://localhost:5173 (servidor de Vite) y el backend en http://localhost:8080. Al ser orígenes distintos, el navegador aplica la política Same-Origin y bloquea las solicitudes del frontend hacia la API (error de CORS), impidiendo que la aplicación obtenga los datos.</w:t>
      </w:r>
    </w:p>
    <w:p>
      <w:pPr>
        <w:spacing w:after="40" w:line="276"/>
      </w:pPr>
      <w:r>
        <w:rPr>
          <w:b/>
          <w:bCs/>
          <w:sz w:val="22"/>
          <w:szCs w:val="22"/>
        </w:rPr>
        <w:t xml:space="preserve">Solución:</w:t>
      </w:r>
    </w:p>
    <w:p>
      <w:pPr>
        <w:spacing w:after="120" w:line="276"/>
      </w:pPr>
      <w:r>
        <w:rPr>
          <w:sz w:val="22"/>
          <w:szCs w:val="22"/>
        </w:rPr>
        <w:t xml:space="preserve">Se habilitó CORS en el backend agregando la anotación @CrossOrigin(origins = "*") en los controladores de la API. De esta manera, las respuestas incluyen las cabeceras necesarias (Access-Control-Allow-Origin) y el navegador permite la comunicación entre el frontend y el backend. Con esa configuración, ambas partes funcionan de manera integrada durante la entrega.</w:t>
      </w:r>
    </w:p>
    <w:p>
      <w:pPr>
        <w:pStyle w:val="Heading1"/>
      </w:pPr>
      <w:r>
        <w:t xml:space="preserve">8. Declaración de uso de inteligencia artificial</w:t>
      </w:r>
    </w:p>
    <w:p>
      <w:pPr>
        <w:spacing w:after="120" w:line="276"/>
      </w:pPr>
      <w:r>
        <w:rPr>
          <w:sz w:val="22"/>
          <w:szCs w:val="22"/>
        </w:rPr>
        <w:t xml:space="preserve">Conforme a lo solicitado en la consigna, se declara el uso de herramientas de inteligencia artificial generativa durante el desarrollo. La asistencia fue revisada, comprendida e integrada por el grupo, y cada integrante puede explicar el código correspondiente.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 del trabajo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de la herramienta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Backend (pulido)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Validaciones (Bean Validation), códigos de estado HTTP, manejador global de excepciones, DTOs y datos de ejemplo. Asistencia revisada y comprendida por el grupo.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Colección Postman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Generación y ordenamiento de la colección de pruebas de los endpoints.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Asistencia en la estructura de componentes, el consumo de la API y el diseño de la interfaz.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Informe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Apoyo en la redacción y organización de algunas secciones de este documento.</w:t>
            </w:r>
          </w:p>
        </w:tc>
      </w:tr>
    </w:tbl>
    <w:p>
      <w:pPr>
        <w:spacing w:after="6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i/>
          <w:iCs/>
          <w:color w:val="888888"/>
          <w:sz w:val="20"/>
          <w:szCs w:val="20"/>
        </w:rPr>
        <w:t xml:space="preserve">Nota: ajustar esta tabla según las herramientas que cada integrante haya utilizado realmente (por ejemplo, ChatGPT, GitHub Copilot o Claude) y las partes en las que se aplicaron.</w:t>
      </w:r>
    </w:p>
    <w:p>
      <w:pPr>
        <w:pStyle w:val="Heading1"/>
      </w:pPr>
      <w:r>
        <w:t xml:space="preserve">9. Conclusiones</w:t>
      </w:r>
    </w:p>
    <w:p>
      <w:pPr>
        <w:spacing w:after="120" w:line="276"/>
      </w:pPr>
      <w:r>
        <w:rPr>
          <w:sz w:val="22"/>
          <w:szCs w:val="22"/>
        </w:rPr>
        <w:t xml:space="preserve">El desarrollo de EcoMarket permitió construir una aplicación web funcional que integra un backend en Spring Boot y un frontend en React, cubriendo el flujo completo de una compra: consultar el catálogo, administrar el carrito y registrar órdenes.</w:t>
      </w:r>
    </w:p>
    <w:p>
      <w:pPr>
        <w:spacing w:after="120" w:line="276"/>
      </w:pPr>
      <w:r>
        <w:rPr>
          <w:sz w:val="22"/>
          <w:szCs w:val="22"/>
        </w:rPr>
        <w:t xml:space="preserve">Mantener una arquitectura por capas y aplicar buenas prácticas (DTOs, validación de entradas, manejo centralizado de excepciones y repositorios para el acceso a datos) dio como resultado un código ordenado, con bajo acoplamiento y fácil de mantener. La resolución de la integración mediante CORS permitió que ambas partes funcionen de manera conjunta.</w:t>
      </w:r>
    </w:p>
    <w:p>
      <w:pPr>
        <w:spacing w:after="120" w:line="276"/>
      </w:pPr>
      <w:r>
        <w:rPr>
          <w:sz w:val="22"/>
          <w:szCs w:val="22"/>
        </w:rPr>
        <w:t xml:space="preserve">Como resultado se obtuvo una aplicación estable que cumple los objetivos planteados. El proyecto deja una base sólida sobre la cual se podrían incorporar nuevas funcionalidades, y representó una oportunidad para poner en práctica criterios de organización y diseño de software aplicables a proyectos de mayor escala.</w:t>
      </w:r>
    </w:p>
    <w:p>
      <w:pPr>
        <w:pStyle w:val="Heading1"/>
      </w:pPr>
      <w:r>
        <w:t xml:space="preserve">10. Reflexiones individuales</w:t>
      </w:r>
    </w:p>
    <w:p>
      <w:pPr>
        <w:spacing w:after="120" w:line="276"/>
      </w:pPr>
      <w:r>
        <w:rPr>
          <w:sz w:val="22"/>
          <w:szCs w:val="22"/>
        </w:rPr>
        <w:t xml:space="preserve">Cada integrante comparte una breve reflexión personal sobre el trabajo realizado.</w:t>
      </w:r>
    </w:p>
    <w:p>
      <w:pPr>
        <w:pStyle w:val="Heading2"/>
      </w:pPr>
      <w:r>
        <w:t xml:space="preserve">Reflexión — Cuberli, Roman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[Completar — aproximadamente una página] Respondé con tus palabras: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¿Qué aprendiste durante el desarrollo del proyecto?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¿Qué harías diferente si lo volvieras a encarar?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¿Cuál fue tu principal aporte al grupo y en qué parte del código trabajaste?</w:t>
      </w:r>
    </w:p>
    <w:p>
      <w:pPr>
        <w:spacing w:after="24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Reflexión — Rinaldi, Nicolás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[Completar — aproximadamente una página] Respondé con tus palabras: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¿Qué aprendiste durante el desarrollo del proyecto?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¿Qué harías diferente si lo volvieras a encarar?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¿Cuál fue tu principal aporte al grupo y en qué parte del código trabajaste?</w:t>
      </w:r>
    </w:p>
    <w:p>
      <w:pPr>
        <w:spacing w:after="24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Reflexión — Aguilar, Esteban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[Completar — aproximadamente una página] Respondé con tus palabras: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¿Qué aprendiste durante el desarrollo del proyecto?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¿Qué harías diferente si lo volvieras a encarar?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¿Cuál fue tu principal aporte al grupo y en qué parte del código trabajaste?</w:t>
      </w:r>
    </w:p>
    <w:p>
      <w:pPr>
        <w:spacing w:after="24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Reflexión — Bruno, Enzo Eduardo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[Completar — aproximadamente una página] Respondé con tus palabras: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¿Qué aprendiste durante el desarrollo del proyecto?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¿Qué harías diferente si lo volvieras a encarar?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¿Cuál fue tu principal aporte al grupo y en qué parte del código trabajaste?</w:t>
      </w:r>
    </w:p>
    <w:p>
      <w:pPr>
        <w:spacing w:after="240"/>
      </w:pPr>
      <w:r>
        <w:rPr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EcoMarket — Informe Técnico Final   ·   </w:t>
    </w: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2026-06-28T23:31:41.782Z</dcterms:created>
  <dcterms:modified xsi:type="dcterms:W3CDTF">2026-06-28T23:31:41.784Z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