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Mountain Peak Holdings Portfolio Review Q1 2026</w:t>
      </w:r>
    </w:p>
    <w:p>
      <w:r>
        <w:t>Valuation as of March 31, 2026</w:t>
      </w:r>
    </w:p>
    <w:p>
      <w:r>
        <w:t>Fund Manager: Blue Owl</w:t>
      </w:r>
    </w:p>
    <w:p>
      <w:r>
        <w:t>Fund Name: Blue Owl Infrastructure Fund I</w:t>
      </w:r>
    </w:p>
    <w:p>
      <w:pPr>
        <w:pStyle w:val="Heading1"/>
      </w:pPr>
      <w:r>
        <w:t>Summit Logistics</w:t>
      </w:r>
    </w:p>
    <w:p>
      <w:r>
        <w:t>Portfolio Company: Summit Logistics</w:t>
      </w:r>
    </w:p>
    <w:p>
      <w:r>
        <w:t>Investment Type: Common Equity</w:t>
      </w:r>
    </w:p>
    <w:p>
      <w:r>
        <w:t>Primary Methodology: Market multiples</w:t>
      </w:r>
    </w:p>
    <w:p>
      <w:r>
        <w:t>Primary Method Weight %: 100%</w:t>
      </w:r>
    </w:p>
    <w:p>
      <w:r>
        <w:t>Selected Multiple: 9.0x</w:t>
      </w:r>
    </w:p>
    <w:p>
      <w:r>
        <w:t>Multiple Metric: EV/LTM EBITDA</w:t>
      </w:r>
    </w:p>
    <w:p>
      <w:r>
        <w:t>Implied EV: $180.0M</w:t>
      </w:r>
    </w:p>
    <w:p>
      <w:r>
        <w:t>Net Debt: $60.0M</w:t>
      </w:r>
    </w:p>
    <w:p>
      <w:r>
        <w:t>Implied Equity Value 100%: $120.0M</w:t>
      </w:r>
    </w:p>
    <w:p>
      <w:r>
        <w:t>Fund Share Equity Value: $72.0M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EBITDA Base</w:t>
            </w:r>
          </w:p>
        </w:tc>
        <w:tc>
          <w:tcPr>
            <w:tcW w:type="dxa" w:w="4320"/>
          </w:tcPr>
          <w:p>
            <w:r>
              <w:t>$20.0M</w:t>
            </w:r>
          </w:p>
        </w:tc>
      </w:tr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$95.0M</w:t>
            </w:r>
          </w:p>
        </w:tc>
      </w:tr>
    </w:tbl>
    <w:p>
      <w:pPr>
        <w:pStyle w:val="Heading1"/>
      </w:pPr>
      <w:r>
        <w:t>Pinecrest Storage</w:t>
      </w:r>
    </w:p>
    <w:p>
      <w:r>
        <w:t>Portfolio Company: Pinecrest Storage</w:t>
      </w:r>
    </w:p>
    <w:p>
      <w:r>
        <w:t>Investment Type: Common Equity</w:t>
      </w:r>
    </w:p>
    <w:p>
      <w:r>
        <w:t>Primary Methodology: Cap Rate</w:t>
      </w:r>
    </w:p>
    <w:p>
      <w:r>
        <w:t>Primary Method Weight %: 100%</w:t>
      </w:r>
    </w:p>
    <w:p>
      <w:r>
        <w:t>Cap Rate Selected: 6.25%</w:t>
      </w:r>
    </w:p>
    <w:p>
      <w:r>
        <w:t>NOI Base: $8.0M</w:t>
      </w:r>
    </w:p>
    <w:p>
      <w:r>
        <w:t>Implied Asset Value: $128.0M</w:t>
      </w:r>
    </w:p>
    <w:p>
      <w:r>
        <w:t>Net Debt: $48.0M</w:t>
      </w:r>
    </w:p>
    <w:p>
      <w:r>
        <w:t>Fund Share Equity Value: $80.0M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