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5C8B"/>
          <w:spacing w:val="40"/>
          <w:sz w:val="17"/>
          <w:szCs w:val="17"/>
        </w:rPr>
        <w:t xml:space="preserve">REVIEW  ·  CANCER CELL BIOLOGY</w:t>
      </w:r>
    </w:p>
    <w:p>
      <w:pPr>
        <w:pBdr>
          <w:bottom w:val="single" w:color="C9D4DE" w:sz="6" w:space="4"/>
        </w:pBdr>
        <w:spacing w:after="200" w:before="60"/>
      </w:pPr>
      <w:r>
        <w:rPr>
          <w:sz w:val="2"/>
          <w:szCs w:val="2"/>
        </w:rPr>
        <w:t xml:space="preserve"/>
      </w:r>
    </w:p>
    <w:p>
      <w:pPr>
        <w:spacing w:after="110" w:line="340"/>
        <w:jc w:val="left"/>
      </w:pPr>
      <w:r>
        <w:rPr>
          <w:rFonts w:ascii="Calibri" w:cs="Calibri" w:eastAsia="Calibri" w:hAnsi="Calibri"/>
          <w:b/>
          <w:bCs/>
          <w:color w:val="1A1A1A"/>
          <w:sz w:val="40"/>
          <w:szCs w:val="40"/>
        </w:rPr>
        <w:t xml:space="preserve">Ferroptosis as an Achilles' Heel of Drug-Tolerant Persister Cancer Cells</w:t>
      </w:r>
    </w:p>
    <w:p>
      <w:pPr>
        <w:spacing w:after="220" w:line="300"/>
        <w:jc w:val="left"/>
      </w:pPr>
      <w:r>
        <w:rPr>
          <w:rFonts w:ascii="Calibri" w:cs="Calibri" w:eastAsia="Calibri" w:hAnsi="Calibri"/>
          <w:i/>
          <w:iCs/>
          <w:color w:val="555555"/>
          <w:sz w:val="23"/>
          <w:szCs w:val="23"/>
        </w:rPr>
        <w:t xml:space="preserve">Mechanism, redundancy, and therapeutic prospects of the GPX4–FSP1–DHODH–GCH1 surveillance network in non-genetic therapy resistance</w:t>
      </w:r>
    </w:p>
    <w:p>
      <w:pPr>
        <w:spacing w:after="60"/>
      </w:pPr>
      <w:r>
        <w:rPr>
          <w:rFonts w:ascii="Calibri" w:cs="Calibri" w:eastAsia="Calibri" w:hAnsi="Calibri"/>
          <w:color w:val="555555"/>
          <w:sz w:val="18"/>
          <w:szCs w:val="18"/>
        </w:rPr>
        <w:t xml:space="preserve">Prepared as an automated weekly literature review  ·  31 August 2026</w:t>
      </w:r>
    </w:p>
    <w:p>
      <w:pPr>
        <w:spacing w:after="260"/>
      </w:pPr>
      <w:r>
        <w:rPr>
          <w:rFonts w:ascii="Calibri" w:cs="Calibri" w:eastAsia="Calibri" w:hAnsi="Calibri"/>
          <w:b/>
          <w:bCs/>
          <w:color w:val="1A1A1A"/>
          <w:sz w:val="18"/>
          <w:szCs w:val="18"/>
        </w:rPr>
        <w:t xml:space="preserve">Keywords:  </w:t>
      </w:r>
      <w:r>
        <w:rPr>
          <w:rFonts w:ascii="Calibri" w:cs="Calibri" w:eastAsia="Calibri" w:hAnsi="Calibri"/>
          <w:color w:val="555555"/>
          <w:sz w:val="18"/>
          <w:szCs w:val="18"/>
        </w:rPr>
        <w:t xml:space="preserve">ferroptosis; drug-tolerant persister cells; GPX4; FSP1/AIFM2; lipid peroxidation; epithelial–mesenchymal transition; minimal residual disease; non-genetic drug resistance</w:t>
      </w:r>
    </w:p>
    <w:p>
      <w:pPr>
        <w:pStyle w:val="Heading1"/>
        <w:spacing w:after="160" w:before="340"/>
      </w:pPr>
      <w:r>
        <w:rPr>
          <w:rFonts w:ascii="Calibri" w:cs="Calibri" w:eastAsia="Calibri" w:hAnsi="Calibri"/>
          <w:b/>
          <w:bCs/>
          <w:color w:val="1F5C8B"/>
          <w:sz w:val="30"/>
          <w:szCs w:val="30"/>
        </w:rPr>
        <w:t xml:space="preserve">Abstract</w:t>
      </w:r>
    </w:p>
    <w:p>
      <w:pPr>
        <w:spacing w:after="140" w:line="300"/>
        <w:jc w:val="both"/>
      </w:pPr>
      <w:r>
        <w:rPr>
          <w:rFonts w:ascii="Calibri" w:cs="Calibri" w:eastAsia="Calibri" w:hAnsi="Calibri"/>
          <w:color w:val="1A1A1A"/>
          <w:sz w:val="21"/>
          <w:szCs w:val="21"/>
        </w:rPr>
        <w:t xml:space="preserve">Most targeted and cytotoxic cancer therapies produce deep initial responses that nevertheless fail to eradicate disease. A small, reversible and largely non-mutational subpopulation known as drug-tolerant persister (DTP) cells survives the treatment bottleneck and seeds relapse. Over the past decade a striking and clinically actionable regularity has emerged: the same cell-state adaptations that make persisters refractory to apoptosis simultaneously render them dependent on a lipid-peroxide detoxification pathway, and therefore acutely vulnerable to ferroptosis — an iron-dependent, non-apoptotic form of regulated cell death driven by peroxidation of polyunsaturated membrane phospholipids.</w:t>
      </w:r>
    </w:p>
    <w:p>
      <w:pPr>
        <w:spacing w:after="140" w:line="300"/>
        <w:jc w:val="both"/>
      </w:pPr>
      <w:r>
        <w:rPr>
          <w:rFonts w:ascii="Calibri" w:cs="Calibri" w:eastAsia="Calibri" w:hAnsi="Calibri"/>
          <w:color w:val="1A1A1A"/>
          <w:sz w:val="21"/>
          <w:szCs w:val="21"/>
        </w:rPr>
        <w:t xml:space="preserve">This review synthesises the primary literature underpinning that claim. We first develop the biochemistry of ferroptosis: the ACSL4/LPCAT3-dependent supply of oxidisable polyunsaturated phospholipids, the iron chemistry that propagates peroxidation, and the four parallel surveillance systems — glutathione peroxidase 4 (GPX4), ferroptosis suppressor protein 1 (FSP1/AIFM2), dihydroorotate dehydrogenase (DHODH) and GTP cyclohydrolase 1 (GCH1) — that hold the reaction in check. We then examine the evidence that high-mesenchymal and persister states across melanoma, lung, breast, ovarian, colorectal, head-and-neck and gastrointestinal stromal tumours converge on GPX4 dependency, and that GPX4 inactivation selectively kills these cells and delays or prevents tumour regrowth in vivo.</w:t>
      </w:r>
    </w:p>
    <w:p>
      <w:pPr>
        <w:spacing w:after="140" w:line="300"/>
        <w:jc w:val="both"/>
      </w:pPr>
      <w:r>
        <w:rPr>
          <w:rFonts w:ascii="Calibri" w:cs="Calibri" w:eastAsia="Calibri" w:hAnsi="Calibri"/>
          <w:color w:val="1A1A1A"/>
          <w:sz w:val="21"/>
          <w:szCs w:val="21"/>
        </w:rPr>
        <w:t xml:space="preserve">Two complications dominate current work. First, the defence network is redundant and adaptive: FSP1 is upregulated when GPX4 falls, DHODH guards the mitochondrial inner membrane independently of cytosolic GPX4, and GCH1-derived tetrahydrobiopterin remodels phospholipids to blunt peroxidation — so single-agent ferroptosis induction invites rapid escape. Second, the microenvironment sets the threshold: lymph is a ferroptosis-protective compartment, and CD8+ T cells sensitise tumours to ferroptosis by suppressing system xc−, coupling this death modality to immunotherapy. We close by reviewing the translational state of the field, in which no selective GPX4 or FSP1 inhibitor has yet entered clinical testing and the clinical evidence base rests on repurposed agents with ferroptosis-adjacent mechanisms, and by identifying the biomarker, pharmacology and therapeutic-window problems that must be solved before ferroptosis induction becomes a deliverable anti-relapse strategy.</w:t>
      </w:r>
    </w:p>
    <w:p>
      <w:r>
        <w:br w:type="page"/>
      </w:r>
    </w:p>
    <w:p>
      <w:pPr>
        <w:pStyle w:val="Heading1"/>
        <w:spacing w:after="160" w:before="340"/>
      </w:pPr>
      <w:r>
        <w:rPr>
          <w:rFonts w:ascii="Calibri" w:cs="Calibri" w:eastAsia="Calibri" w:hAnsi="Calibri"/>
          <w:b/>
          <w:bCs/>
          <w:color w:val="1F5C8B"/>
          <w:sz w:val="30"/>
          <w:szCs w:val="30"/>
        </w:rPr>
        <w:t xml:space="preserve">1.  Introduction</w:t>
      </w:r>
    </w:p>
    <w:p>
      <w:pPr>
        <w:pStyle w:val="Heading2"/>
        <w:spacing w:after="120" w:before="250"/>
      </w:pPr>
      <w:r>
        <w:rPr>
          <w:rFonts w:ascii="Calibri" w:cs="Calibri" w:eastAsia="Calibri" w:hAnsi="Calibri"/>
          <w:b/>
          <w:bCs/>
          <w:color w:val="1A1A1A"/>
          <w:sz w:val="24"/>
          <w:szCs w:val="24"/>
        </w:rPr>
        <w:t xml:space="preserve">1.1  The persister problem</w:t>
      </w:r>
    </w:p>
    <w:p>
      <w:pPr>
        <w:spacing w:after="140" w:line="300"/>
        <w:jc w:val="both"/>
      </w:pPr>
      <w:r>
        <w:rPr>
          <w:rFonts w:ascii="Calibri" w:cs="Calibri" w:eastAsia="Calibri" w:hAnsi="Calibri"/>
          <w:color w:val="1A1A1A"/>
          <w:sz w:val="21"/>
          <w:szCs w:val="21"/>
        </w:rPr>
        <w:t xml:space="preserve">Clinical oncology has grown accustomed to a particular shape of failure. A patient with an EGFR-mutant lung adenocarcinoma, a BRAF-mutant melanoma or a platinum-sensitive high-grade serous ovarian cancer responds impressively; imaging shows near-complete regression; and then, after months, disease returns. For many years the default explanation was Darwinian: rare pre-existing clones carrying resistance mutations were selected by the drug. That account is correct in many cases, but it is incomplete. Deep sequencing of relapsed tumours frequently fails to recover a resistance genotype, and — more tellingly — resistance is often reversible, with re-challenge after a drug holiday producing renewed response.</w:t>
      </w:r>
    </w:p>
    <w:p>
      <w:pPr>
        <w:spacing w:after="140" w:line="300"/>
        <w:jc w:val="both"/>
      </w:pPr>
      <w:r>
        <w:rPr>
          <w:rFonts w:ascii="Calibri" w:cs="Calibri" w:eastAsia="Calibri" w:hAnsi="Calibri"/>
          <w:color w:val="1A1A1A"/>
          <w:sz w:val="21"/>
          <w:szCs w:val="21"/>
        </w:rPr>
        <w:t xml:space="preserve">The reconciling concept is the drug-tolerant persister cell: a minority population that survives therapy not by acquiring a mutation but by entering a transient, largely epigenetically encoded, slow-cycling state in which the drug's target is no longer load-bearing. Persisters are the cellular substrate of minimal residual disease. They are typically quiescent or near-quiescent, they express stem-like and mesenchymal programmes, and they are capable of resuming proliferation and of seeding metastasis once drug pressure is removed. Because they are defined by state rather than genotype, they cannot be eliminated by escalating the original therapy or by a next-generation inhibitor of the same target.</w:t>
      </w:r>
    </w:p>
    <w:p>
      <w:pPr>
        <w:pStyle w:val="Heading2"/>
        <w:spacing w:after="120" w:before="250"/>
      </w:pPr>
      <w:r>
        <w:rPr>
          <w:rFonts w:ascii="Calibri" w:cs="Calibri" w:eastAsia="Calibri" w:hAnsi="Calibri"/>
          <w:b/>
          <w:bCs/>
          <w:color w:val="1A1A1A"/>
          <w:sz w:val="24"/>
          <w:szCs w:val="24"/>
        </w:rPr>
        <w:t xml:space="preserve">1.2  Why a second death modality matters</w:t>
      </w:r>
    </w:p>
    <w:p>
      <w:pPr>
        <w:spacing w:after="140" w:line="300"/>
        <w:jc w:val="both"/>
      </w:pPr>
      <w:r>
        <w:rPr>
          <w:rFonts w:ascii="Calibri" w:cs="Calibri" w:eastAsia="Calibri" w:hAnsi="Calibri"/>
          <w:color w:val="1A1A1A"/>
          <w:sz w:val="21"/>
          <w:szCs w:val="21"/>
        </w:rPr>
        <w:t xml:space="preserve">If persisters survive by disabling the apoptotic response to a given targeted agent, the therapeutic logic follows directly: kill them by a route that does not pass through apoptosis. Ferroptosis is the leading candidate. Described in 2012 by Dixon and colleagues, ferroptosis is an iron-dependent, non-apoptotic cell death that is morphologically, biochemically and genetically distinct from apoptosis, necrosis and autophagy, and that is executed by the accumulation of oxidised phospholipids in cellular membranes [1]. It is not merely an alternative death pathway; it is one whose sensitivity is set by exactly the metabolic and lipidomic features — polyunsaturated membrane lipids, elevated labile iron, depleted glutathione, mesenchymal identity — that persisters adopt in order to survive.</w:t>
      </w:r>
    </w:p>
    <w:p>
      <w:pPr>
        <w:spacing w:after="140" w:line="300"/>
        <w:jc w:val="both"/>
      </w:pPr>
      <w:r>
        <w:rPr>
          <w:rFonts w:ascii="Calibri" w:cs="Calibri" w:eastAsia="Calibri" w:hAnsi="Calibri"/>
          <w:color w:val="1A1A1A"/>
          <w:sz w:val="21"/>
          <w:szCs w:val="21"/>
        </w:rPr>
        <w:t xml:space="preserve">That convergence, first articulated in a pair of Nature papers from the Broad Institute and UCSF in 2017 [4,5], is the central subject of this review. It is an unusually clean example of a collateral vulnerability: not a target that resistant cells happen to express, but a liability that is causally coupled to the resistance mechanism itself. The question that now dominates the field is whether that liability can be exploited pharmacologically before the tumour, which has four partly redundant ways to defend its membranes, adapts around the attack.</w:t>
      </w:r>
    </w:p>
    <w:p>
      <w:r>
        <w:br w:type="page"/>
      </w:r>
    </w:p>
    <w:p>
      <w:pPr>
        <w:pStyle w:val="Heading1"/>
        <w:spacing w:after="160" w:before="340"/>
      </w:pPr>
      <w:r>
        <w:rPr>
          <w:rFonts w:ascii="Calibri" w:cs="Calibri" w:eastAsia="Calibri" w:hAnsi="Calibri"/>
          <w:b/>
          <w:bCs/>
          <w:color w:val="1F5C8B"/>
          <w:sz w:val="30"/>
          <w:szCs w:val="30"/>
        </w:rPr>
        <w:t xml:space="preserve">2.  Biological background: the chemistry and cell biology of ferroptosis</w:t>
      </w:r>
    </w:p>
    <w:p>
      <w:pPr>
        <w:pStyle w:val="Heading2"/>
        <w:spacing w:after="120" w:before="250"/>
      </w:pPr>
      <w:r>
        <w:rPr>
          <w:rFonts w:ascii="Calibri" w:cs="Calibri" w:eastAsia="Calibri" w:hAnsi="Calibri"/>
          <w:b/>
          <w:bCs/>
          <w:color w:val="1A1A1A"/>
          <w:sz w:val="24"/>
          <w:szCs w:val="24"/>
        </w:rPr>
        <w:t xml:space="preserve">2.1  Discovery and definition</w:t>
      </w:r>
    </w:p>
    <w:p>
      <w:pPr>
        <w:spacing w:after="140" w:line="300"/>
        <w:jc w:val="both"/>
      </w:pPr>
      <w:r>
        <w:rPr>
          <w:rFonts w:ascii="Calibri" w:cs="Calibri" w:eastAsia="Calibri" w:hAnsi="Calibri"/>
          <w:color w:val="1A1A1A"/>
          <w:sz w:val="21"/>
          <w:szCs w:val="21"/>
        </w:rPr>
        <w:t xml:space="preserve">Ferroptosis was identified through chemical biology rather than genetics. Screening for small molecules selectively lethal to engineered RAS-mutant cells produced erastin, a compound whose lethality was blocked by iron chelation but not by caspase inhibitors or by inhibitors of necroptosis and autophagy. Dixon et al. showed that erastin acts by inhibiting system xc−, the cystine/glutamate antiporter, thereby starving the cell of the cysteine required for glutathione synthesis and creating a void in its antioxidant defences that culminates in iron-dependent oxidative death. The same work identified ferrostatin-1, a lipophilic radical-trapping antioxidant, as a specific inhibitor of the process — the pharmacological reagent that has since defined ferroptosis operationally in hundreds of studies [1].</w:t>
      </w:r>
    </w:p>
    <w:p>
      <w:pPr>
        <w:spacing w:after="140" w:line="300"/>
        <w:jc w:val="both"/>
      </w:pPr>
      <w:r>
        <w:rPr>
          <w:rFonts w:ascii="Calibri" w:cs="Calibri" w:eastAsia="Calibri" w:hAnsi="Calibri"/>
          <w:color w:val="1A1A1A"/>
          <w:sz w:val="21"/>
          <w:szCs w:val="21"/>
        </w:rPr>
        <w:t xml:space="preserve">Two years later the same group identified the enzymatic node the pathway had been pointing at. Yang and colleagues showed that twelve mechanistically distinct ferroptosis-inducing compounds converge on glutathione peroxidase 4 (GPX4): one class depletes glutathione and thereby inactivates GPX4 indirectly (erastin, sulfasalazine), while a second class, exemplified by (1S,3R)-RSL3, inhibits GPX4 directly. GPX4 overexpression and knockdown modulated the lethality of all twelve, and of none of eleven control compounds acting through other mechanisms. Profiling across 177 cancer cell lines further revealed that diffuse large B-cell lymphomas and renal cell carcinomas are constitutively susceptible to GPX4-regulated ferroptosis [2].</w:t>
      </w:r>
    </w:p>
    <w:p>
      <w:pPr>
        <w:pStyle w:val="Heading2"/>
        <w:spacing w:after="120" w:before="250"/>
      </w:pPr>
      <w:r>
        <w:rPr>
          <w:rFonts w:ascii="Calibri" w:cs="Calibri" w:eastAsia="Calibri" w:hAnsi="Calibri"/>
          <w:b/>
          <w:bCs/>
          <w:color w:val="1A1A1A"/>
          <w:sz w:val="24"/>
          <w:szCs w:val="24"/>
        </w:rPr>
        <w:t xml:space="preserve">2.2  The execution arm: polyunsaturated phospholipids and iron</w:t>
      </w:r>
    </w:p>
    <w:p>
      <w:pPr>
        <w:spacing w:after="140" w:line="300"/>
        <w:jc w:val="both"/>
      </w:pPr>
      <w:r>
        <w:rPr>
          <w:rFonts w:ascii="Calibri" w:cs="Calibri" w:eastAsia="Calibri" w:hAnsi="Calibri"/>
          <w:color w:val="1A1A1A"/>
          <w:sz w:val="21"/>
          <w:szCs w:val="21"/>
        </w:rPr>
        <w:t xml:space="preserve">Ferroptosis is fundamentally a lipid-chemistry problem. The bis-allylic carbons of polyunsaturated fatty acids (PUFAs) are the weakest C–H bonds in the membrane, and once a hydrogen is abstracted the resulting carbon radical reacts with molecular oxygen to form a peroxyl radical, which abstracts another bis-allylic hydrogen from a neighbouring lipid. This is a chain reaction: one initiation event can oxidise many lipids, and it terminates only when a radical-trapping antioxidant intervenes or when the membrane fails.</w:t>
      </w:r>
    </w:p>
    <w:p>
      <w:pPr>
        <w:spacing w:after="140" w:line="300"/>
        <w:jc w:val="both"/>
      </w:pPr>
      <w:r>
        <w:rPr>
          <w:rFonts w:ascii="Calibri" w:cs="Calibri" w:eastAsia="Calibri" w:hAnsi="Calibri"/>
          <w:color w:val="1A1A1A"/>
          <w:sz w:val="21"/>
          <w:szCs w:val="21"/>
        </w:rPr>
        <w:t xml:space="preserve">What matters, therefore, is not free PUFA but PUFA esterified into membrane phospholipids. Doll et al. established acyl-CoA synthetase long-chain family member 4 (ACSL4) as the essential supply enzyme, using two independent approaches — a genome-wide CRISPR screen and microarray analysis of ferroptosis-resistant lines. ACSL4 activates long-chain ω6 fatty acids such as arachidonic and adrenic acid for esterification, and Gpx4–Acsl4 double-knockout cells are markedly resistant to ferroptosis despite the complete absence of the principal defence enzyme. ACSL4 expression was preferentially high in basal-like breast cancer lines and predicted their ferroptosis sensitivity [3]. LPCAT3 completes the re-esterification step that loads these acyl chains onto phosphatidylethanolamine.</w:t>
      </w:r>
    </w:p>
    <w:p>
      <w:pPr>
        <w:spacing w:after="140" w:line="300"/>
        <w:jc w:val="both"/>
      </w:pPr>
      <w:r>
        <w:rPr>
          <w:rFonts w:ascii="Calibri" w:cs="Calibri" w:eastAsia="Calibri" w:hAnsi="Calibri"/>
          <w:color w:val="1A1A1A"/>
          <w:sz w:val="21"/>
          <w:szCs w:val="21"/>
        </w:rPr>
        <w:t xml:space="preserve">Iron supplies the initiation chemistry. Labile ferrous iron drives Fenton-type generation of hydroxyl and lipid alkoxyl radicals, and iron-containing lipoxygenases can enzymatically oxygenate PUFA-phospholipids directly. The dependence is strict enough that iron chelation abolishes the death, which is the origin of the name.</w:t>
      </w:r>
    </w:p>
    <w:p>
      <w:pPr>
        <w:pStyle w:val="Heading2"/>
        <w:spacing w:after="120" w:before="250"/>
      </w:pPr>
      <w:r>
        <w:rPr>
          <w:rFonts w:ascii="Calibri" w:cs="Calibri" w:eastAsia="Calibri" w:hAnsi="Calibri"/>
          <w:b/>
          <w:bCs/>
          <w:color w:val="1A1A1A"/>
          <w:sz w:val="24"/>
          <w:szCs w:val="24"/>
        </w:rPr>
        <w:t xml:space="preserve">2.3  The surveillance arm: GPX4 and the glutathione axis</w:t>
      </w:r>
    </w:p>
    <w:p>
      <w:pPr>
        <w:spacing w:after="140" w:line="300"/>
        <w:jc w:val="both"/>
      </w:pPr>
      <w:r>
        <w:rPr>
          <w:rFonts w:ascii="Calibri" w:cs="Calibri" w:eastAsia="Calibri" w:hAnsi="Calibri"/>
          <w:color w:val="1A1A1A"/>
          <w:sz w:val="21"/>
          <w:szCs w:val="21"/>
        </w:rPr>
        <w:t xml:space="preserve">GPX4 is a selenocysteine-containing enzyme and the only mammalian peroxidase able to reduce hydroperoxides of lipids that are already esterified within a membrane. It converts phospholipid hydroperoxides (PL-OOH) to the corresponding non-toxic alcohols (PL-OH), consuming two molecules of glutathione per turnover. Its substrate is thus the propagating species itself, which is why the enzyme sits at the pathway's chokepoint and why its inhibition is sufficient, in a permissive lipid context, to trigger death [2].</w:t>
      </w:r>
    </w:p>
    <w:p>
      <w:pPr>
        <w:spacing w:after="140" w:line="300"/>
        <w:jc w:val="both"/>
      </w:pPr>
      <w:r>
        <w:rPr>
          <w:rFonts w:ascii="Calibri" w:cs="Calibri" w:eastAsia="Calibri" w:hAnsi="Calibri"/>
          <w:color w:val="1A1A1A"/>
          <w:sz w:val="21"/>
          <w:szCs w:val="21"/>
        </w:rPr>
        <w:t xml:space="preserve">Because GPX4 is glutathione-dependent, anything that limits cysteine supply limits GPX4 activity. This is the mechanistic link between system xc− inhibitors (erastin, sulfasalazine) and GPX4 inhibitors (RSL3, ML210, FIN56): they attack the same node from opposite sides. It is also the link that, as discussed in Section 5, connects ferroptosis to anti-tumour immunity.</w:t>
      </w:r>
    </w:p>
    <w:p>
      <w:pPr>
        <w:pStyle w:val="Heading2"/>
        <w:spacing w:after="120" w:before="250"/>
      </w:pPr>
      <w:r>
        <w:rPr>
          <w:rFonts w:ascii="Calibri" w:cs="Calibri" w:eastAsia="Calibri" w:hAnsi="Calibri"/>
          <w:b/>
          <w:bCs/>
          <w:color w:val="1A1A1A"/>
          <w:sz w:val="24"/>
          <w:szCs w:val="24"/>
        </w:rPr>
        <w:t xml:space="preserve">2.4  Three parallel defences that GPX4 does not explain</w:t>
      </w:r>
    </w:p>
    <w:p>
      <w:pPr>
        <w:spacing w:after="140" w:line="300"/>
        <w:jc w:val="both"/>
      </w:pPr>
      <w:r>
        <w:rPr>
          <w:rFonts w:ascii="Calibri" w:cs="Calibri" w:eastAsia="Calibri" w:hAnsi="Calibri"/>
          <w:color w:val="1A1A1A"/>
          <w:sz w:val="21"/>
          <w:szCs w:val="21"/>
        </w:rPr>
        <w:t xml:space="preserve">Sensitivity to GPX4 inhibitors varies by orders of magnitude across cancer cell lines, and this variation is not explained by GPX4 expression alone. The resolution came in 2019, when two groups independently identified the same protein by different routes. Doll et al. used expression cloning to find genes that complement GPX4 loss; Bersuker et al. used a synthetic-lethal CRISPR–Cas9 screen. Both converged on AIFM2, renamed ferroptosis suppressor protein 1 (FSP1) [6,7].</w:t>
      </w:r>
    </w:p>
    <w:p>
      <w:pPr>
        <w:spacing w:after="140" w:line="300"/>
        <w:jc w:val="both"/>
      </w:pPr>
      <w:r>
        <w:rPr>
          <w:rFonts w:ascii="Calibri" w:cs="Calibri" w:eastAsia="Calibri" w:hAnsi="Calibri"/>
          <w:color w:val="1A1A1A"/>
          <w:sz w:val="21"/>
          <w:szCs w:val="21"/>
        </w:rPr>
        <w:t xml:space="preserve">FSP1 is a myristoylated, plasma-membrane-recruited NAD(P)H-dependent oxidoreductase that reduces extramitochondrial coenzyme Q</w:t>
      </w:r>
      <w:r>
        <w:rPr>
          <w:rFonts w:ascii="Calibri" w:cs="Calibri" w:eastAsia="Calibri" w:hAnsi="Calibri"/>
          <w:color w:val="1A1A1A"/>
          <w:sz w:val="21"/>
          <w:szCs w:val="21"/>
          <w:vertAlign w:val="subscript"/>
        </w:rPr>
        <w:t xml:space="preserve">10</w:t>
      </w:r>
      <w:r>
        <w:rPr>
          <w:rFonts w:ascii="Calibri" w:cs="Calibri" w:eastAsia="Calibri" w:hAnsi="Calibri"/>
          <w:color w:val="1A1A1A"/>
          <w:sz w:val="21"/>
          <w:szCs w:val="21"/>
        </w:rPr>
        <w:t xml:space="preserve"> to ubiquinol, a lipophilic radical-trapping antioxidant that terminates the peroxidation chain. It requires neither glutathione nor selenium, and it operates as a genuinely stand-alone parallel system: FSP1 expression correlates positively with ferroptosis resistance across hundreds of cancer lines, mediates resistance in lung cancer xenografts, and its pharmacological inhibition synergises strongly with GPX4 inhibitors across multiple tumour types [6,7].</w:t>
      </w:r>
    </w:p>
    <w:p>
      <w:pPr>
        <w:spacing w:after="140" w:line="300"/>
        <w:jc w:val="both"/>
      </w:pPr>
      <w:r>
        <w:rPr>
          <w:rFonts w:ascii="Calibri" w:cs="Calibri" w:eastAsia="Calibri" w:hAnsi="Calibri"/>
          <w:color w:val="1A1A1A"/>
          <w:sz w:val="21"/>
          <w:szCs w:val="21"/>
        </w:rPr>
        <w:t xml:space="preserve">Two further defences complete the network. Mao et al. showed that dihydroorotate dehydrogenase (DHODH), an inner-mitochondrial-membrane enzyme of pyrimidine synthesis, moonlights as a mitochondrial ferroptosis defence by reducing ubiquinone to ubiquinol in that compartment. DHODH operates in parallel to mitochondrial GPX4 but independently of cytosolic GPX4 and of FSP1; its inactivation causes extensive mitochondrial lipid peroxidation and ferroptosis specifically in GPX4-low cancer cells, and the DHODH inhibitor brequinar suppressed GPX4-low tumour growth in vivo [13]. Separately, Kraft et al. found in a genome-wide activation screen that GTP cyclohydrolase 1 (GCH1) and its products tetrahydrobiopterin and dihydrobiopterin (BH4/BH2) suppress ferroptosis by acting both as endogenous radical-trapping antioxidants and by remodelling the lipidome — selectively preventing depletion of phospholipids bearing two polyunsaturated acyl tails — with GCH1 expression stratifying ferroptosis susceptibility across cancer lines independently of the GPX4/glutathione system [8].</w:t>
      </w:r>
    </w:p>
    <w:p>
      <w:pPr>
        <w:spacing w:after="140" w:line="300"/>
        <w:jc w:val="both"/>
      </w:pPr>
      <w:r>
        <w:rPr>
          <w:rFonts w:ascii="Calibri" w:cs="Calibri" w:eastAsia="Calibri" w:hAnsi="Calibri"/>
          <w:color w:val="1A1A1A"/>
          <w:sz w:val="21"/>
          <w:szCs w:val="21"/>
        </w:rPr>
        <w:t xml:space="preserve">The practical consequence is that a tumour has at least four ways to hold the ferroptotic threshold above the lethal line, distributed across two membranes and drawing on three chemically distinct reductant pools (glutathione, CoQ10H2, BH4). Figure 1 summarises this architecture and Table 1 catalogues the components.</w:t>
      </w:r>
    </w:p>
    <w:p>
      <w:pPr>
        <w:spacing w:after="40" w:before="160"/>
        <w:jc w:val="center"/>
      </w:pPr>
      <w:r>
        <w:drawing>
          <wp:inline distT="0" distB="0" distL="0" distR="0">
            <wp:extent cx="58674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67400" cy="3457575"/>
                    </a:xfrm>
                    <a:prstGeom prst="rect">
                      <a:avLst/>
                    </a:prstGeom>
                  </pic:spPr>
                </pic:pic>
              </a:graphicData>
            </a:graphic>
          </wp:inline>
        </w:drawing>
      </w:r>
    </w:p>
    <w:p>
      <w:pPr>
        <w:spacing w:after="240" w:before="90" w:line="260"/>
        <w:jc w:val="left"/>
      </w:pPr>
      <w:r>
        <w:rPr>
          <w:rFonts w:ascii="Calibri" w:cs="Calibri" w:eastAsia="Calibri" w:hAnsi="Calibri"/>
          <w:b/>
          <w:bCs/>
          <w:color w:val="1F5C8B"/>
          <w:sz w:val="18"/>
          <w:szCs w:val="18"/>
        </w:rPr>
        <w:t xml:space="preserve">Figure 1. </w:t>
      </w:r>
      <w:r>
        <w:rPr>
          <w:rFonts w:ascii="Calibri" w:cs="Calibri" w:eastAsia="Calibri" w:hAnsi="Calibri"/>
          <w:color w:val="555555"/>
          <w:sz w:val="18"/>
          <w:szCs w:val="18"/>
        </w:rPr>
        <w:t xml:space="preserve">Architecture of the ferroptosis execution and surveillance arms. The execution arm (left, red) begins with system xc−-dependent cysteine import supporting glutathione synthesis, and with ACSL4/LPCAT3-dependent activation and re-esterification of polyunsaturated fatty acids into membrane phospholipids (PUFA-PL). Labile Fe2+ (Fenton chemistry) and lipoxygenases convert PUFA-PL to phospholipid hydroperoxides (PUFA-PL-OOH), whose accumulation ruptures the membrane. The surveillance arm comprises four partly redundant systems (blunt-ended bars denote suppression): GPX4 reduces PL-OOH using glutathione; FSP1/AIFM2 regenerates plasma-membrane CoQ10H2 as a radical-trapping antioxidant; DHODH performs the equivalent function at the inner mitochondrial membrane; and GCH1-derived BH4/BH2 acts both as an antioxidant and through phospholipid remodelling. Original schematic drawn by the authors from the mechanisms reported in Dixon et al. 2012 [1], Yang et al. 2014 [2], Doll et al. 2017 [3], Doll et al. 2019 [6], Bersuker et al. 2019 [7], Kraft et al. 2020 [8] and Mao et al. 2021 [13]; it is not a reproduction of any published figure.</w:t>
      </w:r>
    </w:p>
    <w:p>
      <w:r>
        <w:br w:type="page"/>
      </w:r>
    </w:p>
    <w:p>
      <w:pPr>
        <w:pStyle w:val="Heading2"/>
        <w:spacing w:after="120" w:before="250"/>
      </w:pPr>
      <w:r>
        <w:rPr>
          <w:rFonts w:ascii="Calibri" w:cs="Calibri" w:eastAsia="Calibri" w:hAnsi="Calibri"/>
          <w:b/>
          <w:bCs/>
          <w:color w:val="1A1A1A"/>
          <w:sz w:val="24"/>
          <w:szCs w:val="24"/>
        </w:rPr>
        <w:t xml:space="preserve">2.5  Summary of the surveillance network</w:t>
      </w:r>
    </w:p>
    <w:tbl>
      <w:tblPr>
        <w:tblW w:type="dxa" w:w="9360"/>
        <w:tblBorders>
          <w:top w:val="single" w:color="B9C7D3" w:sz="4"/>
          <w:left w:val="single" w:color="B9C7D3" w:sz="4"/>
          <w:bottom w:val="single" w:color="B9C7D3" w:sz="4"/>
          <w:right w:val="single" w:color="B9C7D3" w:sz="4"/>
          <w:insideH w:val="single" w:color="D8E0E7" w:sz="2"/>
          <w:insideV w:val="single" w:color="D8E0E7" w:sz="2"/>
        </w:tblBorders>
      </w:tblPr>
      <w:tblGrid>
        <w:gridCol w:w="900"/>
        <w:gridCol w:w="1560"/>
        <w:gridCol w:w="1500"/>
        <w:gridCol w:w="1500"/>
        <w:gridCol w:w="3900"/>
      </w:tblGrid>
      <w:tr>
        <w:trPr>
          <w:tblHeader/>
        </w:trPr>
        <w:tc>
          <w:tcPr>
            <w:tcW w:type="dxa" w:w="90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System</w:t>
            </w:r>
          </w:p>
        </w:tc>
        <w:tc>
          <w:tcPr>
            <w:tcW w:type="dxa" w:w="156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Gene / protein</w:t>
            </w:r>
          </w:p>
        </w:tc>
        <w:tc>
          <w:tcPr>
            <w:tcW w:type="dxa" w:w="150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Compartment</w:t>
            </w:r>
          </w:p>
        </w:tc>
        <w:tc>
          <w:tcPr>
            <w:tcW w:type="dxa" w:w="150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Reductant</w:t>
            </w:r>
          </w:p>
        </w:tc>
        <w:tc>
          <w:tcPr>
            <w:tcW w:type="dxa" w:w="390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Defining evidence (reference)</w:t>
            </w:r>
          </w:p>
        </w:tc>
      </w:tr>
      <w:tr>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w:t>
            </w:r>
          </w:p>
        </w:tc>
        <w:tc>
          <w:tcPr>
            <w:tcW w:type="dxa" w:w="1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GPX4 (glutathione peroxidase 4)</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Cytosol and mitochondria</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Glutathione (GSH)</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Twelve mechanistically distinct ferroptosis inducers converge on GPX4; overexpression and knockdown modulate all of them and none of eleven controls; DLBCL and RCC lines are constitutively susceptible [2].</w:t>
            </w:r>
          </w:p>
        </w:tc>
      </w:tr>
      <w:tr>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2</w:t>
            </w:r>
          </w:p>
        </w:tc>
        <w:tc>
          <w:tcPr>
            <w:tcW w:type="dxa" w:w="1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FSP1 / AIFM2</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Plasma membrane (myristoylation-dependent)</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NAD(P)H → CoQ10H2</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Identified independently by expression cloning [6] and synthetic-lethal CRISPR screening [7]; complements GPX4 loss; expression correlates with ferroptosis resistance across hundreds of lines; inhibition synergises with GPX4 inhibitors.</w:t>
            </w:r>
          </w:p>
        </w:tc>
      </w:tr>
      <w:tr>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3</w:t>
            </w:r>
          </w:p>
        </w:tc>
        <w:tc>
          <w:tcPr>
            <w:tcW w:type="dxa" w:w="1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DHODH (dihydroorotate dehydrogenase)</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Inner mitochondrial membrane</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Dihydroorotate → CoQH2</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Operates in parallel to mitochondrial GPX4 but independently of cytosolic GPX4 and FSP1; inactivation induces mitochondrial lipid peroxidation selectively in GPX4-low cells; brequinar suppresses GPX4-low tumours in vivo [13].</w:t>
            </w:r>
          </w:p>
        </w:tc>
      </w:tr>
      <w:tr>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4</w:t>
            </w:r>
          </w:p>
        </w:tc>
        <w:tc>
          <w:tcPr>
            <w:tcW w:type="dxa" w:w="1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GCH1 → BH4 / BH2</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Cytosol; acts on membrane lipids</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BH4 / BH2</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Genome-wide activation screen; endogenous radical-trapping antioxidant plus selective protection of di-polyunsaturated phospholipids; stratifies susceptibility independently of GPX4/GSH [8].</w:t>
            </w:r>
          </w:p>
        </w:tc>
      </w:tr>
      <w:tr>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w:t>
            </w:r>
          </w:p>
        </w:tc>
        <w:tc>
          <w:tcPr>
            <w:tcW w:type="dxa" w:w="15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ACSL4 (+ LPCAT3)</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ER / membrane remodelling</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n/a (pro-ferroptotic)</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Supply enzyme rather than defence: enriches membranes in long ω6 PUFAs; Gpx4–Acsl4 double knockouts resist ferroptosis; predicts sensitivity in basal-like breast cancer lines [3].</w:t>
            </w:r>
          </w:p>
        </w:tc>
      </w:tr>
    </w:tbl>
    <w:p>
      <w:pPr>
        <w:spacing w:after="240" w:before="90" w:line="260"/>
        <w:jc w:val="left"/>
      </w:pPr>
      <w:r>
        <w:rPr>
          <w:rFonts w:ascii="Calibri" w:cs="Calibri" w:eastAsia="Calibri" w:hAnsi="Calibri"/>
          <w:b/>
          <w:bCs/>
          <w:color w:val="1F5C8B"/>
          <w:sz w:val="18"/>
          <w:szCs w:val="18"/>
        </w:rPr>
        <w:t xml:space="preserve">Table 1. </w:t>
      </w:r>
      <w:r>
        <w:rPr>
          <w:rFonts w:ascii="Calibri" w:cs="Calibri" w:eastAsia="Calibri" w:hAnsi="Calibri"/>
          <w:color w:val="555555"/>
          <w:sz w:val="18"/>
          <w:szCs w:val="18"/>
        </w:rPr>
        <w:t xml:space="preserve">The four ferroptosis surveillance systems and the principal pro-ferroptotic supply enzyme, with the primary evidence establishing each. Compiled from the cited primary literature retrieved via PubMed; no values are inferred.</w:t>
      </w:r>
    </w:p>
    <w:p>
      <w:r>
        <w:br w:type="page"/>
      </w:r>
    </w:p>
    <w:p>
      <w:pPr>
        <w:pStyle w:val="Heading1"/>
        <w:spacing w:after="160" w:before="340"/>
      </w:pPr>
      <w:r>
        <w:rPr>
          <w:rFonts w:ascii="Calibri" w:cs="Calibri" w:eastAsia="Calibri" w:hAnsi="Calibri"/>
          <w:b/>
          <w:bCs/>
          <w:color w:val="1F5C8B"/>
          <w:sz w:val="30"/>
          <w:szCs w:val="30"/>
        </w:rPr>
        <w:t xml:space="preserve">3.  The persister state and its ferroptotic liability</w:t>
      </w:r>
    </w:p>
    <w:p>
      <w:pPr>
        <w:pStyle w:val="Heading2"/>
        <w:spacing w:after="120" w:before="250"/>
      </w:pPr>
      <w:r>
        <w:rPr>
          <w:rFonts w:ascii="Calibri" w:cs="Calibri" w:eastAsia="Calibri" w:hAnsi="Calibri"/>
          <w:b/>
          <w:bCs/>
          <w:color w:val="1A1A1A"/>
          <w:sz w:val="24"/>
          <w:szCs w:val="24"/>
        </w:rPr>
        <w:t xml:space="preserve">3.1  From cell state to GPX4 dependency</w:t>
      </w:r>
    </w:p>
    <w:p>
      <w:pPr>
        <w:spacing w:after="140" w:line="300"/>
        <w:jc w:val="both"/>
      </w:pPr>
      <w:r>
        <w:rPr>
          <w:rFonts w:ascii="Calibri" w:cs="Calibri" w:eastAsia="Calibri" w:hAnsi="Calibri"/>
          <w:color w:val="1A1A1A"/>
          <w:sz w:val="21"/>
          <w:szCs w:val="21"/>
        </w:rPr>
        <w:t xml:space="preserve">The link between therapy resistance and ferroptosis was established before persisters were explicitly implicated. Viswanathan et al. set out to explain why a 'high-mesenchymal' cell state — observed in human tumours and cancer cell lines and associated with resistance to multiple treatment modalities across lineages — is so broadly refractory. Characterising this state in cell lines and organoids, they found that it depends on a druggable lipid-peroxidase pathway. High-mesenchymal cells display elevated activity of enzymes that synthesise polyunsaturated lipids; those lipids are substrates for lipoxygenase-mediated peroxidation; and the resulting lipid metabolism creates a dependency on GPX4 to dissipate the peroxides that would otherwise execute ferroptosis [4].</w:t>
      </w:r>
    </w:p>
    <w:p>
      <w:pPr>
        <w:spacing w:after="140" w:line="300"/>
        <w:jc w:val="both"/>
      </w:pPr>
      <w:r>
        <w:rPr>
          <w:rFonts w:ascii="Calibri" w:cs="Calibri" w:eastAsia="Calibri" w:hAnsi="Calibri"/>
          <w:color w:val="1A1A1A"/>
          <w:sz w:val="21"/>
          <w:szCs w:val="21"/>
        </w:rPr>
        <w:t xml:space="preserve">Crucially, the dependency tracked with ZEB1-high state rather than with lineage. It was present in epithelial-to-mesenchymal transition in carcinomas, in TGFβ-mediated resistance in melanoma, in treatment-induced neuroendocrine transdifferentiation in prostate cancer, and in sarcomas fixed in a mesenchymal state by their cell of origin [4]. This is a state-defined, not a genotype-defined, vulnerability — precisely the property one would want in a strategy aimed at non-genetic resistance.</w:t>
      </w:r>
    </w:p>
    <w:p>
      <w:pPr>
        <w:pStyle w:val="Heading2"/>
        <w:spacing w:after="120" w:before="250"/>
      </w:pPr>
      <w:r>
        <w:rPr>
          <w:rFonts w:ascii="Calibri" w:cs="Calibri" w:eastAsia="Calibri" w:hAnsi="Calibri"/>
          <w:b/>
          <w:bCs/>
          <w:color w:val="1A1A1A"/>
          <w:sz w:val="24"/>
          <w:szCs w:val="24"/>
        </w:rPr>
        <w:t xml:space="preserve">3.2  Generalisation to drug-tolerant persisters</w:t>
      </w:r>
    </w:p>
    <w:p>
      <w:pPr>
        <w:spacing w:after="140" w:line="300"/>
        <w:jc w:val="both"/>
      </w:pPr>
      <w:r>
        <w:rPr>
          <w:rFonts w:ascii="Calibri" w:cs="Calibri" w:eastAsia="Calibri" w:hAnsi="Calibri"/>
          <w:color w:val="1A1A1A"/>
          <w:sz w:val="21"/>
          <w:szCs w:val="21"/>
        </w:rPr>
        <w:t xml:space="preserve">Hangauer et al. made the connection explicit. Generating persister populations from a wide range of cancer types and drug treatments, they showed that a therapy-resistant cell state very similar to the high-mesenchymal state underlies persister behaviour generally, and that persisters consequently acquire a dependency on GPX4. Loss of GPX4 function produced selective persister ferroptotic death in vitro and — the observation that gives the strategy its clinical rationale — prevented tumour relapse in mice [5].</w:t>
      </w:r>
    </w:p>
    <w:p>
      <w:pPr>
        <w:spacing w:after="140" w:line="300"/>
        <w:jc w:val="both"/>
      </w:pPr>
      <w:r>
        <w:rPr>
          <w:rFonts w:ascii="Calibri" w:cs="Calibri" w:eastAsia="Calibri" w:hAnsi="Calibri"/>
          <w:color w:val="1A1A1A"/>
          <w:sz w:val="21"/>
          <w:szCs w:val="21"/>
        </w:rPr>
        <w:t xml:space="preserve">The design logic implied by this result is sequential rather than simultaneous. The first agent debulks the tumour and, in doing so, manufactures the very population that the second agent is designed to kill. Figure 2A illustrates this scheduling concept.</w:t>
      </w:r>
    </w:p>
    <w:p>
      <w:pPr>
        <w:pStyle w:val="Heading2"/>
        <w:spacing w:after="120" w:before="250"/>
      </w:pPr>
      <w:r>
        <w:rPr>
          <w:rFonts w:ascii="Calibri" w:cs="Calibri" w:eastAsia="Calibri" w:hAnsi="Calibri"/>
          <w:b/>
          <w:bCs/>
          <w:color w:val="1A1A1A"/>
          <w:sz w:val="24"/>
          <w:szCs w:val="24"/>
        </w:rPr>
        <w:t xml:space="preserve">3.3  How persisters are generated: sublethal mitochondrial permeabilisation</w:t>
      </w:r>
    </w:p>
    <w:p>
      <w:pPr>
        <w:spacing w:after="140" w:line="300"/>
        <w:jc w:val="both"/>
      </w:pPr>
      <w:r>
        <w:rPr>
          <w:rFonts w:ascii="Calibri" w:cs="Calibri" w:eastAsia="Calibri" w:hAnsi="Calibri"/>
          <w:color w:val="1A1A1A"/>
          <w:sz w:val="21"/>
          <w:szCs w:val="21"/>
        </w:rPr>
        <w:t xml:space="preserve">A mechanistic account of persister genesis was provided by Kalkavan et al., who showed that cells surviving treatment with pro-apoptotic BH3 mimetics adopt a persister phenotype that includes colonisation and metastasis in vivo — and increased sensitivity to ferroptosis induced by GPX4 inhibition. The key requirement was sublethal mitochondrial outer membrane permeabilisation with holocytochrome c release. Remarkably, the downstream signal is independent of apoptosome formation and caspase activation: cytosolic cytochrome c activates heme-regulated inhibitor (HRI) kinase, engaging the integrated stress response and ATF4 synthesis, all of which are required for the persister phenotype [16].</w:t>
      </w:r>
    </w:p>
    <w:p>
      <w:pPr>
        <w:spacing w:after="140" w:line="300"/>
        <w:jc w:val="both"/>
      </w:pPr>
      <w:r>
        <w:rPr>
          <w:rFonts w:ascii="Calibri" w:cs="Calibri" w:eastAsia="Calibri" w:hAnsi="Calibri"/>
          <w:color w:val="1A1A1A"/>
          <w:sz w:val="21"/>
          <w:szCs w:val="21"/>
        </w:rPr>
        <w:t xml:space="preserve">This matters for the ferroptosis argument in two ways. First, it establishes that a partially executed apoptotic programme is itself a route into the persister state — the therapy does not merely select persisters, it makes them. Second, it shows that the ferroptotic liability is acquired together with, and downstream of, that state transition, rather than being a pre-existing property of a rare subclone.</w:t>
      </w:r>
    </w:p>
    <w:p>
      <w:pPr>
        <w:pStyle w:val="Heading2"/>
        <w:spacing w:after="120" w:before="250"/>
      </w:pPr>
      <w:r>
        <w:rPr>
          <w:rFonts w:ascii="Calibri" w:cs="Calibri" w:eastAsia="Calibri" w:hAnsi="Calibri"/>
          <w:b/>
          <w:bCs/>
          <w:color w:val="1A1A1A"/>
          <w:sz w:val="24"/>
          <w:szCs w:val="24"/>
        </w:rPr>
        <w:t xml:space="preserve">3.4  Evidence across tumour lineages</w:t>
      </w:r>
    </w:p>
    <w:p>
      <w:pPr>
        <w:spacing w:after="140" w:line="300"/>
        <w:jc w:val="both"/>
      </w:pPr>
      <w:r>
        <w:rPr>
          <w:rFonts w:ascii="Calibri" w:cs="Calibri" w:eastAsia="Calibri" w:hAnsi="Calibri"/>
          <w:color w:val="1A1A1A"/>
          <w:sz w:val="21"/>
          <w:szCs w:val="21"/>
        </w:rPr>
        <w:t xml:space="preserve">Independent groups have now reproduced the core observation in several disease settings, using different drugs to generate persisters and different chemical probes to kill them. The convergence is summarised in Table 2.</w:t>
      </w:r>
    </w:p>
    <w:p>
      <w:pPr>
        <w:spacing w:after="140" w:line="300"/>
        <w:jc w:val="both"/>
      </w:pPr>
      <w:r>
        <w:rPr>
          <w:rFonts w:ascii="Calibri" w:cs="Calibri" w:eastAsia="Calibri" w:hAnsi="Calibri"/>
          <w:color w:val="1A1A1A"/>
          <w:sz w:val="21"/>
          <w:szCs w:val="21"/>
        </w:rPr>
        <w:t xml:space="preserve">Several of these studies add mechanistic texture. In erlotinib-tolerant head-and-neck cancer, You et al. traced the ferroptotic vulnerability to a KDM5A–MPC1 axis: persisters upregulate KDM5A and downregulate mitochondrial pyruvate carrier 1, which sustains mesenchymal traits and glutaminolysis and increases sensitivity to RSL3, ML210, sulfasalazine and erastin; MPC1 suppression increased vulnerability in vitro and in vivo, and low MPC1 expression was associated with poor overall survival in TCGA data [12]. In ovarian cancer, Wang et al. identified Frizzled-7 as a marker of platinum-tolerant cells with partial cancer-stem-cell features, acting through an FZD7–β-catenin–Tp63–GPX4 axis that upregulates glutathione metabolism to buffer chemotherapy-induced oxidative stress — and that renders those cells highly susceptible to GPX4 inhibitors [11].</w:t>
      </w:r>
    </w:p>
    <w:p>
      <w:pPr>
        <w:spacing w:after="140" w:line="300"/>
        <w:jc w:val="both"/>
      </w:pPr>
      <w:r>
        <w:rPr>
          <w:rFonts w:ascii="Calibri" w:cs="Calibri" w:eastAsia="Calibri" w:hAnsi="Calibri"/>
          <w:color w:val="1A1A1A"/>
          <w:sz w:val="21"/>
          <w:szCs w:val="21"/>
        </w:rPr>
        <w:t xml:space="preserve">The colorectal and GIST studies are notable for their in vivo endpoints. Zhang et al. generated 5-fluorouracil- and AZ628-tolerant persisters in HCT116 and SW620 cells, found them quiescent, stem-like and mesenchymal with upregulated GPX4 and ferrous iron, and showed that GPX4 inhibition restrained tumour regrowth after anti-cancer drug treatment was discontinued; biopsies from colorectal cancer patients undergoing neoadjuvant chemoradiotherapy showed upregulated GPX4 and ferritin heavy chain 1, and high GPX4 correlated with worse prognosis [15]. Ishida et al. reported that imatinib-derived persister GIST cells downregulate glucose metabolism with a consequent fall in glutathione, that RSL3-induced death in these cells is iron-dependent and caspase-independent, and that RSL3 inhibited tumour regrowth after imatinib withdrawal in xenografts and also killed gefitinib-derived persister lung cancer cells [14].</w:t>
      </w:r>
    </w:p>
    <w:p>
      <w:r>
        <w:br w:type="page"/>
      </w:r>
    </w:p>
    <w:p>
      <w:pPr>
        <w:spacing w:after="40" w:before="160"/>
        <w:jc w:val="center"/>
      </w:pPr>
      <w:r>
        <w:drawing>
          <wp:inline distT="0" distB="0" distL="0" distR="0">
            <wp:extent cx="6096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81275"/>
                    </a:xfrm>
                    <a:prstGeom prst="rect">
                      <a:avLst/>
                    </a:prstGeom>
                  </pic:spPr>
                </pic:pic>
              </a:graphicData>
            </a:graphic>
          </wp:inline>
        </w:drawing>
      </w:r>
    </w:p>
    <w:p>
      <w:pPr>
        <w:spacing w:after="240" w:before="90" w:line="260"/>
        <w:jc w:val="left"/>
      </w:pPr>
      <w:r>
        <w:rPr>
          <w:rFonts w:ascii="Calibri" w:cs="Calibri" w:eastAsia="Calibri" w:hAnsi="Calibri"/>
          <w:b/>
          <w:bCs/>
          <w:color w:val="1F5C8B"/>
          <w:sz w:val="18"/>
          <w:szCs w:val="18"/>
        </w:rPr>
        <w:t xml:space="preserve">Figure 2. </w:t>
      </w:r>
      <w:r>
        <w:rPr>
          <w:rFonts w:ascii="Calibri" w:cs="Calibri" w:eastAsia="Calibri" w:hAnsi="Calibri"/>
          <w:color w:val="555555"/>
          <w:sz w:val="18"/>
          <w:szCs w:val="18"/>
        </w:rPr>
        <w:t xml:space="preserve">(A) Conceptual scheduling of ferroptosis induction against the persister reservoir. Cytotoxic or targeted therapy produces rapid log-kill followed by a residual plateau of drug-tolerant persister cells, from which relapse emerges once drug pressure is relieved (red). Sequential GPX4 inhibition applied to the residual population drives ferroptotic clearance of that reservoir (blue). The curves are illustrative schematics of the strategy validated experimentally in mouse models by Hangauer et al. [5], Zhang et al. [15] and Ishida et al. [14]; they are not fitted to published data and the axes are arbitrary. (B) Cell-state determinants of ferroptotic vulnerability: as cells move along the epithelial-to-high-mesenchymal/DTP axis, apoptotic competence falls while dependency on GPX4 and FSP1 rises, driven by increased ACSL4/LPCAT3-dependent PUFA-phospholipid content, elevated labile iron and reduced glutathione. Schematic synthesis of the relationships reported in refs. [3,4,5,11,12,14,15,19].</w:t>
      </w:r>
    </w:p>
    <w:p>
      <w:r>
        <w:br w:type="page"/>
      </w:r>
    </w:p>
    <w:tbl>
      <w:tblPr>
        <w:tblW w:type="dxa" w:w="9360"/>
        <w:tblBorders>
          <w:top w:val="single" w:color="B9C7D3" w:sz="4"/>
          <w:left w:val="single" w:color="B9C7D3" w:sz="4"/>
          <w:bottom w:val="single" w:color="B9C7D3" w:sz="4"/>
          <w:right w:val="single" w:color="B9C7D3" w:sz="4"/>
          <w:insideH w:val="single" w:color="D8E0E7" w:sz="2"/>
          <w:insideV w:val="single" w:color="D8E0E7" w:sz="2"/>
        </w:tblBorders>
      </w:tblPr>
      <w:tblGrid>
        <w:gridCol w:w="1620"/>
        <w:gridCol w:w="1720"/>
        <w:gridCol w:w="1550"/>
        <w:gridCol w:w="1300"/>
        <w:gridCol w:w="3170"/>
      </w:tblGrid>
      <w:tr>
        <w:trPr>
          <w:tblHeader/>
        </w:trPr>
        <w:tc>
          <w:tcPr>
            <w:tcW w:type="dxa" w:w="162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Tumour setting</w:t>
            </w:r>
          </w:p>
        </w:tc>
        <w:tc>
          <w:tcPr>
            <w:tcW w:type="dxa" w:w="172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How persisters were generated</w:t>
            </w:r>
          </w:p>
        </w:tc>
        <w:tc>
          <w:tcPr>
            <w:tcW w:type="dxa" w:w="155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Ferroptosis probe used</w:t>
            </w:r>
          </w:p>
        </w:tc>
        <w:tc>
          <w:tcPr>
            <w:tcW w:type="dxa" w:w="130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In vivo result</w:t>
            </w:r>
          </w:p>
        </w:tc>
        <w:tc>
          <w:tcPr>
            <w:tcW w:type="dxa" w:w="317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Key mechanistic finding (reference)</w:t>
            </w:r>
          </w:p>
        </w:tc>
      </w:tr>
      <w:tr>
        <w:tc>
          <w:tcPr>
            <w:tcW w:type="dxa" w:w="16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Multiple lineages (melanoma, lung, others)</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Diverse targeted and cytotoxic agents</w:t>
            </w:r>
          </w:p>
        </w:tc>
        <w:tc>
          <w:tcPr>
            <w:tcW w:type="dxa" w:w="15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GPX4 knockout / inhibition</w:t>
            </w:r>
          </w:p>
        </w:tc>
        <w:tc>
          <w:tcPr>
            <w:tcW w:type="dxa" w:w="1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Tumour relapse prevented</w:t>
            </w:r>
          </w:p>
        </w:tc>
        <w:tc>
          <w:tcPr>
            <w:tcW w:type="dxa" w:w="317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Persisters across many cancers and drugs adopt a therapy-resistant state and acquire GPX4 dependency [5].</w:t>
            </w:r>
          </w:p>
        </w:tc>
      </w:tr>
      <w:tr>
        <w:tc>
          <w:tcPr>
            <w:tcW w:type="dxa" w:w="16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Carcinomas, melanoma, prostate, sarcoma</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High-mesenchymal / ZEB1-high state (EMT, TGFβ, NE transdifferentiation)</w:t>
            </w:r>
          </w:p>
        </w:tc>
        <w:tc>
          <w:tcPr>
            <w:tcW w:type="dxa" w:w="15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GPX4 inhibition</w:t>
            </w:r>
          </w:p>
        </w:tc>
        <w:tc>
          <w:tcPr>
            <w:tcW w:type="dxa" w:w="1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w:t>
            </w:r>
          </w:p>
        </w:tc>
        <w:tc>
          <w:tcPr>
            <w:tcW w:type="dxa" w:w="317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PUFA-synthesising enzyme activity creates a lipid-peroxidase dependency common to diverse therapy-resistant states [4].</w:t>
            </w:r>
          </w:p>
        </w:tc>
      </w:tr>
      <w:tr>
        <w:tc>
          <w:tcPr>
            <w:tcW w:type="dxa" w:w="16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Head and neck squamous carcinoma</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Erlotinib tolerance</w:t>
            </w:r>
          </w:p>
        </w:tc>
        <w:tc>
          <w:tcPr>
            <w:tcW w:type="dxa" w:w="15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RSL3, ML210, sulfasalazine, erastin</w:t>
            </w:r>
          </w:p>
        </w:tc>
        <w:tc>
          <w:tcPr>
            <w:tcW w:type="dxa" w:w="1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GPX4 silencing sensitised xenografts</w:t>
            </w:r>
          </w:p>
        </w:tc>
        <w:tc>
          <w:tcPr>
            <w:tcW w:type="dxa" w:w="317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KDM5A up / MPC1 down sustains mesenchymal traits and glutaminolysis; low MPC1 predicts poor survival (TCGA) [12].</w:t>
            </w:r>
          </w:p>
        </w:tc>
      </w:tr>
      <w:tr>
        <w:tc>
          <w:tcPr>
            <w:tcW w:type="dxa" w:w="16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Ovarian (high-grade serous)</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Repetitive carboplatin</w:t>
            </w:r>
          </w:p>
        </w:tc>
        <w:tc>
          <w:tcPr>
            <w:tcW w:type="dxa" w:w="15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GPX4 inhibitors</w:t>
            </w:r>
          </w:p>
        </w:tc>
        <w:tc>
          <w:tcPr>
            <w:tcW w:type="dxa" w:w="1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FZD7 knockdown delayed tumour initiation</w:t>
            </w:r>
          </w:p>
        </w:tc>
        <w:tc>
          <w:tcPr>
            <w:tcW w:type="dxa" w:w="317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FZD7–β-catenin–Tp63–GPX4 axis marks platinum-tolerant, ALDH+, stem-like cells [11].</w:t>
            </w:r>
          </w:p>
        </w:tc>
      </w:tr>
      <w:tr>
        <w:tc>
          <w:tcPr>
            <w:tcW w:type="dxa" w:w="16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Colorectal (HCT116, SW620)</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5-Fluorouracil; AZ628</w:t>
            </w:r>
          </w:p>
        </w:tc>
        <w:tc>
          <w:tcPr>
            <w:tcW w:type="dxa" w:w="15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RSL3, FIN56</w:t>
            </w:r>
          </w:p>
        </w:tc>
        <w:tc>
          <w:tcPr>
            <w:tcW w:type="dxa" w:w="1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Tumour regrowth restrained after drug withdrawal</w:t>
            </w:r>
          </w:p>
        </w:tc>
        <w:tc>
          <w:tcPr>
            <w:tcW w:type="dxa" w:w="317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Persisters quiescent, stem-like, mesenchymal; GPX4 and ferrous iron upregulated; high GPX4 correlates with worse prognosis [15].</w:t>
            </w:r>
          </w:p>
        </w:tc>
      </w:tr>
      <w:tr>
        <w:tc>
          <w:tcPr>
            <w:tcW w:type="dxa" w:w="16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Gastrointestinal stromal tumour; EGFR-mutant lung</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Imatinib; gefitinib</w:t>
            </w:r>
          </w:p>
        </w:tc>
        <w:tc>
          <w:tcPr>
            <w:tcW w:type="dxa" w:w="15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RSL3</w:t>
            </w:r>
          </w:p>
        </w:tc>
        <w:tc>
          <w:tcPr>
            <w:tcW w:type="dxa" w:w="1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Tumour regrowth inhibited after imatinib discontinuation</w:t>
            </w:r>
          </w:p>
        </w:tc>
        <w:tc>
          <w:tcPr>
            <w:tcW w:type="dxa" w:w="317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Downregulated glucose metabolism lowers glutathione; death is iron-dependent and caspase-independent [14].</w:t>
            </w:r>
          </w:p>
        </w:tc>
      </w:tr>
      <w:tr>
        <w:tc>
          <w:tcPr>
            <w:tcW w:type="dxa" w:w="16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Triple-negative breast cancer</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Chemotherapy-induced dormant and proliferative DTP states</w:t>
            </w:r>
          </w:p>
        </w:tc>
        <w:tc>
          <w:tcPr>
            <w:tcW w:type="dxa" w:w="15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GPX4 and FSP1 inhibition (combined)</w:t>
            </w:r>
          </w:p>
        </w:tc>
        <w:tc>
          <w:tcPr>
            <w:tcW w:type="dxa" w:w="1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w:t>
            </w:r>
          </w:p>
        </w:tc>
        <w:tc>
          <w:tcPr>
            <w:tcW w:type="dxa" w:w="317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Low GPX4 promotes EMT and drives compensatory FSP1 upregulation; FSP1-high/VIM-high predicts worse survival and incomplete pathological response [19].</w:t>
            </w:r>
          </w:p>
        </w:tc>
      </w:tr>
      <w:tr>
        <w:tc>
          <w:tcPr>
            <w:tcW w:type="dxa" w:w="16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Ovarian adenocarcinoma (multidrug-resistant)</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Intrinsic MDR / EMT-state persisters</w:t>
            </w:r>
          </w:p>
        </w:tc>
        <w:tc>
          <w:tcPr>
            <w:tcW w:type="dxa" w:w="15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RSL3 delivered in radical-triggered micelles</w:t>
            </w:r>
          </w:p>
        </w:tc>
        <w:tc>
          <w:tcPr>
            <w:tcW w:type="dxa" w:w="1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Tumour growth inhibition and improved survival</w:t>
            </w:r>
          </w:p>
        </w:tc>
        <w:tc>
          <w:tcPr>
            <w:tcW w:type="dxa" w:w="317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Ferroptotic micelles reduced CD133 and ALDH persister biomarkers; 30-fold greater toxicity than control micelles [18].</w:t>
            </w:r>
          </w:p>
        </w:tc>
      </w:tr>
      <w:tr>
        <w:tc>
          <w:tcPr>
            <w:tcW w:type="dxa" w:w="16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BH3-mimetic-treated cells (multiple)</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Sublethal MOMP after BH3 mimetics</w:t>
            </w:r>
          </w:p>
        </w:tc>
        <w:tc>
          <w:tcPr>
            <w:tcW w:type="dxa" w:w="15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GPX4 inhibition</w:t>
            </w:r>
          </w:p>
        </w:tc>
        <w:tc>
          <w:tcPr>
            <w:tcW w:type="dxa" w:w="1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Persisters colonised and metastasised in vivo</w:t>
            </w:r>
          </w:p>
        </w:tc>
        <w:tc>
          <w:tcPr>
            <w:tcW w:type="dxa" w:w="317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Cytochrome c → HRI kinase → integrated stress response → ATF4 generates the persister state, caspase-independently [16].</w:t>
            </w:r>
          </w:p>
        </w:tc>
      </w:tr>
    </w:tbl>
    <w:p>
      <w:pPr>
        <w:spacing w:after="240" w:before="90" w:line="260"/>
        <w:jc w:val="left"/>
      </w:pPr>
      <w:r>
        <w:rPr>
          <w:rFonts w:ascii="Calibri" w:cs="Calibri" w:eastAsia="Calibri" w:hAnsi="Calibri"/>
          <w:b/>
          <w:bCs/>
          <w:color w:val="1F5C8B"/>
          <w:sz w:val="18"/>
          <w:szCs w:val="18"/>
        </w:rPr>
        <w:t xml:space="preserve">Table 2. </w:t>
      </w:r>
      <w:r>
        <w:rPr>
          <w:rFonts w:ascii="Calibri" w:cs="Calibri" w:eastAsia="Calibri" w:hAnsi="Calibri"/>
          <w:color w:val="555555"/>
          <w:sz w:val="18"/>
          <w:szCs w:val="18"/>
        </w:rPr>
        <w:t xml:space="preserve">Experimental evidence linking drug-tolerant persister and high-mesenchymal states to ferroptotic vulnerability across tumour lineages. Each row summarises findings reported in the cited primary publication retrieved via PubMed; entries marked '—' indicate that the cited study did not report an in vivo tumour endpoint of this kind.</w:t>
      </w:r>
    </w:p>
    <w:p>
      <w:r>
        <w:br w:type="page"/>
      </w:r>
    </w:p>
    <w:p>
      <w:pPr>
        <w:pStyle w:val="Heading1"/>
        <w:spacing w:after="160" w:before="340"/>
      </w:pPr>
      <w:r>
        <w:rPr>
          <w:rFonts w:ascii="Calibri" w:cs="Calibri" w:eastAsia="Calibri" w:hAnsi="Calibri"/>
          <w:b/>
          <w:bCs/>
          <w:color w:val="1F5C8B"/>
          <w:sz w:val="30"/>
          <w:szCs w:val="30"/>
        </w:rPr>
        <w:t xml:space="preserve">4.  Redundancy, adaptation and the case for combinations</w:t>
      </w:r>
    </w:p>
    <w:p>
      <w:pPr>
        <w:pStyle w:val="Heading2"/>
        <w:spacing w:after="120" w:before="250"/>
      </w:pPr>
      <w:r>
        <w:rPr>
          <w:rFonts w:ascii="Calibri" w:cs="Calibri" w:eastAsia="Calibri" w:hAnsi="Calibri"/>
          <w:b/>
          <w:bCs/>
          <w:color w:val="1A1A1A"/>
          <w:sz w:val="24"/>
          <w:szCs w:val="24"/>
        </w:rPr>
        <w:t xml:space="preserve">4.1  Compensatory FSP1 upregulation</w:t>
      </w:r>
    </w:p>
    <w:p>
      <w:pPr>
        <w:spacing w:after="140" w:line="300"/>
        <w:jc w:val="both"/>
      </w:pPr>
      <w:r>
        <w:rPr>
          <w:rFonts w:ascii="Calibri" w:cs="Calibri" w:eastAsia="Calibri" w:hAnsi="Calibri"/>
          <w:color w:val="1A1A1A"/>
          <w:sz w:val="21"/>
          <w:szCs w:val="21"/>
        </w:rPr>
        <w:t xml:space="preserve">The most direct challenge to single-agent GPX4 inhibition comes from the observation that cells respond to GPX4 loss by reinforcing an independent defence. Chaudhary et al. modelled the transition from dormant to proliferative drug-tolerant persister states across triple-negative breast cancer subtypes and found that DTP cells exhibit reduced GPX4 expression — which both confers susceptibility to ferroptosis inducers and, mechanistically, promotes EMT, supported by an inverse correlation between GPX4 and vimentin that predicts survival in chemotherapy-treated patients. Critically, genetic, pharmacological or chemotherapy-induced suppression of GPX4 led to robust upregulation of FSP1. An FSP1-high/vimentin-high signature strongly predicted worse survival and incomplete pathological response in chemotherapy-treated TNBC patients; targeting FSP1 re-sensitised cells to chemotherapy, and combined FSP1 and GPX4 inhibition was selectively lethal to proliferative DTP cells by inducing ferroptosis [19].</w:t>
      </w:r>
    </w:p>
    <w:p>
      <w:pPr>
        <w:spacing w:after="140" w:line="300"/>
        <w:jc w:val="both"/>
      </w:pPr>
      <w:r>
        <w:rPr>
          <w:rFonts w:ascii="Calibri" w:cs="Calibri" w:eastAsia="Calibri" w:hAnsi="Calibri"/>
          <w:color w:val="1A1A1A"/>
          <w:sz w:val="21"/>
          <w:szCs w:val="21"/>
        </w:rPr>
        <w:t xml:space="preserve">This is a compensation loop of the kind familiar from kinase-inhibitor pharmacology, and it argues that the therapeutic unit is not a GPX4 inhibitor but a defined combination. It also supplies a candidate patient-selection biomarker that is measurable by immunohistochemistry on residual disease.</w:t>
      </w:r>
    </w:p>
    <w:p>
      <w:pPr>
        <w:pStyle w:val="Heading2"/>
        <w:spacing w:after="120" w:before="250"/>
      </w:pPr>
      <w:r>
        <w:rPr>
          <w:rFonts w:ascii="Calibri" w:cs="Calibri" w:eastAsia="Calibri" w:hAnsi="Calibri"/>
          <w:b/>
          <w:bCs/>
          <w:color w:val="1A1A1A"/>
          <w:sz w:val="24"/>
          <w:szCs w:val="24"/>
        </w:rPr>
        <w:t xml:space="preserve">4.2  The mitochondrial reservoir</w:t>
      </w:r>
    </w:p>
    <w:p>
      <w:pPr>
        <w:spacing w:after="140" w:line="300"/>
        <w:jc w:val="both"/>
      </w:pPr>
      <w:r>
        <w:rPr>
          <w:rFonts w:ascii="Calibri" w:cs="Calibri" w:eastAsia="Calibri" w:hAnsi="Calibri"/>
          <w:color w:val="1A1A1A"/>
          <w:sz w:val="21"/>
          <w:szCs w:val="21"/>
        </w:rPr>
        <w:t xml:space="preserve">Mao et al.'s identification of DHODH as a mitochondrial ferroptosis defence adds a second escape route and a second combination [13]. Their observation that GPX4-inhibitor treatment acutely depletes N-carbamoyl-L-aspartate with concomitant uridine accumulation, and that dihydroorotate and orotate respectively attenuate and potentiate GPX4-inhibitor-induced ferroptosis, ties pyrimidine metabolism directly to membrane redox status. The therapeutic reading is that DHODH inhibition is most valuable in GPX4-low tumours — where brequinar alone suppressed growth by inducing ferroptosis — and that brequinar combined with sulfasalazine synergistically induced ferroptosis and suppressed growth of GPX4-high tumours. Since both brequinar and sulfasalazine have prior clinical exposure, this is among the more immediately testable propositions in the field.</w:t>
      </w:r>
    </w:p>
    <w:p>
      <w:pPr>
        <w:pStyle w:val="Heading2"/>
        <w:spacing w:after="120" w:before="250"/>
      </w:pPr>
      <w:r>
        <w:rPr>
          <w:rFonts w:ascii="Calibri" w:cs="Calibri" w:eastAsia="Calibri" w:hAnsi="Calibri"/>
          <w:b/>
          <w:bCs/>
          <w:color w:val="1A1A1A"/>
          <w:sz w:val="24"/>
          <w:szCs w:val="24"/>
        </w:rPr>
        <w:t xml:space="preserve">4.3  Chemical matter for the second target</w:t>
      </w:r>
    </w:p>
    <w:p>
      <w:pPr>
        <w:spacing w:after="140" w:line="300"/>
        <w:jc w:val="both"/>
      </w:pPr>
      <w:r>
        <w:rPr>
          <w:rFonts w:ascii="Calibri" w:cs="Calibri" w:eastAsia="Calibri" w:hAnsi="Calibri"/>
          <w:color w:val="1A1A1A"/>
          <w:sz w:val="21"/>
          <w:szCs w:val="21"/>
        </w:rPr>
        <w:t xml:space="preserve">Pharmacological FSP1 inhibition has advanced substantially. Nakamura et al. screened a small-molecule library and identified 3-phenylquinazolinones, represented by icFSP1, as potent FSP1 inhibitors with a mechanism distinct from the first-generation on-target inhibitor iFSP1. icFSP1 does not competitively inhibit FSP1 enzyme activity; instead it triggers relocalisation of FSP1 from the membrane and its condensation into droplet-like assemblies with properties consistent with liquid–liquid phase separation, before ferroptosis induction — and it does so in synergism with GPX4 inhibition. N-terminal myristoylation, specific residues and intrinsically disordered low-complexity regions in FSP1 were required for this phase separation, and icFSP1 impaired tumour growth and induced FSP1 condensates in tumours in vivo [17].</w:t>
      </w:r>
    </w:p>
    <w:p>
      <w:pPr>
        <w:spacing w:after="140" w:line="300"/>
        <w:jc w:val="both"/>
      </w:pPr>
      <w:r>
        <w:rPr>
          <w:rFonts w:ascii="Calibri" w:cs="Calibri" w:eastAsia="Calibri" w:hAnsi="Calibri"/>
          <w:color w:val="1A1A1A"/>
          <w:sz w:val="21"/>
          <w:szCs w:val="21"/>
        </w:rPr>
        <w:t xml:space="preserve">Whether an inhibitor that works by inducing condensation can be developed into a drug with acceptable selectivity and pharmacokinetics is an open question. But mechanistically it is an appealing complement to GPX4 inhibitors, and it addresses the specific compensation loop documented in TNBC persisters [19].</w:t>
      </w:r>
    </w:p>
    <w:p>
      <w:pPr>
        <w:pStyle w:val="Heading1"/>
        <w:spacing w:after="160" w:before="340"/>
      </w:pPr>
      <w:r>
        <w:rPr>
          <w:rFonts w:ascii="Calibri" w:cs="Calibri" w:eastAsia="Calibri" w:hAnsi="Calibri"/>
          <w:b/>
          <w:bCs/>
          <w:color w:val="1F5C8B"/>
          <w:sz w:val="30"/>
          <w:szCs w:val="30"/>
        </w:rPr>
        <w:t xml:space="preserve">5.  Microenvironmental and immunological control of the ferroptotic threshold</w:t>
      </w:r>
    </w:p>
    <w:p>
      <w:pPr>
        <w:pStyle w:val="Heading2"/>
        <w:spacing w:after="120" w:before="250"/>
      </w:pPr>
      <w:r>
        <w:rPr>
          <w:rFonts w:ascii="Calibri" w:cs="Calibri" w:eastAsia="Calibri" w:hAnsi="Calibri"/>
          <w:b/>
          <w:bCs/>
          <w:color w:val="1A1A1A"/>
          <w:sz w:val="24"/>
          <w:szCs w:val="24"/>
        </w:rPr>
        <w:t xml:space="preserve">5.1  Ferroptosis is compartment-dependent</w:t>
      </w:r>
    </w:p>
    <w:p>
      <w:pPr>
        <w:spacing w:after="140" w:line="300"/>
        <w:jc w:val="both"/>
      </w:pPr>
      <w:r>
        <w:rPr>
          <w:rFonts w:ascii="Calibri" w:cs="Calibri" w:eastAsia="Calibri" w:hAnsi="Calibri"/>
          <w:color w:val="1A1A1A"/>
          <w:sz w:val="21"/>
          <w:szCs w:val="21"/>
        </w:rPr>
        <w:t xml:space="preserve">Ferroptotic sensitivity is not a fixed cell-intrinsic property; the extracellular milieu can move the threshold substantially. Ubellacker et al. asked why melanoma so often metastasises regionally through lymphatics before disseminating haematogenously, and found a ferroptosis-based answer. Melanoma cells in lymph experienced less oxidative stress and formed more metastases than cells in blood. Cells that metastasised through blood — but not those that metastasised through lymph — became dependent on GPX4. Pretreatment with chemical ferroptosis inhibitors increased metastasis after intravenous but not intralymphatic injection. Lymph differed from plasma in ways that plausibly account for this: higher glutathione and oleic acid, and less free iron. Oleic acid protected melanoma cells from ferroptosis in an ACSL3-dependent manner and increased their metastatic capacity, and cells recovered from lymph nodes were more ferroptosis-resistant than cells from subcutaneous tumours [10].</w:t>
      </w:r>
    </w:p>
    <w:p>
      <w:pPr>
        <w:spacing w:after="140" w:line="300"/>
        <w:jc w:val="both"/>
      </w:pPr>
      <w:r>
        <w:rPr>
          <w:rFonts w:ascii="Calibri" w:cs="Calibri" w:eastAsia="Calibri" w:hAnsi="Calibri"/>
          <w:color w:val="1A1A1A"/>
          <w:sz w:val="21"/>
          <w:szCs w:val="21"/>
        </w:rPr>
        <w:t xml:space="preserve">For a therapeutic programme aimed at residual disease this is a caution with teeth. Persisters residing in lymph nodes — a common site of minimal residual disease — may be pharmacodynamically shielded from ferroptosis induction by their local lipid and iron environment, independently of their cell-intrinsic GPX4 status. Monounsaturated fatty acid availability is, in effect, a competing variable that no cell-line-derived biomarker will capture.</w:t>
      </w:r>
    </w:p>
    <w:p>
      <w:pPr>
        <w:pStyle w:val="Heading2"/>
        <w:spacing w:after="120" w:before="250"/>
      </w:pPr>
      <w:r>
        <w:rPr>
          <w:rFonts w:ascii="Calibri" w:cs="Calibri" w:eastAsia="Calibri" w:hAnsi="Calibri"/>
          <w:b/>
          <w:bCs/>
          <w:color w:val="1A1A1A"/>
          <w:sz w:val="24"/>
          <w:szCs w:val="24"/>
        </w:rPr>
        <w:t xml:space="preserve">5.2  Ferroptosis as an effector arm of anti-tumour immunity</w:t>
      </w:r>
    </w:p>
    <w:p>
      <w:pPr>
        <w:spacing w:after="140" w:line="300"/>
        <w:jc w:val="both"/>
      </w:pPr>
      <w:r>
        <w:rPr>
          <w:rFonts w:ascii="Calibri" w:cs="Calibri" w:eastAsia="Calibri" w:hAnsi="Calibri"/>
          <w:color w:val="1A1A1A"/>
          <w:sz w:val="21"/>
          <w:szCs w:val="21"/>
        </w:rPr>
        <w:t xml:space="preserve">The converse interaction is at least as consequential. Wang et al. showed that immunotherapy-activated CD8+ T cells enhance ferroptosis-specific lipid peroxidation in tumour cells and that this contributes to the anti-tumour efficacy of immunotherapy. The mechanism runs through the same node as erastin: interferon-γ released by CD8+ T cells downregulates SLC3A2 and SLC7A11, the two subunits of system xc−, impairing cystine uptake and thereby promoting lipid peroxidation and ferroptosis. In mouse models, cyst(e)ine depletion by an engineered cyst(e)inase combined with checkpoint blockade synergistically enhanced T-cell-mediated anti-tumour immunity and induced tumour ferroptosis. In patients, system xc− expression was inversely associated with CD8+ T-cell signature, IFNγ expression and outcome, and analysis of human transcriptomes before and during nivolumab therapy showed that clinical benefit correlated with reduced SLC3A2 and increased IFNγ and CD8 [9].</w:t>
      </w:r>
    </w:p>
    <w:p>
      <w:pPr>
        <w:spacing w:after="140" w:line="300"/>
        <w:jc w:val="both"/>
      </w:pPr>
      <w:r>
        <w:rPr>
          <w:rFonts w:ascii="Calibri" w:cs="Calibri" w:eastAsia="Calibri" w:hAnsi="Calibri"/>
          <w:color w:val="1A1A1A"/>
          <w:sz w:val="21"/>
          <w:szCs w:val="21"/>
        </w:rPr>
        <w:t xml:space="preserve">This result reframes ferroptosis induction from a purely cytotoxic strategy into a potential immunotherapy combination — and it raises the corresponding hazard, since T cells and other immune effectors also possess membranes rich in polyunsaturated lipids. Whether a systemically administered GPX4 or FSP1 inhibitor would sensitise the tumour more than the effector compartment is, at present, unresolved.</w:t>
      </w:r>
    </w:p>
    <w:p>
      <w:r>
        <w:br w:type="page"/>
      </w:r>
    </w:p>
    <w:p>
      <w:pPr>
        <w:pStyle w:val="Heading1"/>
        <w:spacing w:after="160" w:before="340"/>
      </w:pPr>
      <w:r>
        <w:rPr>
          <w:rFonts w:ascii="Calibri" w:cs="Calibri" w:eastAsia="Calibri" w:hAnsi="Calibri"/>
          <w:b/>
          <w:bCs/>
          <w:color w:val="1F5C8B"/>
          <w:sz w:val="30"/>
          <w:szCs w:val="30"/>
        </w:rPr>
        <w:t xml:space="preserve">6.  Translational status</w:t>
      </w:r>
    </w:p>
    <w:p>
      <w:pPr>
        <w:pStyle w:val="Heading2"/>
        <w:spacing w:after="120" w:before="250"/>
      </w:pPr>
      <w:r>
        <w:rPr>
          <w:rFonts w:ascii="Calibri" w:cs="Calibri" w:eastAsia="Calibri" w:hAnsi="Calibri"/>
          <w:b/>
          <w:bCs/>
          <w:color w:val="1A1A1A"/>
          <w:sz w:val="24"/>
          <w:szCs w:val="24"/>
        </w:rPr>
        <w:t xml:space="preserve">6.1  The gap between tool compounds and drugs</w:t>
      </w:r>
    </w:p>
    <w:p>
      <w:pPr>
        <w:spacing w:after="140" w:line="300"/>
        <w:jc w:val="both"/>
      </w:pPr>
      <w:r>
        <w:rPr>
          <w:rFonts w:ascii="Calibri" w:cs="Calibri" w:eastAsia="Calibri" w:hAnsi="Calibri"/>
          <w:color w:val="1A1A1A"/>
          <w:sz w:val="21"/>
          <w:szCs w:val="21"/>
        </w:rPr>
        <w:t xml:space="preserve">The reagents that established this biology — erastin, RSL3, ML210, FIN56, iFSP1, icFSP1 — are chemical probes. RSL3 and its congeners are electrophilic chloroacetamides that act by covalent modification of GPX4's selenocysteine, with the selectivity and metabolic-stability liabilities that class implies, and they have poor drug-like properties. No selective GPX4 inhibitor and no selective FSP1 inhibitor has entered clinical evaluation. Consequently, every clinical datum in this field comes from agents that engage the pathway indirectly or incidentally.</w:t>
      </w:r>
    </w:p>
    <w:p>
      <w:pPr>
        <w:pStyle w:val="Heading2"/>
        <w:spacing w:after="120" w:before="250"/>
      </w:pPr>
      <w:r>
        <w:rPr>
          <w:rFonts w:ascii="Calibri" w:cs="Calibri" w:eastAsia="Calibri" w:hAnsi="Calibri"/>
          <w:b/>
          <w:bCs/>
          <w:color w:val="1A1A1A"/>
          <w:sz w:val="24"/>
          <w:szCs w:val="24"/>
        </w:rPr>
        <w:t xml:space="preserve">6.2  The clinical landscape today</w:t>
      </w:r>
    </w:p>
    <w:p>
      <w:pPr>
        <w:spacing w:after="140" w:line="300"/>
        <w:jc w:val="both"/>
      </w:pPr>
      <w:r>
        <w:rPr>
          <w:rFonts w:ascii="Calibri" w:cs="Calibri" w:eastAsia="Calibri" w:hAnsi="Calibri"/>
          <w:color w:val="1A1A1A"/>
          <w:sz w:val="21"/>
          <w:szCs w:val="21"/>
        </w:rPr>
        <w:t xml:space="preserve">Two repurposed agents dominate. Sulfasalazine, an approved anti-inflammatory, inhibits system xc− and therefore depletes glutathione; it is under active investigation in glioblastoma, acute myeloid leukaemia and metastatic colorectal cancer, though it should be noted that several of these trials are motivated by glutamate signalling or symptom control rather than by ferroptosis per se. Brequinar, the DHODH inhibitor implicated by Mao et al. [13], has been evaluated in acute myeloid leukaemia. Eprenetapopt (APR-246), developed as a mutant-p53 reactivator, depletes glutathione as part of its mechanism and has been tested extensively in TP53-mutant myeloid disease and in ovarian cancer. Table 3 lists representative registered studies retrieved from ClinicalTrials.gov.</w:t>
      </w:r>
    </w:p>
    <w:p>
      <w:r>
        <w:br w:type="page"/>
      </w:r>
    </w:p>
    <w:tbl>
      <w:tblPr>
        <w:tblW w:type="dxa" w:w="9360"/>
        <w:tblBorders>
          <w:top w:val="single" w:color="B9C7D3" w:sz="4"/>
          <w:left w:val="single" w:color="B9C7D3" w:sz="4"/>
          <w:bottom w:val="single" w:color="B9C7D3" w:sz="4"/>
          <w:right w:val="single" w:color="B9C7D3" w:sz="4"/>
          <w:insideH w:val="single" w:color="D8E0E7" w:sz="2"/>
          <w:insideV w:val="single" w:color="D8E0E7" w:sz="2"/>
        </w:tblBorders>
      </w:tblPr>
      <w:tblGrid>
        <w:gridCol w:w="1320"/>
        <w:gridCol w:w="1720"/>
        <w:gridCol w:w="1260"/>
        <w:gridCol w:w="840"/>
        <w:gridCol w:w="1440"/>
        <w:gridCol w:w="820"/>
        <w:gridCol w:w="1960"/>
      </w:tblGrid>
      <w:tr>
        <w:trPr>
          <w:tblHeader/>
        </w:trPr>
        <w:tc>
          <w:tcPr>
            <w:tcW w:type="dxa" w:w="132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NCT number</w:t>
            </w:r>
          </w:p>
        </w:tc>
        <w:tc>
          <w:tcPr>
            <w:tcW w:type="dxa" w:w="172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Agent(s)</w:t>
            </w:r>
          </w:p>
        </w:tc>
        <w:tc>
          <w:tcPr>
            <w:tcW w:type="dxa" w:w="126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Setting</w:t>
            </w:r>
          </w:p>
        </w:tc>
        <w:tc>
          <w:tcPr>
            <w:tcW w:type="dxa" w:w="84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Phase</w:t>
            </w:r>
          </w:p>
        </w:tc>
        <w:tc>
          <w:tcPr>
            <w:tcW w:type="dxa" w:w="144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Sponsor</w:t>
            </w:r>
          </w:p>
        </w:tc>
        <w:tc>
          <w:tcPr>
            <w:tcW w:type="dxa" w:w="82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Enrol.</w:t>
            </w:r>
          </w:p>
        </w:tc>
        <w:tc>
          <w:tcPr>
            <w:tcW w:type="dxa" w:w="1960"/>
            <w:shd w:fill="1F5C8B"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Status (registered)</w:t>
            </w:r>
          </w:p>
        </w:tc>
      </w:tr>
      <w:tr>
        <w:tc>
          <w:tcPr>
            <w:tcW w:type="dxa" w:w="13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NCT05664464</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Sulfasalazine, gabapentin, memantine + chemoradiotherapy</w:t>
            </w:r>
          </w:p>
        </w:tc>
        <w:tc>
          <w:tcPr>
            <w:tcW w:type="dxa" w:w="1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Newly diagnosed glioblastoma</w:t>
            </w:r>
          </w:p>
        </w:tc>
        <w:tc>
          <w:tcPr>
            <w:tcW w:type="dxa" w:w="8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1/2</w:t>
            </w:r>
          </w:p>
        </w:tc>
        <w:tc>
          <w:tcPr>
            <w:tcW w:type="dxa" w:w="14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University of Zurich</w:t>
            </w:r>
          </w:p>
        </w:tc>
        <w:tc>
          <w:tcPr>
            <w:tcW w:type="dxa" w:w="8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120</w:t>
            </w:r>
          </w:p>
        </w:tc>
        <w:tc>
          <w:tcPr>
            <w:tcW w:type="dxa" w:w="19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Recruiting; started 2023</w:t>
            </w:r>
          </w:p>
        </w:tc>
      </w:tr>
      <w:tr>
        <w:tc>
          <w:tcPr>
            <w:tcW w:type="dxa" w:w="13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NCT04205357</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Sulfasalazine + gamma knife radiosurgery</w:t>
            </w:r>
          </w:p>
        </w:tc>
        <w:tc>
          <w:tcPr>
            <w:tcW w:type="dxa" w:w="1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Recurrent glioblastoma</w:t>
            </w:r>
          </w:p>
        </w:tc>
        <w:tc>
          <w:tcPr>
            <w:tcW w:type="dxa" w:w="8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w:t>
            </w:r>
          </w:p>
        </w:tc>
        <w:tc>
          <w:tcPr>
            <w:tcW w:type="dxa" w:w="14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Haukeland University Hospital</w:t>
            </w:r>
          </w:p>
        </w:tc>
        <w:tc>
          <w:tcPr>
            <w:tcW w:type="dxa" w:w="8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24</w:t>
            </w:r>
          </w:p>
        </w:tc>
        <w:tc>
          <w:tcPr>
            <w:tcW w:type="dxa" w:w="19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Completed 2022</w:t>
            </w:r>
          </w:p>
        </w:tc>
      </w:tr>
      <w:tr>
        <w:tc>
          <w:tcPr>
            <w:tcW w:type="dxa" w:w="13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NCT05580861</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Sulfasalazine + standard induction (SALMA)</w:t>
            </w:r>
          </w:p>
        </w:tc>
        <w:tc>
          <w:tcPr>
            <w:tcW w:type="dxa" w:w="1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Newly diagnosed AML, age ≥60</w:t>
            </w:r>
          </w:p>
        </w:tc>
        <w:tc>
          <w:tcPr>
            <w:tcW w:type="dxa" w:w="8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1/2</w:t>
            </w:r>
          </w:p>
        </w:tc>
        <w:tc>
          <w:tcPr>
            <w:tcW w:type="dxa" w:w="14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AP-HP, Paris</w:t>
            </w:r>
          </w:p>
        </w:tc>
        <w:tc>
          <w:tcPr>
            <w:tcW w:type="dxa" w:w="8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64</w:t>
            </w:r>
          </w:p>
        </w:tc>
        <w:tc>
          <w:tcPr>
            <w:tcW w:type="dxa" w:w="19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Recruiting; started 2023</w:t>
            </w:r>
          </w:p>
        </w:tc>
      </w:tr>
      <w:tr>
        <w:tc>
          <w:tcPr>
            <w:tcW w:type="dxa" w:w="13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NCT06134388</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Sulfasalazine</w:t>
            </w:r>
          </w:p>
        </w:tc>
        <w:tc>
          <w:tcPr>
            <w:tcW w:type="dxa" w:w="1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Metastatic colorectal cancer</w:t>
            </w:r>
          </w:p>
        </w:tc>
        <w:tc>
          <w:tcPr>
            <w:tcW w:type="dxa" w:w="8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3</w:t>
            </w:r>
          </w:p>
        </w:tc>
        <w:tc>
          <w:tcPr>
            <w:tcW w:type="dxa" w:w="14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Tanta University</w:t>
            </w:r>
          </w:p>
        </w:tc>
        <w:tc>
          <w:tcPr>
            <w:tcW w:type="dxa" w:w="8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50</w:t>
            </w:r>
          </w:p>
        </w:tc>
        <w:tc>
          <w:tcPr>
            <w:tcW w:type="dxa" w:w="19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Recruiting; started 2023</w:t>
            </w:r>
          </w:p>
        </w:tc>
      </w:tr>
      <w:tr>
        <w:tc>
          <w:tcPr>
            <w:tcW w:type="dxa" w:w="13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NCT03760666</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Brequinar (DHODH inhibitor) ± ribavirin</w:t>
            </w:r>
          </w:p>
        </w:tc>
        <w:tc>
          <w:tcPr>
            <w:tcW w:type="dxa" w:w="1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Acute myeloid leukaemia</w:t>
            </w:r>
          </w:p>
        </w:tc>
        <w:tc>
          <w:tcPr>
            <w:tcW w:type="dxa" w:w="8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1b/2a</w:t>
            </w:r>
          </w:p>
        </w:tc>
        <w:tc>
          <w:tcPr>
            <w:tcW w:type="dxa" w:w="14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Clear Creek Bio</w:t>
            </w:r>
          </w:p>
        </w:tc>
        <w:tc>
          <w:tcPr>
            <w:tcW w:type="dxa" w:w="8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17</w:t>
            </w:r>
          </w:p>
        </w:tc>
        <w:tc>
          <w:tcPr>
            <w:tcW w:type="dxa" w:w="19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Terminated</w:t>
            </w:r>
          </w:p>
        </w:tc>
      </w:tr>
      <w:tr>
        <w:tc>
          <w:tcPr>
            <w:tcW w:type="dxa" w:w="13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NCT03072043</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Eprenetapopt (APR-246) + azacitidine</w:t>
            </w:r>
          </w:p>
        </w:tc>
        <w:tc>
          <w:tcPr>
            <w:tcW w:type="dxa" w:w="1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TP53-mutant myeloid neoplasms</w:t>
            </w:r>
          </w:p>
        </w:tc>
        <w:tc>
          <w:tcPr>
            <w:tcW w:type="dxa" w:w="8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1b/2</w:t>
            </w:r>
          </w:p>
        </w:tc>
        <w:tc>
          <w:tcPr>
            <w:tcW w:type="dxa" w:w="14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Moffitt Cancer Center</w:t>
            </w:r>
          </w:p>
        </w:tc>
        <w:tc>
          <w:tcPr>
            <w:tcW w:type="dxa" w:w="8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55</w:t>
            </w:r>
          </w:p>
        </w:tc>
        <w:tc>
          <w:tcPr>
            <w:tcW w:type="dxa" w:w="19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Completed 2019</w:t>
            </w:r>
          </w:p>
        </w:tc>
      </w:tr>
      <w:tr>
        <w:tc>
          <w:tcPr>
            <w:tcW w:type="dxa" w:w="13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NCT04214860</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Eprenetapopt + venetoclax + azacitidine</w:t>
            </w:r>
          </w:p>
        </w:tc>
        <w:tc>
          <w:tcPr>
            <w:tcW w:type="dxa" w:w="1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TP53-mutant myeloid malignancies</w:t>
            </w:r>
          </w:p>
        </w:tc>
        <w:tc>
          <w:tcPr>
            <w:tcW w:type="dxa" w:w="8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w:t>
            </w:r>
          </w:p>
        </w:tc>
        <w:tc>
          <w:tcPr>
            <w:tcW w:type="dxa" w:w="14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Aprea Therapeutics</w:t>
            </w:r>
          </w:p>
        </w:tc>
        <w:tc>
          <w:tcPr>
            <w:tcW w:type="dxa" w:w="8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51</w:t>
            </w:r>
          </w:p>
        </w:tc>
        <w:tc>
          <w:tcPr>
            <w:tcW w:type="dxa" w:w="19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Completed 2022</w:t>
            </w:r>
          </w:p>
        </w:tc>
      </w:tr>
      <w:tr>
        <w:tc>
          <w:tcPr>
            <w:tcW w:type="dxa" w:w="13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NCT02098343</w:t>
            </w:r>
          </w:p>
        </w:tc>
        <w:tc>
          <w:tcPr>
            <w:tcW w:type="dxa" w:w="17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Eprenetapopt + carboplatin / PLD (PiSARRO)</w:t>
            </w:r>
          </w:p>
        </w:tc>
        <w:tc>
          <w:tcPr>
            <w:tcW w:type="dxa" w:w="12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Recurrent high-grade serous ovarian cancer</w:t>
            </w:r>
          </w:p>
        </w:tc>
        <w:tc>
          <w:tcPr>
            <w:tcW w:type="dxa" w:w="8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1b/2</w:t>
            </w:r>
          </w:p>
        </w:tc>
        <w:tc>
          <w:tcPr>
            <w:tcW w:type="dxa" w:w="144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Aprea Therapeutics</w:t>
            </w:r>
          </w:p>
        </w:tc>
        <w:tc>
          <w:tcPr>
            <w:tcW w:type="dxa" w:w="82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247</w:t>
            </w:r>
          </w:p>
        </w:tc>
        <w:tc>
          <w:tcPr>
            <w:tcW w:type="dxa" w:w="196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Completed 2019</w:t>
            </w:r>
          </w:p>
        </w:tc>
      </w:tr>
    </w:tbl>
    <w:p>
      <w:pPr>
        <w:spacing w:after="240" w:before="90" w:line="260"/>
        <w:jc w:val="left"/>
      </w:pPr>
      <w:r>
        <w:rPr>
          <w:rFonts w:ascii="Calibri" w:cs="Calibri" w:eastAsia="Calibri" w:hAnsi="Calibri"/>
          <w:b/>
          <w:bCs/>
          <w:color w:val="1F5C8B"/>
          <w:sz w:val="18"/>
          <w:szCs w:val="18"/>
        </w:rPr>
        <w:t xml:space="preserve">Table 3. </w:t>
      </w:r>
      <w:r>
        <w:rPr>
          <w:rFonts w:ascii="Calibri" w:cs="Calibri" w:eastAsia="Calibri" w:hAnsi="Calibri"/>
          <w:color w:val="555555"/>
          <w:sz w:val="18"/>
          <w:szCs w:val="18"/>
        </w:rPr>
        <w:t xml:space="preserve">Representative registered clinical studies of agents whose mechanisms intersect the ferroptosis pathway, retrieved from the ClinicalTrials.gov registry (NIH/NLM). None of these agents is a selective GPX4 or FSP1 inhibitor, and in several studies ferroptosis is not the stated rationale; the table documents the current clinical surface of the pathway rather than direct clinical validation of ferroptosis induction.</w:t>
      </w:r>
    </w:p>
    <w:p>
      <w:pPr>
        <w:pStyle w:val="Heading2"/>
        <w:spacing w:after="120" w:before="250"/>
      </w:pPr>
      <w:r>
        <w:rPr>
          <w:rFonts w:ascii="Calibri" w:cs="Calibri" w:eastAsia="Calibri" w:hAnsi="Calibri"/>
          <w:b/>
          <w:bCs/>
          <w:color w:val="1A1A1A"/>
          <w:sz w:val="24"/>
          <w:szCs w:val="24"/>
        </w:rPr>
        <w:t xml:space="preserve">6.3  Delivery as an alternative to selectivity</w:t>
      </w:r>
    </w:p>
    <w:p>
      <w:pPr>
        <w:spacing w:after="140" w:line="300"/>
        <w:jc w:val="both"/>
      </w:pPr>
      <w:r>
        <w:rPr>
          <w:rFonts w:ascii="Calibri" w:cs="Calibri" w:eastAsia="Calibri" w:hAnsi="Calibri"/>
          <w:color w:val="1A1A1A"/>
          <w:sz w:val="21"/>
          <w:szCs w:val="21"/>
        </w:rPr>
        <w:t xml:space="preserve">Because the therapeutic window for systemic ferroptosis induction is uncertain, several groups have pursued delivery rather than target selectivity. Gao et al. encapsulated RSL3 in arachidonic-acid-conjugated amphiphilic copolymer micelles designed to release cargo rapidly on free-radical triggering in the tumour microenvironment. In multidrug-resistant human ovarian adenocarcinoma cells the RSL3 micelles were roughly thirty-fold more toxic than activatable control micelles; lipid-peroxidation-induced glutathione depletion amplified the effect; CD133 and ALDH persister biomarkers fell; and the micelles inhibited tumour growth and extended survival in tumour-bearing nude mice with confirmed GPX4 inhibition [18]. This is a reasonable strategy for a target whose inhibition is likely to be poorly tolerated systemically, but nanoparticle delivery introduces its own well-documented translational attrition.</w:t>
      </w:r>
    </w:p>
    <w:p>
      <w:pPr>
        <w:pStyle w:val="Heading1"/>
        <w:spacing w:after="160" w:before="340"/>
      </w:pPr>
      <w:r>
        <w:rPr>
          <w:rFonts w:ascii="Calibri" w:cs="Calibri" w:eastAsia="Calibri" w:hAnsi="Calibri"/>
          <w:b/>
          <w:bCs/>
          <w:color w:val="1F5C8B"/>
          <w:sz w:val="30"/>
          <w:szCs w:val="30"/>
        </w:rPr>
        <w:t xml:space="preserve">7.  Open questions</w:t>
      </w:r>
    </w:p>
    <w:p>
      <w:pPr>
        <w:pStyle w:val="ListParagraph"/>
        <w:numPr>
          <w:ilvl w:val="0"/>
          <w:numId w:val="2"/>
        </w:numPr>
        <w:spacing w:after="90" w:line="290"/>
      </w:pPr>
      <w:r>
        <w:rPr>
          <w:rFonts w:ascii="Calibri" w:cs="Calibri" w:eastAsia="Calibri" w:hAnsi="Calibri"/>
          <w:color w:val="1A1A1A"/>
          <w:sz w:val="21"/>
          <w:szCs w:val="21"/>
        </w:rPr>
        <w:t xml:space="preserve">Which biomarker identifies a ferroptosis-vulnerable residual tumour? Candidate readouts differ in direction across studies — GPX4 is reported as upregulated in colorectal persisters [15] but downregulated in TNBC DTP states [19] — implying that absolute GPX4 level is the wrong measurement. Composite signatures (FSP1-high/vimentin-high [19]; ACSL4 [3]; GCH1 [8]; ZEB1 [4]) or direct lipidomic profiling of residual disease are more likely to be informative, but none has been prospectively qualified.</w:t>
      </w:r>
    </w:p>
    <w:p>
      <w:pPr>
        <w:pStyle w:val="ListParagraph"/>
        <w:numPr>
          <w:ilvl w:val="0"/>
          <w:numId w:val="2"/>
        </w:numPr>
        <w:spacing w:after="90" w:line="290"/>
      </w:pPr>
      <w:r>
        <w:rPr>
          <w:rFonts w:ascii="Calibri" w:cs="Calibri" w:eastAsia="Calibri" w:hAnsi="Calibri"/>
          <w:color w:val="1A1A1A"/>
          <w:sz w:val="21"/>
          <w:szCs w:val="21"/>
        </w:rPr>
        <w:t xml:space="preserve">What is the therapeutic window? GPX4 is essential in several normal tissues, and lipid peroxidation is a general membrane chemistry. Selective GPX4 or FSP1 inhibition has not been demonstrated to be tolerable in humans, and the immune-effector compartment is itself ferroptosis-competent [9].</w:t>
      </w:r>
    </w:p>
    <w:p>
      <w:pPr>
        <w:pStyle w:val="ListParagraph"/>
        <w:numPr>
          <w:ilvl w:val="0"/>
          <w:numId w:val="2"/>
        </w:numPr>
        <w:spacing w:after="90" w:line="290"/>
      </w:pPr>
      <w:r>
        <w:rPr>
          <w:rFonts w:ascii="Calibri" w:cs="Calibri" w:eastAsia="Calibri" w:hAnsi="Calibri"/>
          <w:color w:val="1A1A1A"/>
          <w:sz w:val="21"/>
          <w:szCs w:val="21"/>
        </w:rPr>
        <w:t xml:space="preserve">How should the combination be scheduled? The persister-directed rationale implies sequential administration — debulk first, then eliminate the residual state — but the redundancy data [13,17,19] imply simultaneous dual blockade of two defences. These two requirements are in tension and no clinical schedule has tested either.</w:t>
      </w:r>
    </w:p>
    <w:p>
      <w:pPr>
        <w:pStyle w:val="ListParagraph"/>
        <w:numPr>
          <w:ilvl w:val="0"/>
          <w:numId w:val="2"/>
        </w:numPr>
        <w:spacing w:after="90" w:line="290"/>
      </w:pPr>
      <w:r>
        <w:rPr>
          <w:rFonts w:ascii="Calibri" w:cs="Calibri" w:eastAsia="Calibri" w:hAnsi="Calibri"/>
          <w:color w:val="1A1A1A"/>
          <w:sz w:val="21"/>
          <w:szCs w:val="21"/>
        </w:rPr>
        <w:t xml:space="preserve">Does the microenvironment defeat the strategy at the sites that matter? Lymph is ferroptosis-protective through oleic acid, glutathione and low free iron [10], and lymph nodes are a canonical residual-disease niche. Whether systemic exposure can overcome local protection is untested.</w:t>
      </w:r>
    </w:p>
    <w:p>
      <w:pPr>
        <w:pStyle w:val="ListParagraph"/>
        <w:numPr>
          <w:ilvl w:val="0"/>
          <w:numId w:val="2"/>
        </w:numPr>
        <w:spacing w:after="90" w:line="290"/>
      </w:pPr>
      <w:r>
        <w:rPr>
          <w:rFonts w:ascii="Calibri" w:cs="Calibri" w:eastAsia="Calibri" w:hAnsi="Calibri"/>
          <w:color w:val="1A1A1A"/>
          <w:sz w:val="21"/>
          <w:szCs w:val="21"/>
        </w:rPr>
        <w:t xml:space="preserve">Is persister ferroptotic vulnerability universal or context-conditional? Recent syntheses caution that susceptibility reflects a dynamic metabolic state rather than a fixed property, with lipid-droplet buffering, monounsaturated fatty acid supply, 7-dehydrocholesterol and MBOAT1/2-mediated remodelling all capable of raising the threshold [20,21].</w:t>
      </w:r>
    </w:p>
    <w:p>
      <w:pPr>
        <w:pStyle w:val="ListParagraph"/>
        <w:numPr>
          <w:ilvl w:val="0"/>
          <w:numId w:val="2"/>
        </w:numPr>
        <w:spacing w:after="90" w:line="290"/>
      </w:pPr>
      <w:r>
        <w:rPr>
          <w:rFonts w:ascii="Calibri" w:cs="Calibri" w:eastAsia="Calibri" w:hAnsi="Calibri"/>
          <w:color w:val="1A1A1A"/>
          <w:sz w:val="21"/>
          <w:szCs w:val="21"/>
        </w:rPr>
        <w:t xml:space="preserve">Can ferroptosis induction be combined with immunotherapy productively? The mechanistic coupling through system xc− is established [9], but the correct sequencing, and the risk to T-cell viability, remain undefined.</w:t>
      </w:r>
    </w:p>
    <w:p>
      <w:pPr>
        <w:pStyle w:val="Heading1"/>
        <w:spacing w:after="160" w:before="340"/>
      </w:pPr>
      <w:r>
        <w:rPr>
          <w:rFonts w:ascii="Calibri" w:cs="Calibri" w:eastAsia="Calibri" w:hAnsi="Calibri"/>
          <w:b/>
          <w:bCs/>
          <w:color w:val="1F5C8B"/>
          <w:sz w:val="30"/>
          <w:szCs w:val="30"/>
        </w:rPr>
        <w:t xml:space="preserve">8.  Conclusion</w:t>
      </w:r>
    </w:p>
    <w:p>
      <w:pPr>
        <w:spacing w:after="140" w:line="300"/>
        <w:jc w:val="both"/>
      </w:pPr>
      <w:r>
        <w:rPr>
          <w:rFonts w:ascii="Calibri" w:cs="Calibri" w:eastAsia="Calibri" w:hAnsi="Calibri"/>
          <w:color w:val="1A1A1A"/>
          <w:sz w:val="21"/>
          <w:szCs w:val="21"/>
        </w:rPr>
        <w:t xml:space="preserve">The proposition that drug-tolerant persister cells are selectively vulnerable to ferroptosis is one of the better-supported collateral-vulnerability hypotheses in cancer biology. It rests on independently replicated primary work spanning chemical biology, functional genomics and in vivo pharmacology; it has been reproduced across at least seven tumour lineages using different drugs to generate persisters and different chemical probes to kill them; and it has a coherent mechanistic basis in the lipid metabolism of the mesenchymal state rather than in an unexplained correlation.</w:t>
      </w:r>
    </w:p>
    <w:p>
      <w:pPr>
        <w:spacing w:after="140" w:line="300"/>
        <w:jc w:val="both"/>
      </w:pPr>
      <w:r>
        <w:rPr>
          <w:rFonts w:ascii="Calibri" w:cs="Calibri" w:eastAsia="Calibri" w:hAnsi="Calibri"/>
          <w:color w:val="1A1A1A"/>
          <w:sz w:val="21"/>
          <w:szCs w:val="21"/>
        </w:rPr>
        <w:t xml:space="preserve">What has not been achieved is translation. The field's chemical matter remains at the probe stage; the defence network has proven more redundant and more adaptive than the original single-target framing anticipated; the microenvironment can override cell-intrinsic vulnerability at exactly the anatomical sites where residual disease lives; and no biomarker has been qualified to identify the patients in whom the strategy should work. The most credible near-term path runs through rationally chosen pairs — GPX4 with FSP1 [17,19], or DHODH with system xc− inhibition in GPX4-low disease [13] — deployed against measurable residual disease rather than bulk tumour, with lipidomic and cell-state biomarkers built into the trial from the outset. Whether ferroptosis induction becomes a therapy or remains a productive laboratory tool will be settled by whether that window can be found.</w:t>
      </w:r>
    </w:p>
    <w:p>
      <w:pPr>
        <w:pStyle w:val="Heading1"/>
        <w:spacing w:after="160" w:before="340"/>
      </w:pPr>
      <w:r>
        <w:rPr>
          <w:rFonts w:ascii="Calibri" w:cs="Calibri" w:eastAsia="Calibri" w:hAnsi="Calibri"/>
          <w:b/>
          <w:bCs/>
          <w:color w:val="1F5C8B"/>
          <w:sz w:val="30"/>
          <w:szCs w:val="30"/>
        </w:rPr>
        <w:t xml:space="preserve">References</w:t>
      </w:r>
    </w:p>
    <w:p>
      <w:pPr>
        <w:spacing w:after="110" w:line="280"/>
        <w:ind w:left="460" w:hanging="460"/>
      </w:pPr>
      <w:r>
        <w:rPr>
          <w:rFonts w:ascii="Calibri" w:cs="Calibri" w:eastAsia="Calibri" w:hAnsi="Calibri"/>
          <w:b/>
          <w:bCs/>
          <w:color w:val="1F5C8B"/>
          <w:sz w:val="19"/>
          <w:szCs w:val="19"/>
        </w:rPr>
        <w:t xml:space="preserve">[1]  </w:t>
      </w:r>
      <w:r>
        <w:rPr>
          <w:rFonts w:ascii="Calibri" w:cs="Calibri" w:eastAsia="Calibri" w:hAnsi="Calibri"/>
          <w:color w:val="1A1A1A"/>
          <w:sz w:val="19"/>
          <w:szCs w:val="19"/>
        </w:rPr>
        <w:t xml:space="preserve">Dixon SJ, Lemberg KM, Lamprecht MR, Skouta R, Zaitsev EM, Gleason CE, Patel DN, Bauer AJ, Cantley AM, Yang WS, Morrison B, Stockwell BR. Ferroptosis: an iron-dependent form of nonapoptotic cell death. Cell. 2012;149(5):1060–1072. doi:10.1016/j.cell.2012.03.042  (PMID 22632970)</w:t>
      </w:r>
    </w:p>
    <w:p>
      <w:pPr>
        <w:spacing w:after="110" w:line="280"/>
        <w:ind w:left="460" w:hanging="460"/>
      </w:pPr>
      <w:r>
        <w:rPr>
          <w:rFonts w:ascii="Calibri" w:cs="Calibri" w:eastAsia="Calibri" w:hAnsi="Calibri"/>
          <w:b/>
          <w:bCs/>
          <w:color w:val="1F5C8B"/>
          <w:sz w:val="19"/>
          <w:szCs w:val="19"/>
        </w:rPr>
        <w:t xml:space="preserve">[2]  </w:t>
      </w:r>
      <w:r>
        <w:rPr>
          <w:rFonts w:ascii="Calibri" w:cs="Calibri" w:eastAsia="Calibri" w:hAnsi="Calibri"/>
          <w:color w:val="1A1A1A"/>
          <w:sz w:val="19"/>
          <w:szCs w:val="19"/>
        </w:rPr>
        <w:t xml:space="preserve">Yang WS, SriRamaratnam R, Welsch ME, Shimada K, Skouta R, Viswanathan VS, Cheah JH, Clemons PA, Shamji AF, Clish CB, Brown LM, Girotti AW, Cornish VW, Schreiber SL, Stockwell BR. Regulation of ferroptotic cancer cell death by GPX4. Cell. 2014;156(1–2):317–331. doi:10.1016/j.cell.2013.12.010  (PMID 24439385)</w:t>
      </w:r>
    </w:p>
    <w:p>
      <w:pPr>
        <w:spacing w:after="110" w:line="280"/>
        <w:ind w:left="460" w:hanging="460"/>
      </w:pPr>
      <w:r>
        <w:rPr>
          <w:rFonts w:ascii="Calibri" w:cs="Calibri" w:eastAsia="Calibri" w:hAnsi="Calibri"/>
          <w:b/>
          <w:bCs/>
          <w:color w:val="1F5C8B"/>
          <w:sz w:val="19"/>
          <w:szCs w:val="19"/>
        </w:rPr>
        <w:t xml:space="preserve">[3]  </w:t>
      </w:r>
      <w:r>
        <w:rPr>
          <w:rFonts w:ascii="Calibri" w:cs="Calibri" w:eastAsia="Calibri" w:hAnsi="Calibri"/>
          <w:color w:val="1A1A1A"/>
          <w:sz w:val="19"/>
          <w:szCs w:val="19"/>
        </w:rPr>
        <w:t xml:space="preserve">Doll S, Proneth B, Tyurina YY, Panzilius E, Kobayashi S, Ingold I, Irmler M, Beckers J, Aichler M, Walch A, Prokisch H, Trümbach D, Mao G, Qu F, Bayir H, Füllekrug J, Scheel CH, Wurst W, Schick JA, Kagan VE, Friedmann Angeli JP, Conrad M. ACSL4 dictates ferroptosis sensitivity by shaping cellular lipid composition. Nat Chem Biol. 2017;13(1):91–98. doi:10.1038/nchembio.2239  (PMID 27842070)</w:t>
      </w:r>
    </w:p>
    <w:p>
      <w:pPr>
        <w:spacing w:after="110" w:line="280"/>
        <w:ind w:left="460" w:hanging="460"/>
      </w:pPr>
      <w:r>
        <w:rPr>
          <w:rFonts w:ascii="Calibri" w:cs="Calibri" w:eastAsia="Calibri" w:hAnsi="Calibri"/>
          <w:b/>
          <w:bCs/>
          <w:color w:val="1F5C8B"/>
          <w:sz w:val="19"/>
          <w:szCs w:val="19"/>
        </w:rPr>
        <w:t xml:space="preserve">[4]  </w:t>
      </w:r>
      <w:r>
        <w:rPr>
          <w:rFonts w:ascii="Calibri" w:cs="Calibri" w:eastAsia="Calibri" w:hAnsi="Calibri"/>
          <w:color w:val="1A1A1A"/>
          <w:sz w:val="19"/>
          <w:szCs w:val="19"/>
        </w:rPr>
        <w:t xml:space="preserve">Viswanathan VS, Ryan MJ, Dhruv HD, Gill S, Eichhoff OM, Seashore-Ludlow B, et al. Dependency of a therapy-resistant state of cancer cells on a lipid peroxidase pathway. Nature. 2017;547(7664):453–457. doi:10.1038/nature23007  (PMID 28678785)</w:t>
      </w:r>
    </w:p>
    <w:p>
      <w:pPr>
        <w:spacing w:after="110" w:line="280"/>
        <w:ind w:left="460" w:hanging="460"/>
      </w:pPr>
      <w:r>
        <w:rPr>
          <w:rFonts w:ascii="Calibri" w:cs="Calibri" w:eastAsia="Calibri" w:hAnsi="Calibri"/>
          <w:b/>
          <w:bCs/>
          <w:color w:val="1F5C8B"/>
          <w:sz w:val="19"/>
          <w:szCs w:val="19"/>
        </w:rPr>
        <w:t xml:space="preserve">[5]  </w:t>
      </w:r>
      <w:r>
        <w:rPr>
          <w:rFonts w:ascii="Calibri" w:cs="Calibri" w:eastAsia="Calibri" w:hAnsi="Calibri"/>
          <w:color w:val="1A1A1A"/>
          <w:sz w:val="19"/>
          <w:szCs w:val="19"/>
        </w:rPr>
        <w:t xml:space="preserve">Hangauer MJ, Viswanathan VS, Ryan MJ, Bole D, Eaton JK, Matov A, Galeas J, Dhruv HD, Berens ME, Schreiber SL, McCormick F, McManus MT. Drug-tolerant persister cancer cells are vulnerable to GPX4 inhibition. Nature. 2017;551(7679):247–250. doi:10.1038/nature24297  (PMID 29088702)</w:t>
      </w:r>
    </w:p>
    <w:p>
      <w:pPr>
        <w:spacing w:after="110" w:line="280"/>
        <w:ind w:left="460" w:hanging="460"/>
      </w:pPr>
      <w:r>
        <w:rPr>
          <w:rFonts w:ascii="Calibri" w:cs="Calibri" w:eastAsia="Calibri" w:hAnsi="Calibri"/>
          <w:b/>
          <w:bCs/>
          <w:color w:val="1F5C8B"/>
          <w:sz w:val="19"/>
          <w:szCs w:val="19"/>
        </w:rPr>
        <w:t xml:space="preserve">[6]  </w:t>
      </w:r>
      <w:r>
        <w:rPr>
          <w:rFonts w:ascii="Calibri" w:cs="Calibri" w:eastAsia="Calibri" w:hAnsi="Calibri"/>
          <w:color w:val="1A1A1A"/>
          <w:sz w:val="19"/>
          <w:szCs w:val="19"/>
        </w:rPr>
        <w:t xml:space="preserve">Doll S, Freitas FP, Shah R, Aldrovandi M, da Silva MC, Ingold I, et al. FSP1 is a glutathione-independent ferroptosis suppressor. Nature. 2019;575(7784):693–698. doi:10.1038/s41586-019-1707-0  (PMID 31634899)</w:t>
      </w:r>
    </w:p>
    <w:p>
      <w:pPr>
        <w:spacing w:after="110" w:line="280"/>
        <w:ind w:left="460" w:hanging="460"/>
      </w:pPr>
      <w:r>
        <w:rPr>
          <w:rFonts w:ascii="Calibri" w:cs="Calibri" w:eastAsia="Calibri" w:hAnsi="Calibri"/>
          <w:b/>
          <w:bCs/>
          <w:color w:val="1F5C8B"/>
          <w:sz w:val="19"/>
          <w:szCs w:val="19"/>
        </w:rPr>
        <w:t xml:space="preserve">[7]  </w:t>
      </w:r>
      <w:r>
        <w:rPr>
          <w:rFonts w:ascii="Calibri" w:cs="Calibri" w:eastAsia="Calibri" w:hAnsi="Calibri"/>
          <w:color w:val="1A1A1A"/>
          <w:sz w:val="19"/>
          <w:szCs w:val="19"/>
        </w:rPr>
        <w:t xml:space="preserve">Bersuker K, Hendricks JM, Li Z, Magtanong L, Ford B, Tang PH, Roberts MA, Tong B, Maimone TJ, Zoncu R, Bassik MC, Nomura DK, Dixon SJ, Olzmann JA. The CoQ oxidoreductase FSP1 acts parallel to GPX4 to inhibit ferroptosis. Nature. 2019;575(7784):688–692. doi:10.1038/s41586-019-1705-2  (PMID 31634900)</w:t>
      </w:r>
    </w:p>
    <w:p>
      <w:pPr>
        <w:spacing w:after="110" w:line="280"/>
        <w:ind w:left="460" w:hanging="460"/>
      </w:pPr>
      <w:r>
        <w:rPr>
          <w:rFonts w:ascii="Calibri" w:cs="Calibri" w:eastAsia="Calibri" w:hAnsi="Calibri"/>
          <w:b/>
          <w:bCs/>
          <w:color w:val="1F5C8B"/>
          <w:sz w:val="19"/>
          <w:szCs w:val="19"/>
        </w:rPr>
        <w:t xml:space="preserve">[8]  </w:t>
      </w:r>
      <w:r>
        <w:rPr>
          <w:rFonts w:ascii="Calibri" w:cs="Calibri" w:eastAsia="Calibri" w:hAnsi="Calibri"/>
          <w:color w:val="1A1A1A"/>
          <w:sz w:val="19"/>
          <w:szCs w:val="19"/>
        </w:rPr>
        <w:t xml:space="preserve">Kraft VAN, Bezjian CT, Pfeiffer S, Ringelstetter L, Müller C, Zandkarimi F, et al. GTP cyclohydrolase 1/tetrahydrobiopterin counteract ferroptosis through lipid remodeling. ACS Cent Sci. 2020;6(1):41–53. doi:10.1021/acscentsci.9b01063  (PMID 31989025)</w:t>
      </w:r>
    </w:p>
    <w:p>
      <w:pPr>
        <w:spacing w:after="110" w:line="280"/>
        <w:ind w:left="460" w:hanging="460"/>
      </w:pPr>
      <w:r>
        <w:rPr>
          <w:rFonts w:ascii="Calibri" w:cs="Calibri" w:eastAsia="Calibri" w:hAnsi="Calibri"/>
          <w:b/>
          <w:bCs/>
          <w:color w:val="1F5C8B"/>
          <w:sz w:val="19"/>
          <w:szCs w:val="19"/>
        </w:rPr>
        <w:t xml:space="preserve">[9]  </w:t>
      </w:r>
      <w:r>
        <w:rPr>
          <w:rFonts w:ascii="Calibri" w:cs="Calibri" w:eastAsia="Calibri" w:hAnsi="Calibri"/>
          <w:color w:val="1A1A1A"/>
          <w:sz w:val="19"/>
          <w:szCs w:val="19"/>
        </w:rPr>
        <w:t xml:space="preserve">Wang W, Green M, Choi JE, Gijón M, Kennedy PD, Johnson JK, et al. CD8+ T cells regulate tumour ferroptosis during cancer immunotherapy. Nature. 2019;569(7755):270–274. doi:10.1038/s41586-019-1170-y  (PMID 31043744)</w:t>
      </w:r>
    </w:p>
    <w:p>
      <w:pPr>
        <w:spacing w:after="110" w:line="280"/>
        <w:ind w:left="460" w:hanging="460"/>
      </w:pPr>
      <w:r>
        <w:rPr>
          <w:rFonts w:ascii="Calibri" w:cs="Calibri" w:eastAsia="Calibri" w:hAnsi="Calibri"/>
          <w:b/>
          <w:bCs/>
          <w:color w:val="1F5C8B"/>
          <w:sz w:val="19"/>
          <w:szCs w:val="19"/>
        </w:rPr>
        <w:t xml:space="preserve">[10]  </w:t>
      </w:r>
      <w:r>
        <w:rPr>
          <w:rFonts w:ascii="Calibri" w:cs="Calibri" w:eastAsia="Calibri" w:hAnsi="Calibri"/>
          <w:color w:val="1A1A1A"/>
          <w:sz w:val="19"/>
          <w:szCs w:val="19"/>
        </w:rPr>
        <w:t xml:space="preserve">Ubellacker JM, Tasdogan A, Ramesh V, Shen B, Mitchell EC, Martin-Sandoval MS, Gu Z, McCormick ML, Durham AB, Spitz DR, Zhao Z, Mathews TP, Morrison SJ. Lymph protects metastasizing melanoma cells from ferroptosis. Nature. 2020;585(7823):113–118. doi:10.1038/s41586-020-2623-z  (PMID 32814895)</w:t>
      </w:r>
    </w:p>
    <w:p>
      <w:pPr>
        <w:spacing w:after="110" w:line="280"/>
        <w:ind w:left="460" w:hanging="460"/>
      </w:pPr>
      <w:r>
        <w:rPr>
          <w:rFonts w:ascii="Calibri" w:cs="Calibri" w:eastAsia="Calibri" w:hAnsi="Calibri"/>
          <w:b/>
          <w:bCs/>
          <w:color w:val="1F5C8B"/>
          <w:sz w:val="19"/>
          <w:szCs w:val="19"/>
        </w:rPr>
        <w:t xml:space="preserve">[11]  </w:t>
      </w:r>
      <w:r>
        <w:rPr>
          <w:rFonts w:ascii="Calibri" w:cs="Calibri" w:eastAsia="Calibri" w:hAnsi="Calibri"/>
          <w:color w:val="1A1A1A"/>
          <w:sz w:val="19"/>
          <w:szCs w:val="19"/>
        </w:rPr>
        <w:t xml:space="preserve">Wang Y, Zhao G, Condello S, Huang H, Cardenas H, Tanner EJ, Wei J, Ji Y, Li J, Tan Y, Davuluri RV, Peter ME, Cheng JX, Matei D. Frizzled-7 identifies platinum-tolerant ovarian cancer cells susceptible to ferroptosis. Cancer Res. 2021;81(2):384–399. doi:10.1158/0008-5472.CAN-20-1488  (PMID 33172933)</w:t>
      </w:r>
    </w:p>
    <w:p>
      <w:pPr>
        <w:spacing w:after="110" w:line="280"/>
        <w:ind w:left="460" w:hanging="460"/>
      </w:pPr>
      <w:r>
        <w:rPr>
          <w:rFonts w:ascii="Calibri" w:cs="Calibri" w:eastAsia="Calibri" w:hAnsi="Calibri"/>
          <w:b/>
          <w:bCs/>
          <w:color w:val="1F5C8B"/>
          <w:sz w:val="19"/>
          <w:szCs w:val="19"/>
        </w:rPr>
        <w:t xml:space="preserve">[12]  </w:t>
      </w:r>
      <w:r>
        <w:rPr>
          <w:rFonts w:ascii="Calibri" w:cs="Calibri" w:eastAsia="Calibri" w:hAnsi="Calibri"/>
          <w:color w:val="1A1A1A"/>
          <w:sz w:val="19"/>
          <w:szCs w:val="19"/>
        </w:rPr>
        <w:t xml:space="preserve">You JH, Lee J, Roh JL. Mitochondrial pyruvate carrier 1 regulates ferroptosis in drug-tolerant persister head and neck cancer cells via epithelial-mesenchymal transition. Cancer Lett. 2021;507:40–54. doi:10.1016/j.canlet.2021.03.013  (PMID 33741422)</w:t>
      </w:r>
    </w:p>
    <w:p>
      <w:pPr>
        <w:spacing w:after="110" w:line="280"/>
        <w:ind w:left="460" w:hanging="460"/>
      </w:pPr>
      <w:r>
        <w:rPr>
          <w:rFonts w:ascii="Calibri" w:cs="Calibri" w:eastAsia="Calibri" w:hAnsi="Calibri"/>
          <w:b/>
          <w:bCs/>
          <w:color w:val="1F5C8B"/>
          <w:sz w:val="19"/>
          <w:szCs w:val="19"/>
        </w:rPr>
        <w:t xml:space="preserve">[13]  </w:t>
      </w:r>
      <w:r>
        <w:rPr>
          <w:rFonts w:ascii="Calibri" w:cs="Calibri" w:eastAsia="Calibri" w:hAnsi="Calibri"/>
          <w:color w:val="1A1A1A"/>
          <w:sz w:val="19"/>
          <w:szCs w:val="19"/>
        </w:rPr>
        <w:t xml:space="preserve">Mao C, Liu X, Zhang Y, Lei G, Yan Y, Lee H, Koppula P, Wu S, Zhuang L, Fang B, Poyurovsky MV, Olszewski K, Gan B. DHODH-mediated ferroptosis defence is a targetable vulnerability in cancer. Nature. 2021;593(7860):586–590. doi:10.1038/s41586-021-03539-7  (PMID 33981038)</w:t>
      </w:r>
    </w:p>
    <w:p>
      <w:pPr>
        <w:spacing w:after="110" w:line="280"/>
        <w:ind w:left="460" w:hanging="460"/>
      </w:pPr>
      <w:r>
        <w:rPr>
          <w:rFonts w:ascii="Calibri" w:cs="Calibri" w:eastAsia="Calibri" w:hAnsi="Calibri"/>
          <w:b/>
          <w:bCs/>
          <w:color w:val="1F5C8B"/>
          <w:sz w:val="19"/>
          <w:szCs w:val="19"/>
        </w:rPr>
        <w:t xml:space="preserve">[14]  </w:t>
      </w:r>
      <w:r>
        <w:rPr>
          <w:rFonts w:ascii="Calibri" w:cs="Calibri" w:eastAsia="Calibri" w:hAnsi="Calibri"/>
          <w:color w:val="1A1A1A"/>
          <w:sz w:val="19"/>
          <w:szCs w:val="19"/>
        </w:rPr>
        <w:t xml:space="preserve">Ishida T, Takahashi T, Kurokawa Y, Nishida T, Hirota S, Serada S, Fujimoto M, Naka T, Teranishi R, Saito T, Yamashita K, Tanaka K, Yamamoto K, Makino T, Yamasaki M, Nakajima K, Eguchi H, Doki Y. Targeted therapy for drug-tolerant persister cells after imatinib treatment for gastrointestinal stromal tumours. Br J Cancer. 2021;125(11):1511–1522. doi:10.1038/s41416-021-01566-9  (PMID 34611306)</w:t>
      </w:r>
    </w:p>
    <w:p>
      <w:pPr>
        <w:spacing w:after="110" w:line="280"/>
        <w:ind w:left="460" w:hanging="460"/>
      </w:pPr>
      <w:r>
        <w:rPr>
          <w:rFonts w:ascii="Calibri" w:cs="Calibri" w:eastAsia="Calibri" w:hAnsi="Calibri"/>
          <w:b/>
          <w:bCs/>
          <w:color w:val="1F5C8B"/>
          <w:sz w:val="19"/>
          <w:szCs w:val="19"/>
        </w:rPr>
        <w:t xml:space="preserve">[15]  </w:t>
      </w:r>
      <w:r>
        <w:rPr>
          <w:rFonts w:ascii="Calibri" w:cs="Calibri" w:eastAsia="Calibri" w:hAnsi="Calibri"/>
          <w:color w:val="1A1A1A"/>
          <w:sz w:val="19"/>
          <w:szCs w:val="19"/>
        </w:rPr>
        <w:t xml:space="preserve">Zhang X, Ma Y, Ma J, Yang L, Song Q, Wang H, Lv G. Glutathione peroxidase 4 as a therapeutic target for anti-colorectal cancer drug-tolerant persister cells. Front Oncol. 2022;12:913669. doi:10.3389/fonc.2022.913669  (PMID 35719967)</w:t>
      </w:r>
    </w:p>
    <w:p>
      <w:pPr>
        <w:spacing w:after="110" w:line="280"/>
        <w:ind w:left="460" w:hanging="460"/>
      </w:pPr>
      <w:r>
        <w:rPr>
          <w:rFonts w:ascii="Calibri" w:cs="Calibri" w:eastAsia="Calibri" w:hAnsi="Calibri"/>
          <w:b/>
          <w:bCs/>
          <w:color w:val="1F5C8B"/>
          <w:sz w:val="19"/>
          <w:szCs w:val="19"/>
        </w:rPr>
        <w:t xml:space="preserve">[16]  </w:t>
      </w:r>
      <w:r>
        <w:rPr>
          <w:rFonts w:ascii="Calibri" w:cs="Calibri" w:eastAsia="Calibri" w:hAnsi="Calibri"/>
          <w:color w:val="1A1A1A"/>
          <w:sz w:val="19"/>
          <w:szCs w:val="19"/>
        </w:rPr>
        <w:t xml:space="preserve">Kalkavan H, Chen MJ, Crawford JC, Quarato G, Fitzgerald P, Tait SWG, Goding CR, Green DR. Sublethal cytochrome c release generates drug-tolerant persister cells. Cell. 2022;185(18):3356–3374.e22. doi:10.1016/j.cell.2022.07.025  (PMID 36055199)</w:t>
      </w:r>
    </w:p>
    <w:p>
      <w:pPr>
        <w:spacing w:after="110" w:line="280"/>
        <w:ind w:left="460" w:hanging="460"/>
      </w:pPr>
      <w:r>
        <w:rPr>
          <w:rFonts w:ascii="Calibri" w:cs="Calibri" w:eastAsia="Calibri" w:hAnsi="Calibri"/>
          <w:b/>
          <w:bCs/>
          <w:color w:val="1F5C8B"/>
          <w:sz w:val="19"/>
          <w:szCs w:val="19"/>
        </w:rPr>
        <w:t xml:space="preserve">[17]  </w:t>
      </w:r>
      <w:r>
        <w:rPr>
          <w:rFonts w:ascii="Calibri" w:cs="Calibri" w:eastAsia="Calibri" w:hAnsi="Calibri"/>
          <w:color w:val="1A1A1A"/>
          <w:sz w:val="19"/>
          <w:szCs w:val="19"/>
        </w:rPr>
        <w:t xml:space="preserve">Nakamura T, Hipp C, Santos Dias Mourão A, Borggräfe J, Aldrovandi M, Henkelmann B, Wanninger J, Mishima E, Lytton E, Emler D, Proneth B, Sattler M, Conrad M. Phase separation of FSP1 promotes ferroptosis. Nature. 2023;619(7969):371–377. doi:10.1038/s41586-023-06255-6  (PMID 37380771)</w:t>
      </w:r>
    </w:p>
    <w:p>
      <w:pPr>
        <w:spacing w:after="110" w:line="280"/>
        <w:ind w:left="460" w:hanging="460"/>
      </w:pPr>
      <w:r>
        <w:rPr>
          <w:rFonts w:ascii="Calibri" w:cs="Calibri" w:eastAsia="Calibri" w:hAnsi="Calibri"/>
          <w:b/>
          <w:bCs/>
          <w:color w:val="1F5C8B"/>
          <w:sz w:val="19"/>
          <w:szCs w:val="19"/>
        </w:rPr>
        <w:t xml:space="preserve">[18]  </w:t>
      </w:r>
      <w:r>
        <w:rPr>
          <w:rFonts w:ascii="Calibri" w:cs="Calibri" w:eastAsia="Calibri" w:hAnsi="Calibri"/>
          <w:color w:val="1A1A1A"/>
          <w:sz w:val="19"/>
          <w:szCs w:val="19"/>
        </w:rPr>
        <w:t xml:space="preserve">Gao M, Deng J, Liu F, Fan A, Wang Y, Wu H, Ding D, Kong D, Wang Z, Peer D, Zhao Y. Triggered ferroptotic polymer micelles for reversing multidrug resistance to chemotherapy. Biomaterials. 2019;223:119486. doi:10.1016/j.biomaterials.2019.119486  (PMID 31520887)</w:t>
      </w:r>
    </w:p>
    <w:p>
      <w:pPr>
        <w:spacing w:after="110" w:line="280"/>
        <w:ind w:left="460" w:hanging="460"/>
      </w:pPr>
      <w:r>
        <w:rPr>
          <w:rFonts w:ascii="Calibri" w:cs="Calibri" w:eastAsia="Calibri" w:hAnsi="Calibri"/>
          <w:b/>
          <w:bCs/>
          <w:color w:val="1F5C8B"/>
          <w:sz w:val="19"/>
          <w:szCs w:val="19"/>
        </w:rPr>
        <w:t xml:space="preserve">[19]  </w:t>
      </w:r>
      <w:r>
        <w:rPr>
          <w:rFonts w:ascii="Calibri" w:cs="Calibri" w:eastAsia="Calibri" w:hAnsi="Calibri"/>
          <w:color w:val="1A1A1A"/>
          <w:sz w:val="19"/>
          <w:szCs w:val="19"/>
        </w:rPr>
        <w:t xml:space="preserve">Chaudhary N, Mandal D, Choudhary BS, Patra S, Jain D, Poonia P, et al. Low-GPX4 drives a sustained drug-tolerant persister state in TNBC by a targetable adaptive FSP1 upregulation. Redox Biol. 2025;87:103864. doi:10.1016/j.redox.2025.103864  (PMID 40972157)</w:t>
      </w:r>
    </w:p>
    <w:p>
      <w:pPr>
        <w:spacing w:after="110" w:line="280"/>
        <w:ind w:left="460" w:hanging="460"/>
      </w:pPr>
      <w:r>
        <w:rPr>
          <w:rFonts w:ascii="Calibri" w:cs="Calibri" w:eastAsia="Calibri" w:hAnsi="Calibri"/>
          <w:b/>
          <w:bCs/>
          <w:color w:val="1F5C8B"/>
          <w:sz w:val="19"/>
          <w:szCs w:val="19"/>
        </w:rPr>
        <w:t xml:space="preserve">[20]  </w:t>
      </w:r>
      <w:r>
        <w:rPr>
          <w:rFonts w:ascii="Calibri" w:cs="Calibri" w:eastAsia="Calibri" w:hAnsi="Calibri"/>
          <w:color w:val="1A1A1A"/>
          <w:sz w:val="19"/>
          <w:szCs w:val="19"/>
        </w:rPr>
        <w:t xml:space="preserve">Di Dio A, Smaldone G, Napolitano V, Bertamino A, Gomez-Monterrey IM. Metabolic control of ferroptosis in cancer: lipid dependencies as therapeutic vulnerabilities. Front Oncol. 2026;16:1872103. doi:10.3389/fonc.2026.1872103  (PMID 42564157)</w:t>
      </w:r>
    </w:p>
    <w:p>
      <w:pPr>
        <w:spacing w:after="110" w:line="280"/>
        <w:ind w:left="460" w:hanging="460"/>
      </w:pPr>
      <w:r>
        <w:rPr>
          <w:rFonts w:ascii="Calibri" w:cs="Calibri" w:eastAsia="Calibri" w:hAnsi="Calibri"/>
          <w:b/>
          <w:bCs/>
          <w:color w:val="1F5C8B"/>
          <w:sz w:val="19"/>
          <w:szCs w:val="19"/>
        </w:rPr>
        <w:t xml:space="preserve">[21]  </w:t>
      </w:r>
      <w:r>
        <w:rPr>
          <w:rFonts w:ascii="Calibri" w:cs="Calibri" w:eastAsia="Calibri" w:hAnsi="Calibri"/>
          <w:color w:val="1A1A1A"/>
          <w:sz w:val="19"/>
          <w:szCs w:val="19"/>
        </w:rPr>
        <w:t xml:space="preserve">Liu Y. Metabolic regulation of ferroptosis in cancer: mechanisms, pharmacological inducers, and translational challenges. Apoptosis. 2026;31(6). doi:10.1007/s10495-026-02377-0  (PMID 42213191)</w:t>
      </w:r>
    </w:p>
    <w:p>
      <w:pPr>
        <w:spacing w:before="220"/>
      </w:pPr>
      <w:r>
        <w:rPr>
          <w:rFonts w:ascii="Calibri" w:cs="Calibri" w:eastAsia="Calibri" w:hAnsi="Calibri"/>
          <w:b/>
          <w:bCs/>
          <w:color w:val="1F5C8B"/>
          <w:sz w:val="20"/>
          <w:szCs w:val="20"/>
        </w:rPr>
        <w:t xml:space="preserve">Registry records</w:t>
      </w:r>
    </w:p>
    <w:p>
      <w:pPr>
        <w:spacing w:after="140" w:line="300"/>
        <w:jc w:val="both"/>
      </w:pPr>
      <w:r>
        <w:rPr>
          <w:rFonts w:ascii="Calibri" w:cs="Calibri" w:eastAsia="Calibri" w:hAnsi="Calibri"/>
          <w:color w:val="1A1A1A"/>
          <w:sz w:val="19"/>
          <w:szCs w:val="19"/>
        </w:rPr>
        <w:t xml:space="preserve">Clinical trial records in Table 3 were retrieved from ClinicalTrials.gov (U.S. National Library of Medicine): NCT05664464, NCT04205357, NCT05580861, NCT06134388, NCT03760666, NCT03072043, NCT04214860 and NCT02098343. Each record is accessible at https://clinicaltrials.gov/study/&lt;NCT number&gt;.</w:t>
      </w:r>
    </w:p>
    <w:p>
      <w:pPr>
        <w:pBdr>
          <w:bottom w:val="single" w:color="C9D4DE" w:sz="6" w:space="4"/>
        </w:pBdr>
        <w:spacing w:after="200" w:before="60"/>
      </w:pPr>
      <w:r>
        <w:rPr>
          <w:sz w:val="2"/>
          <w:szCs w:val="2"/>
        </w:rPr>
        <w:t xml:space="preserve"/>
      </w:r>
    </w:p>
    <w:p>
      <w:pPr>
        <w:pStyle w:val="Heading2"/>
        <w:spacing w:after="120" w:before="250"/>
      </w:pPr>
      <w:r>
        <w:rPr>
          <w:rFonts w:ascii="Calibri" w:cs="Calibri" w:eastAsia="Calibri" w:hAnsi="Calibri"/>
          <w:b/>
          <w:bCs/>
          <w:color w:val="1A1A1A"/>
          <w:sz w:val="24"/>
          <w:szCs w:val="24"/>
        </w:rPr>
        <w:t xml:space="preserve">Note on sources and figures</w:t>
      </w:r>
    </w:p>
    <w:p>
      <w:pPr>
        <w:spacing w:after="140" w:line="300"/>
        <w:jc w:val="both"/>
      </w:pPr>
      <w:r>
        <w:rPr>
          <w:rFonts w:ascii="Calibri" w:cs="Calibri" w:eastAsia="Calibri" w:hAnsi="Calibri"/>
          <w:color w:val="1A1A1A"/>
          <w:sz w:val="19"/>
          <w:szCs w:val="19"/>
        </w:rPr>
        <w:t xml:space="preserve">All twenty-one references were retrieved from PubMed and are reproduced with their DOIs and PubMed identifiers; findings attributed to them are drawn from the retrieved records. Clinical trial entries were retrieved from the ClinicalTrials.gov registry. Figures 1 and 2 are original schematics prepared for this review that synthesise mechanisms and concepts from the cited primary literature; they are not reproductions of published figures, and the curves in Figure 2A are illustrative rather than fitted to published data. Tables 1 and 2 were compiled from the cited primary publications; Table 3 was compiled from registry records.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d2a3966093cd7dd98e741ed3a1d79ca70f2b04f.png"/><Relationship Id="rId9" Type="http://schemas.openxmlformats.org/officeDocument/2006/relationships/image" Target="media/dab6bc47d200ce64850f6232a14490f524834a2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Ferroptosis as an Achilles' Heel of Drug-Tolerant Persister Cancer Cells</dc:title>
  <dc:creator>Weekly Bio Science Review</dc:creator>
  <cp:lastModifiedBy>Un-named</cp:lastModifiedBy>
  <cp:revision>1</cp:revision>
  <dcterms:created xsi:type="dcterms:W3CDTF">2026-08-31T12:41:28.522Z</dcterms:created>
  <dcterms:modified xsi:type="dcterms:W3CDTF">2026-08-31T12:41:28.522Z</dcterms:modified>
</cp:coreProperties>
</file>

<file path=docProps/custom.xml><?xml version="1.0" encoding="utf-8"?>
<Properties xmlns="http://schemas.openxmlformats.org/officeDocument/2006/custom-properties" xmlns:vt="http://schemas.openxmlformats.org/officeDocument/2006/docPropsVTypes"/>
</file>