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F8C8D"/>
          <w:spacing w:val="40"/>
          <w:sz w:val="17"/>
          <w:szCs w:val="17"/>
        </w:rPr>
        <w:t xml:space="preserve">REVIEW ARTICLE  ·  NEUROSCIENCE</w:t>
      </w:r>
    </w:p>
    <w:p>
      <w:pPr>
        <w:spacing w:after="100" w:before="60" w:line="300"/>
        <w:jc w:val="center"/>
      </w:pPr>
      <w:r>
        <w:rPr>
          <w:rFonts w:ascii="Calibri" w:cs="Calibri" w:eastAsia="Calibri" w:hAnsi="Calibri"/>
          <w:b/>
          <w:bCs/>
          <w:color w:val="1B4F72"/>
          <w:sz w:val="40"/>
          <w:szCs w:val="40"/>
        </w:rPr>
        <w:t xml:space="preserve">Sleep-Dependent Glymphatic Clearance and Neurodegeneration</w:t>
      </w:r>
    </w:p>
    <w:p>
      <w:pPr>
        <w:spacing w:after="200" w:before="0" w:line="280"/>
        <w:jc w:val="center"/>
      </w:pPr>
      <w:r>
        <w:rPr>
          <w:rFonts w:ascii="Calibri" w:cs="Calibri" w:eastAsia="Calibri" w:hAnsi="Calibri"/>
          <w:i/>
          <w:iCs/>
          <w:color w:val="2E6DA4"/>
          <w:sz w:val="26"/>
          <w:szCs w:val="26"/>
        </w:rPr>
        <w:t xml:space="preserve">Mechanism, Evidence, and a Field-Defining Controversy</w:t>
      </w:r>
    </w:p>
    <w:p>
      <w:pPr>
        <w:pBdr>
          <w:bottom w:val="single" w:color="B9C4CE" w:sz="6" w:space="1"/>
        </w:pBdr>
        <w:spacing w:after="200" w:before="60"/>
      </w:pPr>
      <w:r>
        <w:rPr>
          <w:sz w:val="2"/>
          <w:szCs w:val="2"/>
        </w:rPr>
        <w:t xml:space="preserve"/>
      </w:r>
    </w:p>
    <w:p>
      <w:pPr>
        <w:pStyle w:val="Heading1"/>
        <w:spacing w:after="160" w:before="360"/>
      </w:pPr>
      <w:r>
        <w:rPr>
          <w:rFonts w:ascii="Calibri" w:cs="Calibri" w:eastAsia="Calibri" w:hAnsi="Calibri"/>
          <w:b/>
          <w:bCs/>
          <w:color w:val="1B4F72"/>
          <w:sz w:val="28"/>
          <w:szCs w:val="28"/>
        </w:rPr>
        <w:t xml:space="preserve">Abstract</w:t>
      </w:r>
    </w:p>
    <w:p>
      <w:pPr>
        <w:spacing w:after="140" w:before="0" w:line="276"/>
        <w:jc w:val="both"/>
      </w:pPr>
      <w:r>
        <w:rPr>
          <w:rFonts w:ascii="Calibri" w:cs="Calibri" w:eastAsia="Calibri" w:hAnsi="Calibri"/>
          <w:b w:val="false"/>
          <w:bCs w:val="false"/>
          <w:i w:val="false"/>
          <w:iCs w:val="false"/>
          <w:color w:val="000000"/>
          <w:sz w:val="21"/>
          <w:szCs w:val="21"/>
        </w:rPr>
        <w:t xml:space="preserve">The mammalian brain has no conventional lymphatic vasculature within its parenchyma, yet it must dispose of the soluble proteins and metabolites that accumulate during neural activity. In 2012, Iliff and colleagues described a brain-wide perivascular network — the </w:t>
      </w:r>
      <w:r>
        <w:rPr>
          <w:rFonts w:ascii="Calibri" w:cs="Calibri" w:eastAsia="Calibri" w:hAnsi="Calibri"/>
          <w:b/>
          <w:bCs/>
          <w:i w:val="false"/>
          <w:iCs w:val="false"/>
          <w:color w:val="000000"/>
          <w:sz w:val="21"/>
          <w:szCs w:val="21"/>
        </w:rPr>
        <w:t xml:space="preserve">glymphatic system</w:t>
      </w:r>
      <w:r>
        <w:rPr>
          <w:rFonts w:ascii="Calibri" w:cs="Calibri" w:eastAsia="Calibri" w:hAnsi="Calibri"/>
          <w:b w:val="false"/>
          <w:bCs w:val="false"/>
          <w:i w:val="false"/>
          <w:iCs w:val="false"/>
          <w:color w:val="000000"/>
          <w:sz w:val="21"/>
          <w:szCs w:val="21"/>
        </w:rPr>
        <w:t xml:space="preserve"> — in which cerebrospinal fluid (CSF) enters the brain along periarterial spaces, exchanges with interstitial fluid (ISF) through aquaporin-4 (AQP4) water channels concentrated on astrocytic endfeet, and drains along perivenous routes toward meningeal lymphatic vessels and the deep cervical lymph nodes. One year later, the same group reported that this pathway is strongly sleep-gated: natural sleep and anaesthesia expand the interstitial space by roughly 60% and approximately double the clearance rate of amyloid-β (Aβ). Together these findings offered an unusually satisfying answer to two long-standing questions at once — why the brain sleeps, and why chronically poor sleep tracks with Alzheimer's disease risk.</w:t>
      </w:r>
    </w:p>
    <w:p>
      <w:pPr>
        <w:spacing w:after="160" w:before="0" w:line="276"/>
        <w:jc w:val="both"/>
      </w:pPr>
      <w:r>
        <w:rPr>
          <w:rFonts w:ascii="Calibri" w:cs="Calibri" w:eastAsia="Calibri" w:hAnsi="Calibri"/>
          <w:b w:val="false"/>
          <w:bCs w:val="false"/>
          <w:i w:val="false"/>
          <w:iCs w:val="false"/>
          <w:color w:val="000000"/>
          <w:sz w:val="21"/>
          <w:szCs w:val="21"/>
        </w:rPr>
        <w:t xml:space="preserve">This review reconstructs that argument from primary sources, then examines the serious challenge it now faces. In 2024, Miao, Luo and colleagues measured clearance directly — injecting a small tracer into the brain parenchyma rather than into the CSF — and reported that clearance is markedly </w:t>
      </w:r>
      <w:r>
        <w:rPr>
          <w:rFonts w:ascii="Calibri" w:cs="Calibri" w:eastAsia="Calibri" w:hAnsi="Calibri"/>
          <w:b w:val="false"/>
          <w:bCs w:val="false"/>
          <w:i/>
          <w:iCs/>
          <w:color w:val="000000"/>
          <w:sz w:val="21"/>
          <w:szCs w:val="21"/>
        </w:rPr>
        <w:t xml:space="preserve">reduced</w:t>
      </w:r>
      <w:r>
        <w:rPr>
          <w:rFonts w:ascii="Calibri" w:cs="Calibri" w:eastAsia="Calibri" w:hAnsi="Calibri"/>
          <w:b w:val="false"/>
          <w:bCs w:val="false"/>
          <w:i w:val="false"/>
          <w:iCs w:val="false"/>
          <w:color w:val="000000"/>
          <w:sz w:val="21"/>
          <w:szCs w:val="21"/>
        </w:rPr>
        <w:t xml:space="preserve">, not increased, during both sleep and anaesthesia, with no change in the effective diffusion coefficient across vigilance states. In the same period, Hauglund and colleagues identified norepinephrine-locked slow vasomotion as the pump that drives CSF into the brain during non-REM sleep, and showed that the hypnotic zolpidem suppresses both. We argue that the disagreement is substantially methodological: CSF-tracer experiments and parenchymal-injection experiments measure different quantities, and the field currently lacks a clearance assay that is agreed upon by both camps. We survey the human evidence — Aβ positron emission tomography after sleep deprivation, CSF–blood-oxygen-level-dependent coupling in the Alzheimer's Disease Neuroimaging Initiative cohort, diffusion tensor imaging along the perivascular space — and the emerging therapeutic landscape, which now includes slow-wave-sleep augmentation, AQP4 modulation, meningeal lymphatic regeneration, and deep cervical lymphaticovenous anastomosis. The central open question is no longer whether perivascular transport exists, but whether its modulation by sleep is large enough, and in the right direction, to be causal in human neurodegeneration.</w:t>
      </w:r>
    </w:p>
    <w:p>
      <w:pPr>
        <w:spacing w:after="200" w:before="0" w:line="276"/>
        <w:jc w:val="left"/>
      </w:pPr>
      <w:r>
        <w:rPr>
          <w:rFonts w:ascii="Calibri" w:cs="Calibri" w:eastAsia="Calibri" w:hAnsi="Calibri"/>
          <w:b/>
          <w:bCs/>
          <w:i w:val="false"/>
          <w:iCs w:val="false"/>
          <w:color w:val="000000"/>
          <w:sz w:val="21"/>
          <w:szCs w:val="21"/>
        </w:rPr>
        <w:t xml:space="preserve">Keywords:  </w:t>
      </w:r>
      <w:r>
        <w:rPr>
          <w:rFonts w:ascii="Calibri" w:cs="Calibri" w:eastAsia="Calibri" w:hAnsi="Calibri"/>
          <w:b w:val="false"/>
          <w:bCs w:val="false"/>
          <w:i/>
          <w:iCs/>
          <w:color w:val="000000"/>
          <w:sz w:val="21"/>
          <w:szCs w:val="21"/>
        </w:rPr>
        <w:t xml:space="preserve">glymphatic system · aquaporin-4 · slow-wave sleep · amyloid-β · norepinephrine · meningeal lymphatics · Alzheimer's disease · perivascular space</w:t>
      </w:r>
    </w:p>
    <w:p>
      <w:pPr>
        <w:pBdr>
          <w:bottom w:val="single" w:color="B9C4CE" w:sz="6" w:space="1"/>
        </w:pBdr>
        <w:spacing w:after="200" w:before="60"/>
      </w:pPr>
      <w:r>
        <w:rPr>
          <w:sz w:val="2"/>
          <w:szCs w:val="2"/>
        </w:rPr>
        <w:t xml:space="preserve"/>
      </w:r>
    </w:p>
    <w:p>
      <w:pPr>
        <w:pStyle w:val="Heading1"/>
        <w:spacing w:after="160" w:before="360"/>
      </w:pPr>
      <w:r>
        <w:rPr>
          <w:rFonts w:ascii="Calibri" w:cs="Calibri" w:eastAsia="Calibri" w:hAnsi="Calibri"/>
          <w:b/>
          <w:bCs/>
          <w:color w:val="1B4F72"/>
          <w:sz w:val="28"/>
          <w:szCs w:val="28"/>
        </w:rPr>
        <w:t xml:space="preserve">1.  Introduction: A Brain Without Lymphatics</w:t>
      </w:r>
    </w:p>
    <w:p>
      <w:pPr>
        <w:spacing w:after="120" w:before="0" w:line="276"/>
        <w:jc w:val="both"/>
      </w:pPr>
      <w:r>
        <w:rPr>
          <w:rFonts w:ascii="Calibri" w:cs="Calibri" w:eastAsia="Calibri" w:hAnsi="Calibri"/>
          <w:b w:val="false"/>
          <w:bCs w:val="false"/>
          <w:i w:val="false"/>
          <w:iCs w:val="false"/>
          <w:color w:val="000000"/>
          <w:sz w:val="21"/>
          <w:szCs w:val="21"/>
        </w:rPr>
        <w:t xml:space="preserve">Every organ that performs metabolic work must remove the by-products of that work. In peripheral tissues, transcapillary filtration continuously generates extracellular fluid, which percolates through the interstitium and is collected by lymphatic capillaries. The brain is a conspicuous exception. The blood–brain barrier reduces transcapillary filtration to a minimum, and the parenchyma itself contains no lymphatic vessels. This creates a genuine physiological problem: the brain consumes roughly a fifth of the body's resting oxygen budget and secretes proteins — including amyloid-β and tau — whose accumulation is neurotoxic, yet it appears to lack the drainage architecture that other organs rely on</w:t>
      </w:r>
    </w:p>
    <w:p>
      <w:pPr>
        <w:spacing w:after="120" w:before="0" w:line="276"/>
        <w:jc w:val="both"/>
      </w:pPr>
      <w:r>
        <w:rPr>
          <w:rFonts w:ascii="Calibri" w:cs="Calibri" w:eastAsia="Calibri" w:hAnsi="Calibri"/>
          <w:b w:val="false"/>
          <w:bCs w:val="false"/>
          <w:i w:val="false"/>
          <w:iCs w:val="false"/>
          <w:color w:val="000000"/>
          <w:sz w:val="21"/>
          <w:szCs w:val="21"/>
        </w:rPr>
        <w:t xml:space="preserve">The classical resolution was that solutes leave the brain by diffusion into the CSF, which acts as a sink. Diffusion, however, scales poorly with molecular weight and distance: for a protein the size of Aβ, purely diffusive escape from deep grey matter is slow. The glymphatic hypothesis proposed a faster alternative. Using two-photon imaging of fluorescent tracers in live mice, Iliff and colleagues showed that a substantial fraction of subarachnoid CSF is not merely a static sink but actively cycles </w:t>
      </w:r>
      <w:r>
        <w:rPr>
          <w:rFonts w:ascii="Calibri" w:cs="Calibri" w:eastAsia="Calibri" w:hAnsi="Calibri"/>
          <w:b w:val="false"/>
          <w:bCs w:val="false"/>
          <w:i/>
          <w:iCs/>
          <w:color w:val="000000"/>
          <w:sz w:val="21"/>
          <w:szCs w:val="21"/>
        </w:rPr>
        <w:t xml:space="preserve">through</w:t>
      </w:r>
      <w:r>
        <w:rPr>
          <w:rFonts w:ascii="Calibri" w:cs="Calibri" w:eastAsia="Calibri" w:hAnsi="Calibri"/>
          <w:b w:val="false"/>
          <w:bCs w:val="false"/>
          <w:i w:val="false"/>
          <w:iCs w:val="false"/>
          <w:color w:val="000000"/>
          <w:sz w:val="21"/>
          <w:szCs w:val="21"/>
        </w:rPr>
        <w:t xml:space="preserve"> the brain interstitium, entering along the perivascular spaces that surround penetrating arteries and exiting along perivenous drainage routes [1]. Mice lacking the astrocytic water channel AQP4 showed slowed CSF influx and an approximately 70% reduction in interstitial solute clearance, and deletion of </w:t>
      </w:r>
      <w:r>
        <w:rPr>
          <w:rFonts w:ascii="Calibri" w:cs="Calibri" w:eastAsia="Calibri" w:hAnsi="Calibri"/>
          <w:b w:val="false"/>
          <w:bCs w:val="false"/>
          <w:i/>
          <w:iCs/>
          <w:color w:val="000000"/>
          <w:sz w:val="21"/>
          <w:szCs w:val="21"/>
        </w:rPr>
        <w:t xml:space="preserve">Aqp4</w:t>
      </w:r>
      <w:r>
        <w:rPr>
          <w:rFonts w:ascii="Calibri" w:cs="Calibri" w:eastAsia="Calibri" w:hAnsi="Calibri"/>
          <w:b w:val="false"/>
          <w:bCs w:val="false"/>
          <w:i w:val="false"/>
          <w:iCs w:val="false"/>
          <w:color w:val="000000"/>
          <w:sz w:val="21"/>
          <w:szCs w:val="21"/>
        </w:rPr>
        <w:t xml:space="preserve"> suppressed the clearance of soluble Aβ specifically [1]. The name — a contraction of "glial" and "lymphatic" — reflects the proposal's core claim: that astrocytes perform, for the brain, the job that lymphatics perform elsewhere.</w:t>
      </w:r>
    </w:p>
    <w:p>
      <w:pPr>
        <w:spacing w:after="120" w:before="0" w:line="276"/>
        <w:jc w:val="both"/>
      </w:pPr>
      <w:r>
        <w:rPr>
          <w:rFonts w:ascii="Calibri" w:cs="Calibri" w:eastAsia="Calibri" w:hAnsi="Calibri"/>
          <w:b w:val="false"/>
          <w:bCs w:val="false"/>
          <w:i w:val="false"/>
          <w:iCs w:val="false"/>
          <w:color w:val="000000"/>
          <w:sz w:val="21"/>
          <w:szCs w:val="21"/>
        </w:rPr>
        <w:t xml:space="preserve">The following year, Xie and colleagues added the observation that made the hypothesis famous. Using real-time tetramethylammonium diffusion measurements and two-photon imaging, they reported that natural sleep and anaesthesia are accompanied by a roughly 60% increase in interstitial volume fraction, which in turn increases convective CSF–ISF exchange and approximately doubles the rate of Aβ clearance relative to wakefulness [2]. This gave the field a mechanistic account of why sleep is universally conserved: the brain, on this view, cannot process information and flush itself at the same time, and sleep is the scheduled maintenance window.</w:t>
      </w:r>
    </w:p>
    <w:p>
      <w:pPr>
        <w:spacing w:after="160" w:before="0" w:line="276"/>
        <w:jc w:val="both"/>
      </w:pPr>
      <w:r>
        <w:rPr>
          <w:rFonts w:ascii="Calibri" w:cs="Calibri" w:eastAsia="Calibri" w:hAnsi="Calibri"/>
          <w:b w:val="false"/>
          <w:bCs w:val="false"/>
          <w:i w:val="false"/>
          <w:iCs w:val="false"/>
          <w:color w:val="000000"/>
          <w:sz w:val="21"/>
          <w:szCs w:val="21"/>
        </w:rPr>
        <w:t xml:space="preserve">That framing has been enormously productive and is now embedded in clinical reasoning about dementia risk. It is also, as of 2024, contested at its foundation. The purpose of this review is to lay out the mechanism carefully, present the quantitative evidence on both sides, and be explicit about what remains unresolved.</w:t>
      </w:r>
    </w:p>
    <w:p>
      <w:pPr>
        <w:pStyle w:val="Heading1"/>
        <w:spacing w:after="160" w:before="360"/>
      </w:pPr>
      <w:r>
        <w:rPr>
          <w:rFonts w:ascii="Calibri" w:cs="Calibri" w:eastAsia="Calibri" w:hAnsi="Calibri"/>
          <w:b/>
          <w:bCs/>
          <w:color w:val="1B4F72"/>
          <w:sz w:val="28"/>
          <w:szCs w:val="28"/>
        </w:rPr>
        <w:t xml:space="preserve">2.  Biological Background: Architecture of the Glymphatic Pathway</w:t>
      </w:r>
    </w:p>
    <w:p>
      <w:pPr>
        <w:spacing w:after="120" w:before="0" w:line="276"/>
        <w:jc w:val="both"/>
      </w:pPr>
      <w:r>
        <w:rPr>
          <w:rFonts w:ascii="Calibri" w:cs="Calibri" w:eastAsia="Calibri" w:hAnsi="Calibri"/>
          <w:b w:val="false"/>
          <w:bCs w:val="false"/>
          <w:i w:val="false"/>
          <w:iCs w:val="false"/>
          <w:color w:val="000000"/>
          <w:sz w:val="21"/>
          <w:szCs w:val="21"/>
        </w:rPr>
        <w:t xml:space="preserve">The glymphatic pathway is best understood as three anatomically distinct compartments in series: a periarterial influx route, a parenchymal exchange compartment gated by astrocytes, and a perivenous and meningeal-lymphatic efflux route</w:t>
      </w:r>
    </w:p>
    <w:p>
      <w:pPr>
        <w:pStyle w:val="Heading2"/>
        <w:spacing w:after="120" w:before="260"/>
      </w:pPr>
      <w:r>
        <w:rPr>
          <w:rFonts w:ascii="Calibri" w:cs="Calibri" w:eastAsia="Calibri" w:hAnsi="Calibri"/>
          <w:b/>
          <w:bCs/>
          <w:color w:val="2E6DA4"/>
          <w:sz w:val="24"/>
          <w:szCs w:val="24"/>
        </w:rPr>
        <w:t xml:space="preserve">2.1  The perivascular space as a conduit</w:t>
      </w:r>
    </w:p>
    <w:p>
      <w:pPr>
        <w:spacing w:after="120" w:before="0" w:line="276"/>
        <w:jc w:val="both"/>
      </w:pPr>
      <w:r>
        <w:rPr>
          <w:rFonts w:ascii="Calibri" w:cs="Calibri" w:eastAsia="Calibri" w:hAnsi="Calibri"/>
          <w:b w:val="false"/>
          <w:bCs w:val="false"/>
          <w:i w:val="false"/>
          <w:iCs w:val="false"/>
          <w:color w:val="000000"/>
          <w:sz w:val="21"/>
          <w:szCs w:val="21"/>
        </w:rPr>
        <w:t xml:space="preserve">Perivascular spaces (also called Virchow–Robin spaces) are fluid-filled annular compartments between the outer wall of a cerebral vessel and the sheath of astrocytic endfeet that surrounds it. Their structural integrity depends on laminin and collagen in the vascular basement membrane. High-resolution two-photon imaging demonstrates rapid CSF movement along these periarterial annuli, and tracer studies show macromolecules injected into the CSF migrating from periarterial to perivenous compartments at arteriovenous overlap zones in the leptomeninges [18]. Critically, this is a low-resistance route: fluid entering along an artery can reach deep structures far faster than diffusion through the neuropil would allow.</w:t>
      </w:r>
    </w:p>
    <w:p>
      <w:pPr>
        <w:pStyle w:val="Heading2"/>
        <w:spacing w:after="120" w:before="260"/>
      </w:pPr>
      <w:r>
        <w:rPr>
          <w:rFonts w:ascii="Calibri" w:cs="Calibri" w:eastAsia="Calibri" w:hAnsi="Calibri"/>
          <w:b/>
          <w:bCs/>
          <w:color w:val="2E6DA4"/>
          <w:sz w:val="24"/>
          <w:szCs w:val="24"/>
        </w:rPr>
        <w:t xml:space="preserve">2.2  Aquaporin-4 and astrocytic gating</w:t>
      </w:r>
    </w:p>
    <w:p>
      <w:pPr>
        <w:spacing w:after="120" w:before="0" w:line="276"/>
        <w:jc w:val="both"/>
      </w:pPr>
      <w:r>
        <w:rPr>
          <w:rFonts w:ascii="Calibri" w:cs="Calibri" w:eastAsia="Calibri" w:hAnsi="Calibri"/>
          <w:b w:val="false"/>
          <w:bCs w:val="false"/>
          <w:i w:val="false"/>
          <w:iCs w:val="false"/>
          <w:color w:val="000000"/>
          <w:sz w:val="21"/>
          <w:szCs w:val="21"/>
        </w:rPr>
        <w:t xml:space="preserve">Astrocytic endfeet form a near-continuous sheath around cerebral microvessels, and they express AQP4 in a strikingly polarised pattern — the perivascular pool of AQP4 is roughly 40-fold denser than that on the astrocyte soma [18]. This polarisation creates an osmotic sink at the vessel wall, allowing water to be drawn from the periarterial space into the interstitium and establishing directional bulk flow. The polarisation is not incidental: AQP4 is anchored to the endfoot membrane by the dystrophin-associated protein complex via α-syntrophin and PDZ-domain interactions, stabilised by the F-actin cytoskeleton, and modulated transcriptionally (Wnt/β-catenin), inflammatorily (TNF-α acting through NF-κB), and post-translationally (PKC- and dopamine-mediated Ser180 phosphorylation reduces water permeability) [18].</w:t>
      </w:r>
    </w:p>
    <w:p>
      <w:pPr>
        <w:spacing w:after="120" w:before="0" w:line="276"/>
        <w:jc w:val="both"/>
      </w:pPr>
      <w:r>
        <w:rPr>
          <w:rFonts w:ascii="Calibri" w:cs="Calibri" w:eastAsia="Calibri" w:hAnsi="Calibri"/>
          <w:b w:val="false"/>
          <w:bCs w:val="false"/>
          <w:i w:val="false"/>
          <w:iCs w:val="false"/>
          <w:color w:val="000000"/>
          <w:sz w:val="21"/>
          <w:szCs w:val="21"/>
        </w:rPr>
        <w:t xml:space="preserve">This matters pathologically because AQP4 </w:t>
      </w:r>
      <w:r>
        <w:rPr>
          <w:rFonts w:ascii="Calibri" w:cs="Calibri" w:eastAsia="Calibri" w:hAnsi="Calibri"/>
          <w:b w:val="false"/>
          <w:bCs w:val="false"/>
          <w:i/>
          <w:iCs/>
          <w:color w:val="000000"/>
          <w:sz w:val="21"/>
          <w:szCs w:val="21"/>
        </w:rPr>
        <w:t xml:space="preserve">mislocalisation</w:t>
      </w:r>
      <w:r>
        <w:rPr>
          <w:rFonts w:ascii="Calibri" w:cs="Calibri" w:eastAsia="Calibri" w:hAnsi="Calibri"/>
          <w:b w:val="false"/>
          <w:bCs w:val="false"/>
          <w:i w:val="false"/>
          <w:iCs w:val="false"/>
          <w:color w:val="000000"/>
          <w:sz w:val="21"/>
          <w:szCs w:val="21"/>
        </w:rPr>
        <w:t xml:space="preserve"> — loss of endfoot polarity without necessarily any loss of total protein — is documented in ageing, in Alzheimer's disease, in idiopathic normal pressure hydrocephalus, and in the acute phase after traumatic brain injury [3, 5, 10]. In post-mortem human tissue, the endfoot-to-soma AQP4 expression ratio is reported to be around 40% lower in Alzheimer's disease than in controls, and to correlate inversely with Braak stage [18]. Aβ itself induces AQP4 delocalisation, which is the structural basis for one of the field's most-cited claims: that impaired clearance and protein accumulation form a self-amplifying loop.</w:t>
      </w:r>
    </w:p>
    <w:p>
      <w:pPr>
        <w:pStyle w:val="Heading2"/>
        <w:spacing w:after="120" w:before="260"/>
      </w:pPr>
      <w:r>
        <w:rPr>
          <w:rFonts w:ascii="Calibri" w:cs="Calibri" w:eastAsia="Calibri" w:hAnsi="Calibri"/>
          <w:b/>
          <w:bCs/>
          <w:color w:val="2E6DA4"/>
          <w:sz w:val="24"/>
          <w:szCs w:val="24"/>
        </w:rPr>
        <w:t xml:space="preserve">2.3  Efflux: perivenous drainage and meningeal lymphatics</w:t>
      </w:r>
    </w:p>
    <w:p>
      <w:pPr>
        <w:spacing w:after="60" w:before="0" w:line="276"/>
        <w:jc w:val="both"/>
      </w:pPr>
      <w:r>
        <w:rPr>
          <w:rFonts w:ascii="Calibri" w:cs="Calibri" w:eastAsia="Calibri" w:hAnsi="Calibri"/>
          <w:b w:val="false"/>
          <w:bCs w:val="false"/>
          <w:i w:val="false"/>
          <w:iCs w:val="false"/>
          <w:color w:val="000000"/>
          <w:sz w:val="21"/>
          <w:szCs w:val="21"/>
        </w:rPr>
        <w:t xml:space="preserve">Solute-laden ISF leaves the parenchyma along perivenous spaces and reaches genuine lymphatic vasculature in the dura. Da Mesquita and colleagues showed that meningeal lymphatic vessels drain CSF and ISF macromolecules into the deep cervical lymph nodes in mice; that pharmacological or surgical impairment of these vessels slows both paravascular influx and interstitial efflux and produces cognitive impairment; and that treating aged mice with vascular endothelial growth factor C (VEGF-C) enhances meningeal lymphatic drainage and improves learning and memory [7]. In transgenic amyloidosis models, disrupting meningeal lymphatics promoted Aβ deposition in the meninges — a pattern resembling human meningeal pathology — and aggravated parenchymal Aβ accumulation [7]. Additional efflux routes include the olfactory–cribriform plate pathway and a nasopharyngeal lymphatic plexus draining to retropharyngeal and cervical nodes [18].</w:t>
      </w:r>
    </w:p>
    <w:p>
      <w:pPr>
        <w:spacing w:after="80" w:before="26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67050"/>
                    </a:xfrm>
                    <a:prstGeom prst="rect">
                      <a:avLst/>
                    </a:prstGeom>
                  </pic:spPr>
                </pic:pic>
              </a:graphicData>
            </a:graphic>
          </wp:inline>
        </w:drawing>
      </w:r>
    </w:p>
    <w:p>
      <w:pPr>
        <w:spacing w:after="260" w:before="0"/>
        <w:ind w:left="360" w:right="360"/>
        <w:jc w:val="left"/>
      </w:pPr>
      <w:r>
        <w:rPr>
          <w:rFonts w:ascii="Calibri" w:cs="Calibri" w:eastAsia="Calibri" w:hAnsi="Calibri"/>
          <w:b/>
          <w:bCs/>
          <w:i w:val="false"/>
          <w:iCs w:val="false"/>
          <w:color w:val="3A3A3A"/>
          <w:sz w:val="18"/>
          <w:szCs w:val="18"/>
        </w:rPr>
        <w:t xml:space="preserve">Figure 1. </w:t>
      </w:r>
      <w:r>
        <w:rPr>
          <w:rFonts w:ascii="Calibri" w:cs="Calibri" w:eastAsia="Calibri" w:hAnsi="Calibri"/>
          <w:b w:val="false"/>
          <w:bCs w:val="false"/>
          <w:i/>
          <w:iCs/>
          <w:color w:val="3A3A3A"/>
          <w:sz w:val="18"/>
          <w:szCs w:val="18"/>
        </w:rPr>
        <w:t xml:space="preserve">Architecture of the glymphatic pathway. Cerebrospinal fluid enters the brain along the periarterial space surrounding penetrating arteries, crosses into the interstitium through AQP4 channels concentrated on polarised astrocytic endfeet, mixes convectively with interstitial fluid — carrying soluble amyloid-β, tau and lactate — and exits along perivenous spaces toward meningeal lymphatic vessels and the deep cervical lymph nodes. Influx is driven by arterial pulsation, respiratory pressure oscillations, and norepinephrine-locked slow vasomotion during non-REM sleep. Original schematic prepared for this review, synthesising the anatomical descriptions in Iliff et al. 2012 (Sci Transl Med 4:147ra111), Rasmussen et al. 2022 (Physiol Rev 102:1025–1151) and Ding et al. 2025 (Alzheimers Dement 21:e70709).</w:t>
      </w:r>
    </w:p>
    <w:p>
      <w:pPr>
        <w:pStyle w:val="Heading2"/>
        <w:spacing w:after="120" w:before="260"/>
      </w:pPr>
      <w:r>
        <w:rPr>
          <w:rFonts w:ascii="Calibri" w:cs="Calibri" w:eastAsia="Calibri" w:hAnsi="Calibri"/>
          <w:b/>
          <w:bCs/>
          <w:color w:val="2E6DA4"/>
          <w:sz w:val="24"/>
          <w:szCs w:val="24"/>
        </w:rPr>
        <w:t xml:space="preserve">2.4  What actually drives the flow</w:t>
      </w:r>
    </w:p>
    <w:p>
      <w:pPr>
        <w:spacing w:after="120" w:before="0" w:line="276"/>
        <w:jc w:val="both"/>
      </w:pPr>
      <w:r>
        <w:rPr>
          <w:rFonts w:ascii="Calibri" w:cs="Calibri" w:eastAsia="Calibri" w:hAnsi="Calibri"/>
          <w:b w:val="false"/>
          <w:bCs w:val="false"/>
          <w:i w:val="false"/>
          <w:iCs w:val="false"/>
          <w:color w:val="000000"/>
          <w:sz w:val="21"/>
          <w:szCs w:val="21"/>
        </w:rPr>
        <w:t xml:space="preserve">Three forces are repeatedly implicated. Cardiac-cycle arterial pulsatility is the best established: Iliff and colleagues visualised arterial wall pulsation along penetrating intracortical arteries and showed that internal carotid ligation slows paravascular CSF–ISF exchange while dobutamine accelerates it [18]. Respiration transmits intrathoracic pressure gradients into the cranial cavity and contributes a second oscillation [11, 12]. The third — slow vasomotion — has only recently been characterised, and is discussed in Section 4.</w:t>
      </w:r>
    </w:p>
    <w:p>
      <w:pPr>
        <w:spacing w:after="160" w:before="0" w:line="276"/>
        <w:jc w:val="both"/>
      </w:pPr>
      <w:r>
        <w:rPr>
          <w:rFonts w:ascii="Calibri" w:cs="Calibri" w:eastAsia="Calibri" w:hAnsi="Calibri"/>
          <w:b w:val="false"/>
          <w:bCs w:val="false"/>
          <w:i w:val="false"/>
          <w:iCs w:val="false"/>
          <w:color w:val="000000"/>
          <w:sz w:val="21"/>
          <w:szCs w:val="21"/>
        </w:rPr>
        <w:t xml:space="preserve">The physics is not merely descriptive. Mukherjee and Tithof modelled Aβ clearance as combined diffusion and glymphatic advection, parameterised by the Péclet number (Pe), the ratio of advective to diffusive transport [14]. Coupling this to a Smoluchowski aggregation scheme, they found that for Pe ≳ 1 the accumulation rate of heavy protein aggregates falls exponentially with Pe, and that imposing a sleep–wake variation in flow speed reduces the build-up rate of heavier aggregates by roughly 32% relative to purely diffusive clearance at Pe ≈ 1 [14]. The value of this analysis is that it makes the debate quantitative: whether glymphatic flow matters for pathology depends on whether Pe in real tissue is near 1 or near 0.</w:t>
      </w:r>
    </w:p>
    <w:p>
      <w:pPr>
        <w:pStyle w:val="Heading1"/>
        <w:spacing w:after="160" w:before="360"/>
      </w:pPr>
      <w:r>
        <w:rPr>
          <w:rFonts w:ascii="Calibri" w:cs="Calibri" w:eastAsia="Calibri" w:hAnsi="Calibri"/>
          <w:b/>
          <w:bCs/>
          <w:color w:val="1B4F72"/>
          <w:sz w:val="28"/>
          <w:szCs w:val="28"/>
        </w:rPr>
        <w:t xml:space="preserve">3.  Sleep as the Gate: The Classical Evidence</w:t>
      </w:r>
    </w:p>
    <w:p>
      <w:pPr>
        <w:spacing w:after="120" w:before="0" w:line="276"/>
        <w:jc w:val="both"/>
      </w:pPr>
      <w:r>
        <w:rPr>
          <w:rFonts w:ascii="Calibri" w:cs="Calibri" w:eastAsia="Calibri" w:hAnsi="Calibri"/>
          <w:b w:val="false"/>
          <w:bCs w:val="false"/>
          <w:i w:val="false"/>
          <w:iCs w:val="false"/>
          <w:color w:val="000000"/>
          <w:sz w:val="21"/>
          <w:szCs w:val="21"/>
        </w:rPr>
        <w:t xml:space="preserve">The claim that clearance is sleep-gated rests on several independent lines of evidence, which are worth separating because they are not equally strong.</w:t>
      </w:r>
    </w:p>
    <w:p>
      <w:pPr>
        <w:pStyle w:val="Heading2"/>
        <w:spacing w:after="120" w:before="260"/>
      </w:pPr>
      <w:r>
        <w:rPr>
          <w:rFonts w:ascii="Calibri" w:cs="Calibri" w:eastAsia="Calibri" w:hAnsi="Calibri"/>
          <w:b/>
          <w:bCs/>
          <w:color w:val="2E6DA4"/>
          <w:sz w:val="24"/>
          <w:szCs w:val="24"/>
        </w:rPr>
        <w:t xml:space="preserve">3.1  Rodent tracer and volume measurements</w:t>
      </w:r>
    </w:p>
    <w:p>
      <w:pPr>
        <w:spacing w:after="60" w:before="0" w:line="276"/>
        <w:jc w:val="both"/>
      </w:pPr>
      <w:r>
        <w:rPr>
          <w:rFonts w:ascii="Calibri" w:cs="Calibri" w:eastAsia="Calibri" w:hAnsi="Calibri"/>
          <w:b w:val="false"/>
          <w:bCs w:val="false"/>
          <w:i w:val="false"/>
          <w:iCs w:val="false"/>
          <w:color w:val="000000"/>
          <w:sz w:val="21"/>
          <w:szCs w:val="21"/>
        </w:rPr>
        <w:t xml:space="preserve">Xie and colleagues' finding of a ~60% expansion of interstitial volume during sleep or anaesthesia, with a corresponding two-fold increase in Aβ clearance rate, is the canonical result [2]. Notably, the effect could be reproduced in awake animals by attenuating adrenergic signalling, which was the first hint that noradrenergic tone — not sleep </w:t>
      </w:r>
      <w:r>
        <w:rPr>
          <w:rFonts w:ascii="Calibri" w:cs="Calibri" w:eastAsia="Calibri" w:hAnsi="Calibri"/>
          <w:b w:val="false"/>
          <w:bCs w:val="false"/>
          <w:i/>
          <w:iCs/>
          <w:color w:val="000000"/>
          <w:sz w:val="21"/>
          <w:szCs w:val="21"/>
        </w:rPr>
        <w:t xml:space="preserve">per se</w:t>
      </w:r>
      <w:r>
        <w:rPr>
          <w:rFonts w:ascii="Calibri" w:cs="Calibri" w:eastAsia="Calibri" w:hAnsi="Calibri"/>
          <w:b w:val="false"/>
          <w:bCs w:val="false"/>
          <w:i w:val="false"/>
          <w:iCs w:val="false"/>
          <w:color w:val="000000"/>
          <w:sz w:val="21"/>
          <w:szCs w:val="21"/>
        </w:rPr>
        <w:t xml:space="preserve"> — is the proximate variable [2].</w:t>
      </w:r>
    </w:p>
    <w:p>
      <w:pPr>
        <w:spacing w:after="80" w:before="260"/>
        <w:jc w:val="center"/>
      </w:pPr>
      <w:r>
        <w:drawing>
          <wp:inline distT="0" distB="0" distL="0" distR="0">
            <wp:extent cx="6096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52650"/>
                    </a:xfrm>
                    <a:prstGeom prst="rect">
                      <a:avLst/>
                    </a:prstGeom>
                  </pic:spPr>
                </pic:pic>
              </a:graphicData>
            </a:graphic>
          </wp:inline>
        </w:drawing>
      </w:r>
    </w:p>
    <w:p>
      <w:pPr>
        <w:spacing w:after="260" w:before="0"/>
        <w:ind w:left="360" w:right="360"/>
        <w:jc w:val="left"/>
      </w:pPr>
      <w:r>
        <w:rPr>
          <w:rFonts w:ascii="Calibri" w:cs="Calibri" w:eastAsia="Calibri" w:hAnsi="Calibri"/>
          <w:b/>
          <w:bCs/>
          <w:i w:val="false"/>
          <w:iCs w:val="false"/>
          <w:color w:val="3A3A3A"/>
          <w:sz w:val="18"/>
          <w:szCs w:val="18"/>
        </w:rPr>
        <w:t xml:space="preserve">Figure 2. </w:t>
      </w:r>
      <w:r>
        <w:rPr>
          <w:rFonts w:ascii="Calibri" w:cs="Calibri" w:eastAsia="Calibri" w:hAnsi="Calibri"/>
          <w:b w:val="false"/>
          <w:bCs w:val="false"/>
          <w:i/>
          <w:iCs/>
          <w:color w:val="3A3A3A"/>
          <w:sz w:val="18"/>
          <w:szCs w:val="18"/>
        </w:rPr>
        <w:t xml:space="preserve">Key quantitative results from three landmark studies. (a) Genetic deletion of Aqp4 reduces interstitial solute clearance by approximately 70% relative to wild-type mice (Iliff et al. 2012, Sci Transl Med 4:147ra111). (b) Natural sleep or anaesthesia increases interstitial volume fraction by roughly 60% and approximately doubles the amyloid-β clearance rate (Xie et al. 2013, Science 342:373–377). (c) When a small tracer is injected directly into the caudate putamen rather than the CSF, clearance at peak concentration is 70–80% in awake saline-injected controls and is substantially reduced during natural sleep and under ketamine-xylazine anaesthesia (Miao et al. 2024, Nat Neurosci 27:1046–1050). Panel (c) bars for sleep and anaesthesia are drawn to indicate the reported direction of effect; the source reports reduced clearance without a single summary percentage for each state. Figure rebuilt for this review from values reported in the cited papers.</w:t>
      </w:r>
    </w:p>
    <w:p>
      <w:pPr>
        <w:pStyle w:val="Heading2"/>
        <w:spacing w:after="120" w:before="260"/>
      </w:pPr>
      <w:r>
        <w:rPr>
          <w:rFonts w:ascii="Calibri" w:cs="Calibri" w:eastAsia="Calibri" w:hAnsi="Calibri"/>
          <w:b/>
          <w:bCs/>
          <w:color w:val="2E6DA4"/>
          <w:sz w:val="24"/>
          <w:szCs w:val="24"/>
        </w:rPr>
        <w:t xml:space="preserve">3.2  Human neuroimaging</w:t>
      </w:r>
    </w:p>
    <w:p>
      <w:pPr>
        <w:spacing w:after="120" w:before="0" w:line="276"/>
        <w:jc w:val="both"/>
      </w:pPr>
      <w:r>
        <w:rPr>
          <w:rFonts w:ascii="Calibri" w:cs="Calibri" w:eastAsia="Calibri" w:hAnsi="Calibri"/>
          <w:b w:val="false"/>
          <w:bCs w:val="false"/>
          <w:i w:val="false"/>
          <w:iCs w:val="false"/>
          <w:color w:val="000000"/>
          <w:sz w:val="21"/>
          <w:szCs w:val="21"/>
        </w:rPr>
        <w:t xml:space="preserve">Fultz and colleagues provided the most direct human evidence that CSF motion is coupled to sleep neurophysiology. Using accelerated simultaneous EEG–fMRI, they found that during non-REM sleep the human brain exhibits a coherent, oscillating sequence: neural slow waves are followed by hemodynamic oscillations, which are in turn coupled to large pulses of CSF flow at the fourth ventricle [9]. This is a macroscopic, non-invasive observation of exactly the coupling the glymphatic model predicts, and it does not depend on any injected tracer.</w:t>
      </w:r>
    </w:p>
    <w:p>
      <w:pPr>
        <w:spacing w:after="120" w:before="0" w:line="276"/>
        <w:jc w:val="both"/>
      </w:pPr>
      <w:r>
        <w:rPr>
          <w:rFonts w:ascii="Calibri" w:cs="Calibri" w:eastAsia="Calibri" w:hAnsi="Calibri"/>
          <w:b w:val="false"/>
          <w:bCs w:val="false"/>
          <w:i w:val="false"/>
          <w:iCs w:val="false"/>
          <w:color w:val="000000"/>
          <w:sz w:val="21"/>
          <w:szCs w:val="21"/>
        </w:rPr>
        <w:t xml:space="preserve">Han and colleagues extended this to disease. Analysing multimodal data from the Alzheimer's Disease Neuroimaging Initiative, they showed that the coupling between the global fMRI signal and CSF influx correlates with Alzheimer's-related pathology: with established risk factors, with disease severity, with cortical Aβ burden, and with cognitive decline over two years of follow-up [13]. Shokri-Kojori and colleagues took the interventional approach, imaging 20 healthy adults with </w:t>
      </w:r>
      <w:r>
        <w:rPr>
          <w:rFonts w:ascii="Calibri" w:cs="Calibri" w:eastAsia="Calibri" w:hAnsi="Calibri"/>
          <w:b w:val="false"/>
          <w:bCs w:val="false"/>
          <w:i w:val="false"/>
          <w:iCs w:val="false"/>
          <w:color w:val="000000"/>
          <w:sz w:val="21"/>
          <w:szCs w:val="21"/>
          <w:vertAlign w:val="superscript"/>
        </w:rPr>
        <w:t xml:space="preserve">18</w:t>
      </w:r>
      <w:r>
        <w:rPr>
          <w:rFonts w:ascii="Calibri" w:cs="Calibri" w:eastAsia="Calibri" w:hAnsi="Calibri"/>
          <w:b w:val="false"/>
          <w:bCs w:val="false"/>
          <w:i w:val="false"/>
          <w:iCs w:val="false"/>
          <w:color w:val="000000"/>
          <w:sz w:val="21"/>
          <w:szCs w:val="21"/>
        </w:rPr>
        <w:t xml:space="preserve">F-florbetaben PET after a night of rested sleep and again after a night of total sleep deprivation; a single night of deprivation significantly increased Aβ burden in the right hippocampus and thalamus, and baseline burden in subcortical regions and precuneus was inversely associated with self-reported sleep duration [6].</w:t>
      </w:r>
    </w:p>
    <w:p>
      <w:pPr>
        <w:spacing w:after="160" w:before="0" w:line="276"/>
        <w:jc w:val="both"/>
      </w:pPr>
      <w:r>
        <w:rPr>
          <w:rFonts w:ascii="Calibri" w:cs="Calibri" w:eastAsia="Calibri" w:hAnsi="Calibri"/>
          <w:b w:val="false"/>
          <w:bCs w:val="false"/>
          <w:i w:val="false"/>
          <w:iCs w:val="false"/>
          <w:color w:val="000000"/>
          <w:sz w:val="21"/>
          <w:szCs w:val="21"/>
        </w:rPr>
        <w:t xml:space="preserve">The CSF biochemistry is more equivocal, and honestly so. Ju and colleagues hypothesised that obstructive sleep apnoea would reduce slow-wave activity, impair clearance and raise Aβ. Slow-wave activity did correlate negatively with CSF Aβ40 in controls and was reduced in the apnoea group — but CSF Aβ40 was </w:t>
      </w:r>
      <w:r>
        <w:rPr>
          <w:rFonts w:ascii="Calibri" w:cs="Calibri" w:eastAsia="Calibri" w:hAnsi="Calibri"/>
          <w:b w:val="false"/>
          <w:bCs w:val="false"/>
          <w:i/>
          <w:iCs/>
          <w:color w:val="000000"/>
          <w:sz w:val="21"/>
          <w:szCs w:val="21"/>
        </w:rPr>
        <w:t xml:space="preserve">decreased</w:t>
      </w:r>
      <w:r>
        <w:rPr>
          <w:rFonts w:ascii="Calibri" w:cs="Calibri" w:eastAsia="Calibri" w:hAnsi="Calibri"/>
          <w:b w:val="false"/>
          <w:bCs w:val="false"/>
          <w:i w:val="false"/>
          <w:iCs w:val="false"/>
          <w:color w:val="000000"/>
          <w:sz w:val="21"/>
          <w:szCs w:val="21"/>
        </w:rPr>
        <w:t xml:space="preserve">, not increased, in patients, as were other neuronally derived proteins while total protein was unchanged [4]. The authors' interpretation — that apnoea may alter the interaction between interstitial and cerebrospinal fluid rather than simply raising or lowering Aβ — is a useful caution against reading CSF concentrations as a direct readout of parenchymal clearance.</w:t>
      </w:r>
    </w:p>
    <w:p>
      <w:pPr>
        <w:spacing w:after="100" w:before="260"/>
      </w:pPr>
      <w:r>
        <w:rPr>
          <w:rFonts w:ascii="Calibri" w:cs="Calibri" w:eastAsia="Calibri" w:hAnsi="Calibri"/>
          <w:b/>
          <w:bCs/>
          <w:color w:val="1B4F72"/>
          <w:sz w:val="19"/>
          <w:szCs w:val="19"/>
        </w:rPr>
        <w:t xml:space="preserve">Table 1.  Landmark experimental findings on sleep and brain clearance</w:t>
      </w:r>
    </w:p>
    <w:tbl>
      <w:tblPr>
        <w:tblW w:type="dxa" w:w="9360"/>
        <w:tblBorders>
          <w:top w:val="single" w:color="B9C4CE" w:sz="4"/>
          <w:left w:val="single" w:color="B9C4CE" w:sz="4"/>
          <w:bottom w:val="single" w:color="B9C4CE" w:sz="4"/>
          <w:right w:val="single" w:color="B9C4CE" w:sz="4"/>
          <w:insideH w:val="single" w:color="B9C4CE" w:sz="2"/>
          <w:insideV w:val="single" w:color="B9C4CE" w:sz="2"/>
        </w:tblBorders>
        <w:tblLayout w:type="fixed"/>
      </w:tblPr>
      <w:tblGrid>
        <w:gridCol w:w="1150"/>
        <w:gridCol w:w="1550"/>
        <w:gridCol w:w="1500"/>
        <w:gridCol w:w="3560"/>
        <w:gridCol w:w="1600"/>
      </w:tblGrid>
      <w:tr>
        <w:trPr>
          <w:tblHeader/>
        </w:trPr>
        <w:tc>
          <w:tcPr>
            <w:tcW w:type="dxa" w:w="115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Year</w:t>
            </w:r>
          </w:p>
        </w:tc>
        <w:tc>
          <w:tcPr>
            <w:tcW w:type="dxa" w:w="155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Study</w:t>
            </w:r>
          </w:p>
        </w:tc>
        <w:tc>
          <w:tcPr>
            <w:tcW w:type="dxa" w:w="15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System</w:t>
            </w:r>
          </w:p>
        </w:tc>
        <w:tc>
          <w:tcPr>
            <w:tcW w:type="dxa" w:w="356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Principal finding</w:t>
            </w:r>
          </w:p>
        </w:tc>
        <w:tc>
          <w:tcPr>
            <w:tcW w:type="dxa" w:w="16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Source</w:t>
            </w:r>
          </w:p>
        </w:tc>
      </w:tr>
      <w:tr>
        <w:tc>
          <w:tcPr>
            <w:tcW w:type="dxa" w:w="11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2012</w:t>
            </w:r>
          </w:p>
        </w:tc>
        <w:tc>
          <w:tcPr>
            <w:tcW w:type="dxa" w:w="15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Iliff et al.</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Mouse, two-photon, CSF tracer</w:t>
            </w:r>
          </w:p>
        </w:tc>
        <w:tc>
          <w:tcPr>
            <w:tcW w:type="dxa" w:w="35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CSF enters along periarterial spaces and exits along perivenous routes; Aqp4 deletion slows influx and reduces interstitial solute clearance by ~70%, including soluble Aβ.</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Sci Transl Med 4:147ra111</w:t>
            </w:r>
          </w:p>
        </w:tc>
      </w:tr>
      <w:tr>
        <w:tc>
          <w:tcPr>
            <w:tcW w:type="dxa" w:w="11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2013</w:t>
            </w:r>
          </w:p>
        </w:tc>
        <w:tc>
          <w:tcPr>
            <w:tcW w:type="dxa" w:w="15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Xie et al.</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Mouse, TMA diffusion + two-photon</w:t>
            </w:r>
          </w:p>
        </w:tc>
        <w:tc>
          <w:tcPr>
            <w:tcW w:type="dxa" w:w="35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Sleep or anaesthesia increases interstitial volume fraction ~60% and roughly doubles Aβ clearance; adrenergic blockade mimics the effect in awake animals.</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Science 342:373–377</w:t>
            </w:r>
          </w:p>
        </w:tc>
      </w:tr>
      <w:tr>
        <w:tc>
          <w:tcPr>
            <w:tcW w:type="dxa" w:w="11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2016</w:t>
            </w:r>
          </w:p>
        </w:tc>
        <w:tc>
          <w:tcPr>
            <w:tcW w:type="dxa" w:w="15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Ju et al.</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Human, polysomnography + lumbar puncture</w:t>
            </w:r>
          </w:p>
        </w:tc>
        <w:tc>
          <w:tcPr>
            <w:tcW w:type="dxa" w:w="35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Slow-wave activity correlates negatively with CSF Aβ40 in controls; obstructive sleep apnoea reduces slow-wave activity but also lowers CNS-derived CSF proteins.</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Ann Neurol 80:154–159</w:t>
            </w:r>
          </w:p>
        </w:tc>
      </w:tr>
      <w:tr>
        <w:tc>
          <w:tcPr>
            <w:tcW w:type="dxa" w:w="11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2018</w:t>
            </w:r>
          </w:p>
        </w:tc>
        <w:tc>
          <w:tcPr>
            <w:tcW w:type="dxa" w:w="15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Shokri-Kojori et al.</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Human, 18F-florbetaben PET (n = 20)</w:t>
            </w:r>
          </w:p>
        </w:tc>
        <w:tc>
          <w:tcPr>
            <w:tcW w:type="dxa" w:w="35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One night of total sleep deprivation significantly increases Aβ burden in right hippocampus and thalamus; effect independent of APOE genotype.</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PNAS 115:4483–4488</w:t>
            </w:r>
          </w:p>
        </w:tc>
      </w:tr>
      <w:tr>
        <w:tc>
          <w:tcPr>
            <w:tcW w:type="dxa" w:w="11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2018</w:t>
            </w:r>
          </w:p>
        </w:tc>
        <w:tc>
          <w:tcPr>
            <w:tcW w:type="dxa" w:w="15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Da Mesquita et al.</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Mouse, meningeal lymphatic ablation</w:t>
            </w:r>
          </w:p>
        </w:tc>
        <w:tc>
          <w:tcPr>
            <w:tcW w:type="dxa" w:w="35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Meningeal lymphatics drain CSF/ISF macromolecules to deep cervical nodes; ablation impairs cognition and aggravates Aβ pathology; VEGF-C rescues drainage.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Nature 560:185–191</w:t>
            </w:r>
          </w:p>
        </w:tc>
      </w:tr>
      <w:tr>
        <w:tc>
          <w:tcPr>
            <w:tcW w:type="dxa" w:w="11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2019</w:t>
            </w:r>
          </w:p>
        </w:tc>
        <w:tc>
          <w:tcPr>
            <w:tcW w:type="dxa" w:w="15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Fultz et al.</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Human, simultaneous EEG–fMRI</w:t>
            </w:r>
          </w:p>
        </w:tc>
        <w:tc>
          <w:tcPr>
            <w:tcW w:type="dxa" w:w="35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During non-REM sleep, neural slow waves are followed by hemodynamic oscillations coupled to macroscopic pulses of CSF flow.</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Science 366:628–631</w:t>
            </w:r>
          </w:p>
        </w:tc>
      </w:tr>
      <w:tr>
        <w:tc>
          <w:tcPr>
            <w:tcW w:type="dxa" w:w="11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2021</w:t>
            </w:r>
          </w:p>
        </w:tc>
        <w:tc>
          <w:tcPr>
            <w:tcW w:type="dxa" w:w="15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Han et al.</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Human, ADNI multimodal cohort</w:t>
            </w:r>
          </w:p>
        </w:tc>
        <w:tc>
          <w:tcPr>
            <w:tcW w:type="dxa" w:w="35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Coupling of global fMRI signal to CSF influx correlates with AD risk factors, cortical Aβ, disease severity and 2-year cognitive decline.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PLoS Biol 19:e3001233</w:t>
            </w:r>
          </w:p>
        </w:tc>
      </w:tr>
      <w:tr>
        <w:tc>
          <w:tcPr>
            <w:tcW w:type="dxa" w:w="11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2024</w:t>
            </w:r>
          </w:p>
        </w:tc>
        <w:tc>
          <w:tcPr>
            <w:tcW w:type="dxa" w:w="15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Miao et al.</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Mouse, parenchymal injection + photometry</w:t>
            </w:r>
          </w:p>
        </w:tc>
        <w:tc>
          <w:tcPr>
            <w:tcW w:type="dxa" w:w="35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Brain clearance of a freely diffusing tracer is markedly REDUCED during sleep and anaesthesia; effective diffusion coefficient unchanged (32.1 ± 1.9 μm²·s⁻¹).</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Nat Neurosci 27:1046–1050</w:t>
            </w:r>
          </w:p>
        </w:tc>
      </w:tr>
      <w:tr>
        <w:tc>
          <w:tcPr>
            <w:tcW w:type="dxa" w:w="11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2024</w:t>
            </w:r>
          </w:p>
        </w:tc>
        <w:tc>
          <w:tcPr>
            <w:tcW w:type="dxa" w:w="155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Cankar et al.</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APP/PS1 mouse, EEG + CSF proteomics</w:t>
            </w:r>
          </w:p>
        </w:tc>
        <w:tc>
          <w:tcPr>
            <w:tcW w:type="dxa" w:w="35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After sleep deprivation, APP/PS1 mice fail to restore infraslow norepinephrine oscillations at 24 h, coinciding with cerebral Aβ accumulation and altered CSF protein clearance.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Cell Rep 43:114977</w:t>
            </w:r>
          </w:p>
        </w:tc>
      </w:tr>
      <w:tr>
        <w:tc>
          <w:tcPr>
            <w:tcW w:type="dxa" w:w="11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2025</w:t>
            </w:r>
          </w:p>
        </w:tc>
        <w:tc>
          <w:tcPr>
            <w:tcW w:type="dxa" w:w="155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Hauglund et al.</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Mouse, fibre photometry + optogenetics</w:t>
            </w:r>
          </w:p>
        </w:tc>
        <w:tc>
          <w:tcPr>
            <w:tcW w:type="dxa" w:w="35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Synchronised norepinephrine, cerebral blood volume and CSF oscillations best predict glymphatic clearance in NREM; zolpidem suppresses both oscillations and flow.</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Cell 188:606–622</w:t>
            </w:r>
          </w:p>
        </w:tc>
      </w:tr>
    </w:tbl>
    <w:p>
      <w:pPr>
        <w:spacing w:after="280" w:before="100"/>
        <w:ind w:left="0" w:right="0"/>
      </w:pPr>
      <w:r>
        <w:rPr>
          <w:rFonts w:ascii="Calibri" w:cs="Calibri" w:eastAsia="Calibri" w:hAnsi="Calibri"/>
          <w:i/>
          <w:iCs/>
          <w:color w:val="3A3A3A"/>
          <w:sz w:val="18"/>
          <w:szCs w:val="18"/>
        </w:rPr>
        <w:t xml:space="preserve">Table 1. Chronological summary of the principal experimental results discussed in this review, compiled from the primary sources retrieved via PubMed. Effect sizes are as reported by the original authors.</w:t>
      </w:r>
    </w:p>
    <w:p>
      <w:pPr>
        <w:pStyle w:val="Heading1"/>
        <w:spacing w:after="160" w:before="360"/>
      </w:pPr>
      <w:r>
        <w:rPr>
          <w:rFonts w:ascii="Calibri" w:cs="Calibri" w:eastAsia="Calibri" w:hAnsi="Calibri"/>
          <w:b/>
          <w:bCs/>
          <w:color w:val="1B4F72"/>
          <w:sz w:val="28"/>
          <w:szCs w:val="28"/>
        </w:rPr>
        <w:t xml:space="preserve">4.  The Pump: Norepinephrine-Locked Slow Vasomotion</w:t>
      </w:r>
    </w:p>
    <w:p>
      <w:pPr>
        <w:spacing w:after="120" w:before="0" w:line="276"/>
        <w:jc w:val="both"/>
      </w:pPr>
      <w:r>
        <w:rPr>
          <w:rFonts w:ascii="Calibri" w:cs="Calibri" w:eastAsia="Calibri" w:hAnsi="Calibri"/>
          <w:b w:val="false"/>
          <w:bCs w:val="false"/>
          <w:i w:val="false"/>
          <w:iCs w:val="false"/>
          <w:color w:val="000000"/>
          <w:sz w:val="21"/>
          <w:szCs w:val="21"/>
        </w:rPr>
        <w:t xml:space="preserve">For a decade the glymphatic model had a conspicuous gap: it specified an anatomical route and a permissive state, but not a pump. Arterial pulsation at cardiac frequency is too fast and too low-amplitude to account for the observed net displacement of fluid over centimetre distances.</w:t>
      </w:r>
    </w:p>
    <w:p>
      <w:pPr>
        <w:spacing w:after="120" w:before="0" w:line="276"/>
        <w:jc w:val="both"/>
      </w:pPr>
      <w:r>
        <w:rPr>
          <w:rFonts w:ascii="Calibri" w:cs="Calibri" w:eastAsia="Calibri" w:hAnsi="Calibri"/>
          <w:b w:val="false"/>
          <w:bCs w:val="false"/>
          <w:i w:val="false"/>
          <w:iCs w:val="false"/>
          <w:color w:val="000000"/>
          <w:sz w:val="21"/>
          <w:szCs w:val="21"/>
        </w:rPr>
        <w:t xml:space="preserve">Hauglund and colleagues filled that gap. Combining fibre photometry, optogenetics and CSF-flow measurement in mice, they identified tightly synchronised infraslow oscillations in norepinephrine, cerebral blood volume, and CSF signal as the strongest predictors of glymphatic clearance during non-REM sleep [17]. Optogenetic stimulation of the locus coeruleus produced anti-correlated changes in vasomotion and CSF signal, and directly driving arterial oscillations increased CSF inflow — demonstrating that vasomotion functions as a peristaltic pump. The pharmacological control was the most consequential result: the widely prescribed hypnotic zolpidem suppressed norepinephrine oscillations </w:t>
      </w:r>
      <w:r>
        <w:rPr>
          <w:rFonts w:ascii="Calibri" w:cs="Calibri" w:eastAsia="Calibri" w:hAnsi="Calibri"/>
          <w:b w:val="false"/>
          <w:bCs w:val="false"/>
          <w:i/>
          <w:iCs/>
          <w:color w:val="000000"/>
          <w:sz w:val="21"/>
          <w:szCs w:val="21"/>
        </w:rPr>
        <w:t xml:space="preserve">and</w:t>
      </w:r>
      <w:r>
        <w:rPr>
          <w:rFonts w:ascii="Calibri" w:cs="Calibri" w:eastAsia="Calibri" w:hAnsi="Calibri"/>
          <w:b w:val="false"/>
          <w:bCs w:val="false"/>
          <w:i w:val="false"/>
          <w:iCs w:val="false"/>
          <w:color w:val="000000"/>
          <w:sz w:val="21"/>
          <w:szCs w:val="21"/>
        </w:rPr>
        <w:t xml:space="preserve"> glymphatic flow, even though it produces electroencephalographically deeper sleep [17].</w:t>
      </w:r>
    </w:p>
    <w:p>
      <w:pPr>
        <w:spacing w:after="120" w:before="0" w:line="276"/>
        <w:jc w:val="both"/>
      </w:pPr>
      <w:r>
        <w:rPr>
          <w:rFonts w:ascii="Calibri" w:cs="Calibri" w:eastAsia="Calibri" w:hAnsi="Calibri"/>
          <w:b w:val="false"/>
          <w:bCs w:val="false"/>
          <w:i w:val="false"/>
          <w:iCs w:val="false"/>
          <w:color w:val="000000"/>
          <w:sz w:val="21"/>
          <w:szCs w:val="21"/>
        </w:rPr>
        <w:t xml:space="preserve">This reframes the whole question. What matters is not sleep as scored by EEG but the micro-architectural organisation of non-REM sleep — the infraslow noradrenergic fluctuation that alternates between micro-arousal and deep descent, and that mechanically works the arterial wall. Cankar and colleagues showed the disease relevance directly: after seven hours of sleep deprivation, both wild-type and APP/PS1 mice increased EEG slow-wave activity, but only wild-type animals increased the power of infraslow norepinephrine oscillations. The APP/PS1 mice failed to restore these oscillations 24 hours after deprivation, and this failure coincided with cerebral Aβ accumulation and, on CSF and extracellular-fluid proteomics, with altered protein clearance [16].</w:t>
      </w:r>
    </w:p>
    <w:p>
      <w:pPr>
        <w:spacing w:after="160" w:before="0" w:line="276"/>
        <w:jc w:val="both"/>
      </w:pPr>
      <w:r>
        <w:rPr>
          <w:rFonts w:ascii="Calibri" w:cs="Calibri" w:eastAsia="Calibri" w:hAnsi="Calibri"/>
          <w:b w:val="false"/>
          <w:bCs w:val="false"/>
          <w:i w:val="false"/>
          <w:iCs w:val="false"/>
          <w:color w:val="000000"/>
          <w:sz w:val="21"/>
          <w:szCs w:val="21"/>
        </w:rPr>
        <w:t xml:space="preserve">The clinical implication is uncomfortable and worth stating plainly: a sedative that flattens the EEG into apparent deep sleep may not deliver the physiological benefit that natural deep sleep does, and might suppress it. This has not been tested in humans, and no clinical recommendation should be drawn from a single rodent study — but it is a testable prediction, and it is the kind of prediction that distinguishes a mechanistic model from a correlation.</w:t>
      </w:r>
    </w:p>
    <w:p>
      <w:pPr>
        <w:pStyle w:val="Heading1"/>
        <w:spacing w:after="160" w:before="360"/>
      </w:pPr>
      <w:r>
        <w:rPr>
          <w:rFonts w:ascii="Calibri" w:cs="Calibri" w:eastAsia="Calibri" w:hAnsi="Calibri"/>
          <w:b/>
          <w:bCs/>
          <w:color w:val="1B4F72"/>
          <w:sz w:val="28"/>
          <w:szCs w:val="28"/>
        </w:rPr>
        <w:t xml:space="preserve">5.  The Controversy: Does Sleep Increase or Decrease Clearance?</w:t>
      </w:r>
    </w:p>
    <w:p>
      <w:pPr>
        <w:spacing w:after="120" w:before="0" w:line="276"/>
        <w:jc w:val="both"/>
      </w:pPr>
      <w:r>
        <w:rPr>
          <w:rFonts w:ascii="Calibri" w:cs="Calibri" w:eastAsia="Calibri" w:hAnsi="Calibri"/>
          <w:b w:val="false"/>
          <w:bCs w:val="false"/>
          <w:i w:val="false"/>
          <w:iCs w:val="false"/>
          <w:color w:val="000000"/>
          <w:sz w:val="21"/>
          <w:szCs w:val="21"/>
        </w:rPr>
        <w:t xml:space="preserve">In May 2024, Miao, Luo and colleagues published a direct challenge in </w:t>
      </w:r>
      <w:r>
        <w:rPr>
          <w:rFonts w:ascii="Calibri" w:cs="Calibri" w:eastAsia="Calibri" w:hAnsi="Calibri"/>
          <w:b w:val="false"/>
          <w:bCs w:val="false"/>
          <w:i/>
          <w:iCs/>
          <w:color w:val="000000"/>
          <w:sz w:val="21"/>
          <w:szCs w:val="21"/>
        </w:rPr>
        <w:t xml:space="preserve">Nature Neuroscience</w:t>
      </w:r>
      <w:r>
        <w:rPr>
          <w:rFonts w:ascii="Calibri" w:cs="Calibri" w:eastAsia="Calibri" w:hAnsi="Calibri"/>
          <w:b w:val="false"/>
          <w:bCs w:val="false"/>
          <w:i w:val="false"/>
          <w:iCs w:val="false"/>
          <w:color w:val="000000"/>
          <w:sz w:val="21"/>
          <w:szCs w:val="21"/>
        </w:rPr>
        <w:t xml:space="preserve"> [15]. Their argument is methodological before it is empirical, and it deserves to be presented on its own terms.</w:t>
      </w:r>
    </w:p>
    <w:p>
      <w:pPr>
        <w:pStyle w:val="Heading2"/>
        <w:spacing w:after="120" w:before="260"/>
      </w:pPr>
      <w:r>
        <w:rPr>
          <w:rFonts w:ascii="Calibri" w:cs="Calibri" w:eastAsia="Calibri" w:hAnsi="Calibri"/>
          <w:b/>
          <w:bCs/>
          <w:color w:val="2E6DA4"/>
          <w:sz w:val="24"/>
          <w:szCs w:val="24"/>
        </w:rPr>
        <w:t xml:space="preserve">5.1  The measurement problem</w:t>
      </w:r>
    </w:p>
    <w:p>
      <w:pPr>
        <w:spacing w:after="60" w:before="0" w:line="276"/>
        <w:jc w:val="both"/>
      </w:pPr>
      <w:r>
        <w:rPr>
          <w:rFonts w:ascii="Calibri" w:cs="Calibri" w:eastAsia="Calibri" w:hAnsi="Calibri"/>
          <w:b w:val="false"/>
          <w:bCs w:val="false"/>
          <w:i w:val="false"/>
          <w:iCs w:val="false"/>
          <w:color w:val="000000"/>
          <w:sz w:val="21"/>
          <w:szCs w:val="21"/>
        </w:rPr>
        <w:t xml:space="preserve">Nearly all experiments interpreted as showing sleep-enhanced clearance introduce a tracer into the CSF — typically via the cisterna magna — and then measure how much of it appears in the parenchyma. The finding is that more tracer penetrates the cortex during sleep and anaesthesia. Miao and colleagues point out that the concentration of tracer in any brain region is the difference between its rate of arrival and its rate of departure. Greater penetration during sleep is therefore equally consistent with </w:t>
      </w:r>
      <w:r>
        <w:rPr>
          <w:rFonts w:ascii="Calibri" w:cs="Calibri" w:eastAsia="Calibri" w:hAnsi="Calibri"/>
          <w:b/>
          <w:bCs/>
          <w:i w:val="false"/>
          <w:iCs w:val="false"/>
          <w:color w:val="000000"/>
          <w:sz w:val="21"/>
          <w:szCs w:val="21"/>
        </w:rPr>
        <w:t xml:space="preserve">reduced clearance</w:t>
      </w:r>
      <w:r>
        <w:rPr>
          <w:rFonts w:ascii="Calibri" w:cs="Calibri" w:eastAsia="Calibri" w:hAnsi="Calibri"/>
          <w:b w:val="false"/>
          <w:bCs w:val="false"/>
          <w:i w:val="false"/>
          <w:iCs w:val="false"/>
          <w:color w:val="000000"/>
          <w:sz w:val="21"/>
          <w:szCs w:val="21"/>
        </w:rPr>
        <w:t xml:space="preserve"> as with increased entry. Under the CSF-injection design, entry, exit and redistribution occur simultaneously, which confounds any quantification of clearance [15].</w:t>
      </w:r>
    </w:p>
    <w:p>
      <w:pPr>
        <w:spacing w:after="80" w:before="26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05100"/>
                    </a:xfrm>
                    <a:prstGeom prst="rect">
                      <a:avLst/>
                    </a:prstGeom>
                  </pic:spPr>
                </pic:pic>
              </a:graphicData>
            </a:graphic>
          </wp:inline>
        </w:drawing>
      </w:r>
    </w:p>
    <w:p>
      <w:pPr>
        <w:spacing w:after="260" w:before="0"/>
        <w:ind w:left="360" w:right="360"/>
        <w:jc w:val="left"/>
      </w:pPr>
      <w:r>
        <w:rPr>
          <w:rFonts w:ascii="Calibri" w:cs="Calibri" w:eastAsia="Calibri" w:hAnsi="Calibri"/>
          <w:b/>
          <w:bCs/>
          <w:i w:val="false"/>
          <w:iCs w:val="false"/>
          <w:color w:val="3A3A3A"/>
          <w:sz w:val="18"/>
          <w:szCs w:val="18"/>
        </w:rPr>
        <w:t xml:space="preserve">Figure 3. </w:t>
      </w:r>
      <w:r>
        <w:rPr>
          <w:rFonts w:ascii="Calibri" w:cs="Calibri" w:eastAsia="Calibri" w:hAnsi="Calibri"/>
          <w:b w:val="false"/>
          <w:bCs w:val="false"/>
          <w:i/>
          <w:iCs/>
          <w:color w:val="3A3A3A"/>
          <w:sz w:val="18"/>
          <w:szCs w:val="18"/>
        </w:rPr>
        <w:t xml:space="preserve">Two experimental paradigms, two opposite conclusions. (A) In the CSF-tracer influx paradigm, a fluorescent tracer is delivered to the cisterna magna and its accumulation in the parenchyma is measured; more tracer is seen during sleep. Because entry, exit and redistribution proceed simultaneously, this result is compatible with either increased influx or decreased efflux. (B) In the parenchymal-injection paradigm of Miao et al., a small freely diffusing dye (AF488, ~570 Da) is injected into the caudate putamen and its arrival is recorded by fibre photometry in frontal cortex; net clearance can then be separated from spread. Under this design, clearance falls during sleep and anaesthesia, while the effective diffusion coefficient is unchanged at 32.1 ± 1.9 μm²·s⁻¹ across all vigilance states. Schematic prepared for this review from the methods described in Miao et al. 2024 (Nat Neurosci 27:1046–1050).</w:t>
      </w:r>
    </w:p>
    <w:p>
      <w:pPr>
        <w:pStyle w:val="Heading2"/>
        <w:spacing w:after="120" w:before="260"/>
      </w:pPr>
      <w:r>
        <w:rPr>
          <w:rFonts w:ascii="Calibri" w:cs="Calibri" w:eastAsia="Calibri" w:hAnsi="Calibri"/>
          <w:b/>
          <w:bCs/>
          <w:color w:val="2E6DA4"/>
          <w:sz w:val="24"/>
          <w:szCs w:val="24"/>
        </w:rPr>
        <w:t xml:space="preserve">5.2  What Miao and colleagues measured</w:t>
      </w:r>
    </w:p>
    <w:p>
      <w:pPr>
        <w:spacing w:after="120" w:before="0" w:line="276"/>
        <w:jc w:val="both"/>
      </w:pPr>
      <w:r>
        <w:rPr>
          <w:rFonts w:ascii="Calibri" w:cs="Calibri" w:eastAsia="Calibri" w:hAnsi="Calibri"/>
          <w:b w:val="false"/>
          <w:bCs w:val="false"/>
          <w:i w:val="false"/>
          <w:iCs w:val="false"/>
          <w:color w:val="000000"/>
          <w:sz w:val="21"/>
          <w:szCs w:val="21"/>
        </w:rPr>
        <w:t xml:space="preserve">The authors used two complementary approaches in male C57BL/6J mice. First, they measured the effective diffusion coefficient of 4 kDa FITC-dextran in vivo by photobleaching a small cortical volume and recording fluorescence recovery, having validated the method against agarose "brain phantom" gels matched for optical scattering and absorption. Across all vigilance states — wake, natural sleep, and dexmedetomidine sedation — and across the day–night cycle, the diffusion coefficient was statistically indistinguishable, with a mean of 32.1 ± 1.9 μm²·s⁻¹ (n = 52), corresponding to a tortuosity of about 2.5, consistent with published values for rodent neocortex [15]. From separate in vitro calibration they estimate they could have detected a change in bulk flow greater than 0.5 μm·s⁻¹ between states.</w:t>
      </w:r>
    </w:p>
    <w:p>
      <w:pPr>
        <w:spacing w:after="120" w:before="0" w:line="276"/>
        <w:jc w:val="both"/>
      </w:pPr>
      <w:r>
        <w:rPr>
          <w:rFonts w:ascii="Calibri" w:cs="Calibri" w:eastAsia="Calibri" w:hAnsi="Calibri"/>
          <w:b w:val="false"/>
          <w:bCs w:val="false"/>
          <w:i w:val="false"/>
          <w:iCs w:val="false"/>
          <w:color w:val="000000"/>
          <w:sz w:val="21"/>
          <w:szCs w:val="21"/>
        </w:rPr>
        <w:t xml:space="preserve">Second, they measured clearance itself by injecting a small dye (AF488, ~570 Da) into the caudate putamen and recording the complete time course of its arrival in frontal cortex. Fitting the spread to a Gaussian source with an exponential clearance term, they found that in saline-injected awake controls, clearance at the concentration peak (2–3 hours) was 70–80% — confirming that normal clearance mechanisms were intact. Clearance was substantially reduced under dexmedetomidine, ketamine-xylazine and pentobarbital, and also during natural recovery sleep compared with enforced wakefulness in the same animals a week apart. Histology at 3 and 5 hours confirmed higher retained dye concentrations during sleep and anaesthesia. There was a weak negative correlation between peak clearance and EEG delta power: the deeper the sleep, the lower the clearance [15].</w:t>
      </w:r>
    </w:p>
    <w:p>
      <w:pPr>
        <w:pStyle w:val="Heading2"/>
        <w:spacing w:after="120" w:before="260"/>
      </w:pPr>
      <w:r>
        <w:rPr>
          <w:rFonts w:ascii="Calibri" w:cs="Calibri" w:eastAsia="Calibri" w:hAnsi="Calibri"/>
          <w:b/>
          <w:bCs/>
          <w:color w:val="2E6DA4"/>
          <w:sz w:val="24"/>
          <w:szCs w:val="24"/>
        </w:rPr>
        <w:t xml:space="preserve">5.3  How the two accounts might be reconciled</w:t>
      </w:r>
    </w:p>
    <w:p>
      <w:pPr>
        <w:spacing w:after="120" w:before="0" w:line="276"/>
        <w:jc w:val="both"/>
      </w:pPr>
      <w:r>
        <w:rPr>
          <w:rFonts w:ascii="Calibri" w:cs="Calibri" w:eastAsia="Calibri" w:hAnsi="Calibri"/>
          <w:b w:val="false"/>
          <w:bCs w:val="false"/>
          <w:i w:val="false"/>
          <w:iCs w:val="false"/>
          <w:color w:val="000000"/>
          <w:sz w:val="21"/>
          <w:szCs w:val="21"/>
        </w:rPr>
        <w:t xml:space="preserve">Several possibilities remain open, and the honest position is that none has been decisively established.</w:t>
      </w:r>
    </w:p>
    <w:p>
      <w:pPr>
        <w:spacing w:after="120" w:before="0" w:line="276"/>
        <w:jc w:val="both"/>
      </w:pPr>
      <w:r>
        <w:rPr>
          <w:rFonts w:ascii="Calibri" w:cs="Calibri" w:eastAsia="Calibri" w:hAnsi="Calibri"/>
          <w:b/>
          <w:bCs/>
          <w:i w:val="false"/>
          <w:iCs w:val="false"/>
          <w:color w:val="000000"/>
          <w:sz w:val="21"/>
          <w:szCs w:val="21"/>
        </w:rPr>
        <w:t xml:space="preserve">Molecular size. </w:t>
      </w:r>
      <w:r>
        <w:rPr>
          <w:rFonts w:ascii="Calibri" w:cs="Calibri" w:eastAsia="Calibri" w:hAnsi="Calibri"/>
          <w:b w:val="false"/>
          <w:bCs w:val="false"/>
          <w:i w:val="false"/>
          <w:iCs w:val="false"/>
          <w:color w:val="000000"/>
          <w:sz w:val="21"/>
          <w:szCs w:val="21"/>
        </w:rPr>
        <w:t xml:space="preserve">Miao and colleagues explicitly note that their data concern a small dye that moves freely in extracellular space, and that molecules of larger molecular weight may behave differently [15]. Since the pathological species of interest — Aβ oligomers, tau — are far larger, and since advective transport becomes relatively more important as diffusion slows with molecular weight, this is not a trivial caveat. It is precisely the regime where the Péclet-number analysis predicts the largest divergence between diffusive and advective clearance [14].</w:t>
      </w:r>
    </w:p>
    <w:p>
      <w:pPr>
        <w:spacing w:after="120" w:before="0" w:line="276"/>
        <w:jc w:val="both"/>
      </w:pPr>
      <w:r>
        <w:rPr>
          <w:rFonts w:ascii="Calibri" w:cs="Calibri" w:eastAsia="Calibri" w:hAnsi="Calibri"/>
          <w:b/>
          <w:bCs/>
          <w:i w:val="false"/>
          <w:iCs w:val="false"/>
          <w:color w:val="000000"/>
          <w:sz w:val="21"/>
          <w:szCs w:val="21"/>
        </w:rPr>
        <w:t xml:space="preserve">Spatial averaging. </w:t>
      </w:r>
      <w:r>
        <w:rPr>
          <w:rFonts w:ascii="Calibri" w:cs="Calibri" w:eastAsia="Calibri" w:hAnsi="Calibri"/>
          <w:b w:val="false"/>
          <w:bCs w:val="false"/>
          <w:i w:val="false"/>
          <w:iCs w:val="false"/>
          <w:color w:val="000000"/>
          <w:sz w:val="21"/>
          <w:szCs w:val="21"/>
        </w:rPr>
        <w:t xml:space="preserve">The photometry measurement is a brain-average. The authors acknowledge they cannot rule out paired flows in opposite directions over short distances that would average out, and their method assumes clearance does not vary greatly with anatomical location — a point they support with extended data but which remains an assumption [15].</w:t>
      </w:r>
    </w:p>
    <w:p>
      <w:pPr>
        <w:spacing w:after="120" w:before="0" w:line="276"/>
        <w:jc w:val="both"/>
      </w:pPr>
      <w:r>
        <w:rPr>
          <w:rFonts w:ascii="Calibri" w:cs="Calibri" w:eastAsia="Calibri" w:hAnsi="Calibri"/>
          <w:b/>
          <w:bCs/>
          <w:i w:val="false"/>
          <w:iCs w:val="false"/>
          <w:color w:val="000000"/>
          <w:sz w:val="21"/>
          <w:szCs w:val="21"/>
        </w:rPr>
        <w:t xml:space="preserve">Egress versus parenchymal transport. </w:t>
      </w:r>
      <w:r>
        <w:rPr>
          <w:rFonts w:ascii="Calibri" w:cs="Calibri" w:eastAsia="Calibri" w:hAnsi="Calibri"/>
          <w:b w:val="false"/>
          <w:bCs w:val="false"/>
          <w:i w:val="false"/>
          <w:iCs w:val="false"/>
          <w:color w:val="000000"/>
          <w:sz w:val="21"/>
          <w:szCs w:val="21"/>
        </w:rPr>
        <w:t xml:space="preserve">The authors themselves note that CSF outflow from the brain is markedly reduced by anaesthetics. If the rate-limiting step under anaesthesia is downstream egress rather than parenchymal transport, both results could be true simultaneously: perivascular movement within the brain could be facilitated during sleep while net removal from the cranium is slowed. Nothing in the current data excludes this.</w:t>
      </w:r>
    </w:p>
    <w:p>
      <w:pPr>
        <w:spacing w:after="140" w:before="0" w:line="276"/>
        <w:jc w:val="both"/>
      </w:pPr>
      <w:r>
        <w:rPr>
          <w:rFonts w:ascii="Calibri" w:cs="Calibri" w:eastAsia="Calibri" w:hAnsi="Calibri"/>
          <w:b/>
          <w:bCs/>
          <w:i w:val="false"/>
          <w:iCs w:val="false"/>
          <w:color w:val="000000"/>
          <w:sz w:val="21"/>
          <w:szCs w:val="21"/>
        </w:rPr>
        <w:t xml:space="preserve">Anaesthesia is not sleep. </w:t>
      </w:r>
      <w:r>
        <w:rPr>
          <w:rFonts w:ascii="Calibri" w:cs="Calibri" w:eastAsia="Calibri" w:hAnsi="Calibri"/>
          <w:b w:val="false"/>
          <w:bCs w:val="false"/>
          <w:i w:val="false"/>
          <w:iCs w:val="false"/>
          <w:color w:val="000000"/>
          <w:sz w:val="21"/>
          <w:szCs w:val="21"/>
        </w:rPr>
        <w:t xml:space="preserve">Much of the classical evidence treats anaesthesia as a proxy for deep non-REM sleep. Hauglund and colleagues' zolpidem result shows this equivalence to be unsafe: a pharmacological state that resembles deep sleep electrographically can have opposite effects on the noradrenergic oscillation that drives flow [17]. The same objection applies with equal force to dexmedetomidine, ketamine-xylazine and pentobarbital in the challenging study.</w:t>
      </w:r>
    </w:p>
    <w:p>
      <w:pPr>
        <w:spacing w:after="100" w:before="260"/>
      </w:pPr>
      <w:r>
        <w:rPr>
          <w:rFonts w:ascii="Calibri" w:cs="Calibri" w:eastAsia="Calibri" w:hAnsi="Calibri"/>
          <w:b/>
          <w:bCs/>
          <w:color w:val="1B4F72"/>
          <w:sz w:val="19"/>
          <w:szCs w:val="19"/>
        </w:rPr>
        <w:t xml:space="preserve">Table 2.  Comparison of the two experimental paradigms</w:t>
      </w:r>
    </w:p>
    <w:tbl>
      <w:tblPr>
        <w:tblW w:type="dxa" w:w="9360"/>
        <w:tblBorders>
          <w:top w:val="single" w:color="B9C4CE" w:sz="4"/>
          <w:left w:val="single" w:color="B9C4CE" w:sz="4"/>
          <w:bottom w:val="single" w:color="B9C4CE" w:sz="4"/>
          <w:right w:val="single" w:color="B9C4CE" w:sz="4"/>
          <w:insideH w:val="single" w:color="B9C4CE" w:sz="2"/>
          <w:insideV w:val="single" w:color="B9C4CE" w:sz="2"/>
        </w:tblBorders>
        <w:tblLayout w:type="fixed"/>
      </w:tblPr>
      <w:tblGrid>
        <w:gridCol w:w="2100"/>
        <w:gridCol w:w="3630"/>
        <w:gridCol w:w="3630"/>
      </w:tblGrid>
      <w:tr>
        <w:trPr>
          <w:tblHeader/>
        </w:trPr>
        <w:tc>
          <w:tcPr>
            <w:tcW w:type="dxa" w:w="21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Feature</w:t>
            </w:r>
          </w:p>
        </w:tc>
        <w:tc>
          <w:tcPr>
            <w:tcW w:type="dxa" w:w="363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CSF-tracer influx (classical)</w:t>
            </w:r>
          </w:p>
        </w:tc>
        <w:tc>
          <w:tcPr>
            <w:tcW w:type="dxa" w:w="363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Parenchymal injection (Miao et al. 2024)</w:t>
            </w:r>
          </w:p>
        </w:tc>
      </w:tr>
      <w:tr>
        <w:tc>
          <w:tcPr>
            <w:tcW w:type="dxa" w:w="21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Tracer delivery</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Cisterna magna (into CSF)</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Caudate putamen (into parenchyma)</w:t>
            </w:r>
          </w:p>
        </w:tc>
      </w:tr>
      <w:tr>
        <w:tc>
          <w:tcPr>
            <w:tcW w:type="dxa" w:w="21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Typical tracer</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Fluorescent dextrans, ovalbumin, gadolinium contrast</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AF488 (~570 Da); 4 kDa FITC-dextran for diffusion measurement</w:t>
            </w:r>
          </w:p>
        </w:tc>
      </w:tr>
      <w:tr>
        <w:tc>
          <w:tcPr>
            <w:tcW w:type="dxa" w:w="21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Quantity measured</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Tracer concentration appearing in parenchyma over time</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Net clearance, separated from spread by fitting a Gaussian source with exponential decay</w:t>
            </w:r>
          </w:p>
        </w:tc>
      </w:tr>
      <w:tr>
        <w:tc>
          <w:tcPr>
            <w:tcW w:type="dxa" w:w="21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Reported effect of sleep</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Increased tracer penetration into cortex</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Reduced net clearance; ~70–80% clearance in awake controls at peak</w:t>
            </w:r>
          </w:p>
        </w:tc>
      </w:tr>
      <w:tr>
        <w:tc>
          <w:tcPr>
            <w:tcW w:type="dxa" w:w="21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Reported effect of anaesthesia</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Increased penetration (interpreted as enhanced influx)</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Reduced clearance under dexmedetomidine, ketamine-xylazine and pentobarbital</w:t>
            </w:r>
          </w:p>
        </w:tc>
      </w:tr>
      <w:tr>
        <w:tc>
          <w:tcPr>
            <w:tcW w:type="dxa" w:w="21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Diffusion coefficient across states</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Not the primary readout</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Unchanged: 32.1 ± 1.9 μm²·s⁻¹ (n = 52); tortuosity ≈ 2.5</w:t>
            </w:r>
          </w:p>
        </w:tc>
      </w:tr>
      <w:tr>
        <w:tc>
          <w:tcPr>
            <w:tcW w:type="dxa" w:w="21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Principal criticism</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Entry, exit and redistribution confounded; cannot isolate clearance</w:t>
            </w:r>
          </w:p>
        </w:tc>
        <w:tc>
          <w:tcPr>
            <w:tcW w:type="dxa" w:w="363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Small freely diffusing tracer may not represent Aβ or tau; brain-averaged signal may mask local counter-flows</w:t>
            </w:r>
          </w:p>
        </w:tc>
      </w:tr>
      <w:tr>
        <w:tc>
          <w:tcPr>
            <w:tcW w:type="dxa" w:w="21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Interpretation offered</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Sleep opens a convective clearance window</w:t>
            </w:r>
          </w:p>
        </w:tc>
        <w:tc>
          <w:tcPr>
            <w:tcW w:type="dxa" w:w="363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Molecular movement is predominantly diffusive and vigilance-independent; sleep slows net removal</w:t>
            </w:r>
          </w:p>
        </w:tc>
      </w:tr>
    </w:tbl>
    <w:p>
      <w:pPr>
        <w:spacing w:after="280" w:before="100"/>
        <w:ind w:left="0" w:right="0"/>
      </w:pPr>
      <w:r>
        <w:rPr>
          <w:rFonts w:ascii="Calibri" w:cs="Calibri" w:eastAsia="Calibri" w:hAnsi="Calibri"/>
          <w:i/>
          <w:iCs/>
          <w:color w:val="3A3A3A"/>
          <w:sz w:val="18"/>
          <w:szCs w:val="18"/>
        </w:rPr>
        <w:t xml:space="preserve">Table 2. Side-by-side comparison of the two dominant experimental designs, compiled from Iliff et al. 2012 (Sci Transl Med 4:147ra111), Xie et al. 2013 (Science 342:373–377) and Miao et al. 2024 (Nat Neurosci 27:1046–1050, with Author Correction, Nat Neurosci 27:1425).</w:t>
      </w:r>
    </w:p>
    <w:p>
      <w:pPr>
        <w:pStyle w:val="Heading1"/>
        <w:spacing w:after="160" w:before="360"/>
      </w:pPr>
      <w:r>
        <w:rPr>
          <w:rFonts w:ascii="Calibri" w:cs="Calibri" w:eastAsia="Calibri" w:hAnsi="Calibri"/>
          <w:b/>
          <w:bCs/>
          <w:color w:val="1B4F72"/>
          <w:sz w:val="28"/>
          <w:szCs w:val="28"/>
        </w:rPr>
        <w:t xml:space="preserve">6.  Clinical Correlates and Therapeutic Strategies</w:t>
      </w:r>
    </w:p>
    <w:p>
      <w:pPr>
        <w:spacing w:after="120" w:before="0" w:line="276"/>
        <w:jc w:val="both"/>
      </w:pPr>
      <w:r>
        <w:rPr>
          <w:rFonts w:ascii="Calibri" w:cs="Calibri" w:eastAsia="Calibri" w:hAnsi="Calibri"/>
          <w:b w:val="false"/>
          <w:bCs w:val="false"/>
          <w:i w:val="false"/>
          <w:iCs w:val="false"/>
          <w:color w:val="000000"/>
          <w:sz w:val="21"/>
          <w:szCs w:val="21"/>
        </w:rPr>
        <w:t xml:space="preserve">Whatever the resolution of the mechanistic dispute, glymphatic dysfunction is being pursued clinically, and it is worth surveying that landscape with appropriate scepticism about how far ahead of the evidence it has run.</w:t>
      </w:r>
    </w:p>
    <w:p>
      <w:pPr>
        <w:pStyle w:val="Heading2"/>
        <w:spacing w:after="120" w:before="260"/>
      </w:pPr>
      <w:r>
        <w:rPr>
          <w:rFonts w:ascii="Calibri" w:cs="Calibri" w:eastAsia="Calibri" w:hAnsi="Calibri"/>
          <w:b/>
          <w:bCs/>
          <w:color w:val="2E6DA4"/>
          <w:sz w:val="24"/>
          <w:szCs w:val="24"/>
        </w:rPr>
        <w:t xml:space="preserve">6.1  Disease associations</w:t>
      </w:r>
    </w:p>
    <w:p>
      <w:pPr>
        <w:spacing w:after="120" w:before="0" w:line="276"/>
        <w:jc w:val="both"/>
      </w:pPr>
      <w:r>
        <w:rPr>
          <w:rFonts w:ascii="Calibri" w:cs="Calibri" w:eastAsia="Calibri" w:hAnsi="Calibri"/>
          <w:b w:val="false"/>
          <w:bCs w:val="false"/>
          <w:i w:val="false"/>
          <w:iCs w:val="false"/>
          <w:color w:val="000000"/>
          <w:sz w:val="21"/>
          <w:szCs w:val="21"/>
        </w:rPr>
        <w:t xml:space="preserve">Glymphatic impairment has been reported across a wide range of conditions: Alzheimer's disease and idiopathic normal pressure hydrocephalus, which share sleep disturbance, waste accumulation, perivascular astrogliosis and AQP4 mislocalisation [10]; traumatic brain injury and chronic traumatic encephalopathy, where AQP4 re-localises away from astrocytic endfeet acutely and phosphorylated tau is deposited in perivascular spaces and along interstitial pathways [5]; stroke; and small-vessel disease [8, 20]. The brain interstitial space itself is a contested compartment in this picture: recent measurement techniques indicate that interstitial fluid in deep brain regions drains through a compartmentalised rather than a fully connected system, which constrains how far any single convective route can reach [19]. In the APOE ε4 carrier, meningeal lymphatic function appears additionally compromised, offering a candidate mechanism linking the strongest genetic risk factor for Alzheimer's disease to a clearance deficit [18].</w:t>
      </w:r>
    </w:p>
    <w:p>
      <w:pPr>
        <w:spacing w:after="120" w:before="0" w:line="276"/>
        <w:jc w:val="both"/>
      </w:pPr>
      <w:r>
        <w:rPr>
          <w:rFonts w:ascii="Calibri" w:cs="Calibri" w:eastAsia="Calibri" w:hAnsi="Calibri"/>
          <w:b w:val="false"/>
          <w:bCs w:val="false"/>
          <w:i w:val="false"/>
          <w:iCs w:val="false"/>
          <w:color w:val="000000"/>
          <w:sz w:val="21"/>
          <w:szCs w:val="21"/>
        </w:rPr>
        <w:t xml:space="preserve">The direction of causation in humans, however, is not established. As one recent synthesis puts it, glymphatic dysfunction has been documented across Alzheimer's disease, Parkinson's disease, traumatic brain injury and normal ageing, with evidence suggesting self-amplifying cycles in which impaired clearance may accelerate protein accumulation — "though causal directionality in humans remains to be established prospectively" [21]. The absence of validated non-invasive glymphatic biomarkers is the acknowledged bottleneck [21].</w:t>
      </w:r>
    </w:p>
    <w:p>
      <w:pPr>
        <w:pStyle w:val="Heading2"/>
        <w:spacing w:after="120" w:before="260"/>
      </w:pPr>
      <w:r>
        <w:rPr>
          <w:rFonts w:ascii="Calibri" w:cs="Calibri" w:eastAsia="Calibri" w:hAnsi="Calibri"/>
          <w:b/>
          <w:bCs/>
          <w:color w:val="2E6DA4"/>
          <w:sz w:val="24"/>
          <w:szCs w:val="24"/>
        </w:rPr>
        <w:t xml:space="preserve">6.2  Measurement in humans</w:t>
      </w:r>
    </w:p>
    <w:p>
      <w:pPr>
        <w:spacing w:after="120" w:before="0" w:line="276"/>
        <w:jc w:val="both"/>
      </w:pPr>
      <w:r>
        <w:rPr>
          <w:rFonts w:ascii="Calibri" w:cs="Calibri" w:eastAsia="Calibri" w:hAnsi="Calibri"/>
          <w:b w:val="false"/>
          <w:bCs w:val="false"/>
          <w:i w:val="false"/>
          <w:iCs w:val="false"/>
          <w:color w:val="000000"/>
          <w:sz w:val="21"/>
          <w:szCs w:val="21"/>
        </w:rPr>
        <w:t xml:space="preserve">The most widely used surrogate is diffusion tensor imaging along the perivascular space (DTI-ALPS), which infers perivascular diffusivity from the orientation of water diffusion relative to medullary veins. It is non-invasive and reproducible, and it has been applied at scale to Alzheimer's cohorts [18]. It is also indirect: it measures diffusivity in a region, not flow, and its interpretation depends on the very model under dispute. Alternatives under development include perivascular-space morphometry, free-water indices, intrathecal gadolinium-enhanced MRI, ultrafast ultrasound CSF-flow imaging, and CSF AQP4 quantification [18]. Kylkilahti and colleagues have shown with 7T MRI that the cardiac cycle exerts measurable control over human CSF flow, corroborating the rodent findings on pulsatility [11].</w:t>
      </w:r>
    </w:p>
    <w:p>
      <w:pPr>
        <w:pStyle w:val="Heading2"/>
        <w:spacing w:after="120" w:before="260"/>
      </w:pPr>
      <w:r>
        <w:rPr>
          <w:rFonts w:ascii="Calibri" w:cs="Calibri" w:eastAsia="Calibri" w:hAnsi="Calibri"/>
          <w:b/>
          <w:bCs/>
          <w:color w:val="2E6DA4"/>
          <w:sz w:val="24"/>
          <w:szCs w:val="24"/>
        </w:rPr>
        <w:t xml:space="preserve">6.3  Interventions in trial</w:t>
      </w:r>
    </w:p>
    <w:p>
      <w:pPr>
        <w:spacing w:after="120" w:before="0" w:line="276"/>
        <w:jc w:val="both"/>
      </w:pPr>
      <w:r>
        <w:rPr>
          <w:rFonts w:ascii="Calibri" w:cs="Calibri" w:eastAsia="Calibri" w:hAnsi="Calibri"/>
          <w:b w:val="false"/>
          <w:bCs w:val="false"/>
          <w:i w:val="false"/>
          <w:iCs w:val="false"/>
          <w:color w:val="000000"/>
          <w:sz w:val="21"/>
          <w:szCs w:val="21"/>
        </w:rPr>
        <w:t xml:space="preserve">A search of ClinicalTrials.gov returns 25 registered studies targeting glymphatic function in Alzheimer's disease or sleep disorders. They fall into four broad classes: surgical restoration of lymphatic drainage, non-invasive neuromodulation, pharmacological modulation of noradrenergic tone, and behavioural or physical interventions. Table 3 summarises a representative selection.</w:t>
      </w:r>
    </w:p>
    <w:p>
      <w:pPr>
        <w:spacing w:after="140" w:before="0" w:line="276"/>
        <w:jc w:val="both"/>
      </w:pPr>
      <w:r>
        <w:rPr>
          <w:rFonts w:ascii="Calibri" w:cs="Calibri" w:eastAsia="Calibri" w:hAnsi="Calibri"/>
          <w:b w:val="false"/>
          <w:bCs w:val="false"/>
          <w:i w:val="false"/>
          <w:iCs w:val="false"/>
          <w:color w:val="000000"/>
          <w:sz w:val="21"/>
          <w:szCs w:val="21"/>
        </w:rPr>
        <w:t xml:space="preserve">The most striking of these is deep cervical lymphaticovenous anastomosis (LVA), a microsurgical procedure anastomosing deep cervical lymphatic vessels to adjacent veins to create a new drainage route. It has expanded rapidly in China — reportedly to more than 200 institutions [18] — on the strength of open-label case series reporting improvements in Mini-Mental State Examination and Neuropsychiatric Inventory scores. It is worth being blunt about the evidentiary status: these are uncontrolled series in a disease with well-documented placebo and caregiver-expectancy effects, and the randomised trials (for example NCT06530732, comparing LVA against lecanemab) have not yet reported. The mechanistic rationale is genuinely interesting; the clinical claim is not yet supported.</w:t>
      </w:r>
    </w:p>
    <w:p>
      <w:pPr>
        <w:spacing w:after="100" w:before="260"/>
      </w:pPr>
      <w:r>
        <w:rPr>
          <w:rFonts w:ascii="Calibri" w:cs="Calibri" w:eastAsia="Calibri" w:hAnsi="Calibri"/>
          <w:b/>
          <w:bCs/>
          <w:color w:val="1B4F72"/>
          <w:sz w:val="19"/>
          <w:szCs w:val="19"/>
        </w:rPr>
        <w:t xml:space="preserve">Table 3.  Selected registered clinical trials targeting glymphatic function</w:t>
      </w:r>
    </w:p>
    <w:tbl>
      <w:tblPr>
        <w:tblW w:type="dxa" w:w="9360"/>
        <w:tblBorders>
          <w:top w:val="single" w:color="B9C4CE" w:sz="4"/>
          <w:left w:val="single" w:color="B9C4CE" w:sz="4"/>
          <w:bottom w:val="single" w:color="B9C4CE" w:sz="4"/>
          <w:right w:val="single" w:color="B9C4CE" w:sz="4"/>
          <w:insideH w:val="single" w:color="B9C4CE" w:sz="2"/>
          <w:insideV w:val="single" w:color="B9C4CE" w:sz="2"/>
        </w:tblBorders>
        <w:tblLayout w:type="fixed"/>
      </w:tblPr>
      <w:tblGrid>
        <w:gridCol w:w="1500"/>
        <w:gridCol w:w="2900"/>
        <w:gridCol w:w="1500"/>
        <w:gridCol w:w="1600"/>
        <w:gridCol w:w="1860"/>
      </w:tblGrid>
      <w:tr>
        <w:trPr>
          <w:tblHeader/>
        </w:trPr>
        <w:tc>
          <w:tcPr>
            <w:tcW w:type="dxa" w:w="15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NCT ID</w:t>
            </w:r>
          </w:p>
        </w:tc>
        <w:tc>
          <w:tcPr>
            <w:tcW w:type="dxa" w:w="29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Intervention</w:t>
            </w:r>
          </w:p>
        </w:tc>
        <w:tc>
          <w:tcPr>
            <w:tcW w:type="dxa" w:w="15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Condition</w:t>
            </w:r>
          </w:p>
        </w:tc>
        <w:tc>
          <w:tcPr>
            <w:tcW w:type="dxa" w:w="160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Status / phase</w:t>
            </w:r>
          </w:p>
        </w:tc>
        <w:tc>
          <w:tcPr>
            <w:tcW w:type="dxa" w:w="1860"/>
            <w:shd w:fill="1B4F72" w:color="auto" w:val="clear"/>
            <w:tcMar>
              <w:top w:type="dxa" w:w="80"/>
              <w:left w:type="dxa" w:w="110"/>
              <w:bottom w:type="dxa" w:w="80"/>
              <w:right w:type="dxa" w:w="110"/>
            </w:tcMar>
            <w:vAlign w:val="center"/>
          </w:tcPr>
          <w:p>
            <w:pPr>
              <w:spacing w:after="0" w:before="0" w:line="240"/>
              <w:jc w:val="left"/>
            </w:pPr>
            <w:r>
              <w:rPr>
                <w:rFonts w:ascii="Calibri" w:cs="Calibri" w:eastAsia="Calibri" w:hAnsi="Calibri"/>
                <w:b/>
                <w:bCs/>
                <w:color w:val="FFFFFF"/>
                <w:sz w:val="18"/>
                <w:szCs w:val="18"/>
              </w:rPr>
              <w:t xml:space="preserve">Sponsor (enrolment)</w:t>
            </w:r>
          </w:p>
        </w:tc>
      </w:tr>
      <w:tr>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NCT06530732</w:t>
            </w:r>
          </w:p>
        </w:tc>
        <w:tc>
          <w:tcPr>
            <w:tcW w:type="dxa" w:w="29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Deep cervical lymphaticovenous anastomosis surgery vs. lecanemab</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disease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 Phase 3</w:t>
            </w:r>
          </w:p>
        </w:tc>
        <w:tc>
          <w:tcPr>
            <w:tcW w:type="dxa" w:w="18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Zhejiang Provincial People's Hospital (60)</w:t>
            </w:r>
          </w:p>
        </w:tc>
      </w:tr>
      <w:tr>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NCT06852352</w:t>
            </w:r>
          </w:p>
        </w:tc>
        <w:tc>
          <w:tcPr>
            <w:tcW w:type="dxa" w:w="29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Modified deep cervical lymphovenous anastomosis, 24-month follow-up</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and Parkinson's disease</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 single-arm</w:t>
            </w:r>
          </w:p>
        </w:tc>
        <w:tc>
          <w:tcPr>
            <w:tcW w:type="dxa" w:w="18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Zhejiang Provincial People's Hospital (160)</w:t>
            </w:r>
          </w:p>
        </w:tc>
      </w:tr>
      <w:tr>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NCT06965062</w:t>
            </w:r>
          </w:p>
        </w:tc>
        <w:tc>
          <w:tcPr>
            <w:tcW w:type="dxa" w:w="29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Deep cervical lymph node to venous bypass (CLyVeB-AD-1)</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disease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 proof of concept</w:t>
            </w:r>
          </w:p>
        </w:tc>
        <w:tc>
          <w:tcPr>
            <w:tcW w:type="dxa" w:w="18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Vincent Tay Khwee Soon (10)</w:t>
            </w:r>
          </w:p>
        </w:tc>
      </w:tr>
      <w:tr>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NCT07432997</w:t>
            </w:r>
          </w:p>
        </w:tc>
        <w:tc>
          <w:tcPr>
            <w:tcW w:type="dxa" w:w="29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Dexmedetomidine ± midodrine vs. placebo, glymphatic function</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disease</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Completed; Phase 1/2</w:t>
            </w:r>
          </w:p>
        </w:tc>
        <w:tc>
          <w:tcPr>
            <w:tcW w:type="dxa" w:w="18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Applied Cognition (31)</w:t>
            </w:r>
          </w:p>
        </w:tc>
      </w:tr>
      <w:tr>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NCT06421532</w:t>
            </w:r>
          </w:p>
        </w:tc>
        <w:tc>
          <w:tcPr>
            <w:tcW w:type="dxa" w:w="29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Lower-sodium oxybate to deepen sleep and/or non-invasive vagus nerve stimulation</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Cerebral amyloid angiopathy</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Enrolling by invitation; Phase 2</w:t>
            </w:r>
          </w:p>
        </w:tc>
        <w:tc>
          <w:tcPr>
            <w:tcW w:type="dxa" w:w="18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Leiden University Medical Center (60)</w:t>
            </w:r>
          </w:p>
        </w:tc>
      </w:tr>
      <w:tr>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NCT05606991</w:t>
            </w:r>
          </w:p>
        </w:tc>
        <w:tc>
          <w:tcPr>
            <w:tcW w:type="dxa" w:w="29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CPAP withdrawal for 2 weeks, randomised crossover</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Obstructive sleep apnoea, cognitive impairment</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Enrolling by invitation</w:t>
            </w:r>
          </w:p>
        </w:tc>
        <w:tc>
          <w:tcPr>
            <w:tcW w:type="dxa" w:w="18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Woolcock Institute of Medical Research (38)</w:t>
            </w:r>
          </w:p>
        </w:tc>
      </w:tr>
      <w:tr>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NCT07601841</w:t>
            </w:r>
          </w:p>
        </w:tc>
        <w:tc>
          <w:tcPr>
            <w:tcW w:type="dxa" w:w="29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Morning bright light therapy vs. negative ion generator</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TBI, sleep, glymphatic function</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w:t>
            </w:r>
          </w:p>
        </w:tc>
        <w:tc>
          <w:tcPr>
            <w:tcW w:type="dxa" w:w="18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Oregon Health and Science University (300)</w:t>
            </w:r>
          </w:p>
        </w:tc>
      </w:tr>
      <w:tr>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NCT07324161</w:t>
            </w:r>
          </w:p>
        </w:tc>
        <w:tc>
          <w:tcPr>
            <w:tcW w:type="dxa" w:w="29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Repetitive transcranial magnetic stimulation, glymphatic mechanisms</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disease</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 sham-controlled</w:t>
            </w:r>
          </w:p>
        </w:tc>
        <w:tc>
          <w:tcPr>
            <w:tcW w:type="dxa" w:w="18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Fujian Medical University Union Hospital (66)</w:t>
            </w:r>
          </w:p>
        </w:tc>
      </w:tr>
      <w:tr>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NCT05059158</w:t>
            </w:r>
          </w:p>
        </w:tc>
        <w:tc>
          <w:tcPr>
            <w:tcW w:type="dxa" w:w="29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Multi-modal PET study of lymphatic, glymphatic and BBB function</w:t>
            </w:r>
          </w:p>
        </w:tc>
        <w:tc>
          <w:tcPr>
            <w:tcW w:type="dxa" w:w="15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Alzheimer's disease</w:t>
            </w:r>
          </w:p>
        </w:tc>
        <w:tc>
          <w:tcPr>
            <w:tcW w:type="dxa" w:w="160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Recruiting; observational</w:t>
            </w:r>
          </w:p>
        </w:tc>
        <w:tc>
          <w:tcPr>
            <w:tcW w:type="dxa" w:w="1860"/>
            <w:shd w:fill="FFFFFF"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Ludwig-Maximilians University of Munich (60)</w:t>
            </w:r>
          </w:p>
        </w:tc>
      </w:tr>
      <w:tr>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NCT04506892</w:t>
            </w:r>
          </w:p>
        </w:tc>
        <w:tc>
          <w:tcPr>
            <w:tcW w:type="dxa" w:w="29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Meditation, quantitation of glymphatic function in sleep and meditative states</w:t>
            </w:r>
          </w:p>
        </w:tc>
        <w:tc>
          <w:tcPr>
            <w:tcW w:type="dxa" w:w="15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Parkinson's disease, sleep</w:t>
            </w:r>
          </w:p>
        </w:tc>
        <w:tc>
          <w:tcPr>
            <w:tcW w:type="dxa" w:w="160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Completed</w:t>
            </w:r>
          </w:p>
        </w:tc>
        <w:tc>
          <w:tcPr>
            <w:tcW w:type="dxa" w:w="1860"/>
            <w:shd w:fill="F2F6FA" w:color="auto" w:val="clear"/>
            <w:tcMar>
              <w:top w:type="dxa" w:w="80"/>
              <w:left w:type="dxa" w:w="110"/>
              <w:bottom w:type="dxa" w:w="80"/>
              <w:right w:type="dxa" w:w="110"/>
            </w:tcMar>
            <w:vAlign w:val="top"/>
          </w:tcPr>
          <w:p>
            <w:pPr>
              <w:spacing w:after="0" w:before="0" w:line="240"/>
            </w:pPr>
            <w:r>
              <w:rPr>
                <w:rFonts w:ascii="Calibri" w:cs="Calibri" w:eastAsia="Calibri" w:hAnsi="Calibri"/>
                <w:sz w:val="17"/>
                <w:szCs w:val="17"/>
              </w:rPr>
              <w:t xml:space="preserve">Vanderbilt University Medical Center (75)</w:t>
            </w:r>
          </w:p>
        </w:tc>
      </w:tr>
    </w:tbl>
    <w:p>
      <w:pPr>
        <w:spacing w:after="280" w:before="100"/>
        <w:ind w:left="0" w:right="0"/>
      </w:pPr>
      <w:r>
        <w:rPr>
          <w:rFonts w:ascii="Calibri" w:cs="Calibri" w:eastAsia="Calibri" w:hAnsi="Calibri"/>
          <w:i/>
          <w:iCs/>
          <w:color w:val="3A3A3A"/>
          <w:sz w:val="18"/>
          <w:szCs w:val="18"/>
        </w:rPr>
        <w:t xml:space="preserve">Table 3. Representative registered trials retrieved from ClinicalTrials.gov (NIH/NLM registry), selected from 25 studies matching glymphatic interventions in Alzheimer's disease or sleep disorders. Status as recorded in the registry at the time of retrieval.</w:t>
      </w:r>
    </w:p>
    <w:p>
      <w:pPr>
        <w:pStyle w:val="Heading1"/>
        <w:spacing w:after="160" w:before="360"/>
      </w:pPr>
      <w:r>
        <w:rPr>
          <w:rFonts w:ascii="Calibri" w:cs="Calibri" w:eastAsia="Calibri" w:hAnsi="Calibri"/>
          <w:b/>
          <w:bCs/>
          <w:color w:val="1B4F72"/>
          <w:sz w:val="28"/>
          <w:szCs w:val="28"/>
        </w:rPr>
        <w:t xml:space="preserve">7.  Discussion and Open Questions</w:t>
      </w:r>
    </w:p>
    <w:p>
      <w:pPr>
        <w:spacing w:after="120" w:before="0" w:line="276"/>
        <w:jc w:val="both"/>
      </w:pPr>
      <w:r>
        <w:rPr>
          <w:rFonts w:ascii="Calibri" w:cs="Calibri" w:eastAsia="Calibri" w:hAnsi="Calibri"/>
          <w:b w:val="false"/>
          <w:bCs w:val="false"/>
          <w:i w:val="false"/>
          <w:iCs w:val="false"/>
          <w:color w:val="000000"/>
          <w:sz w:val="21"/>
          <w:szCs w:val="21"/>
        </w:rPr>
        <w:t xml:space="preserve">The glymphatic hypothesis has had an unusual career. It arrived with a compelling mechanism, an immediate answer to the function of sleep, and a clean translational story about dementia — a combination that produced very rapid adoption. Thirteen years on, the anatomical claims are secure: perivascular spaces exist, they conduct fluid, AQP4 is polarised to astrocytic endfeet and its deletion impairs solute clearance, meningeal lymphatics drain CSF to cervical nodes, and CSF pulses are coupled to slow waves in sleeping humans. None of this is seriously disputed.</w:t>
      </w:r>
    </w:p>
    <w:p>
      <w:pPr>
        <w:spacing w:after="120" w:before="0" w:line="276"/>
        <w:jc w:val="both"/>
      </w:pPr>
      <w:r>
        <w:rPr>
          <w:rFonts w:ascii="Calibri" w:cs="Calibri" w:eastAsia="Calibri" w:hAnsi="Calibri"/>
          <w:b w:val="false"/>
          <w:bCs w:val="false"/>
          <w:i w:val="false"/>
          <w:iCs w:val="false"/>
          <w:color w:val="000000"/>
          <w:sz w:val="21"/>
          <w:szCs w:val="21"/>
        </w:rPr>
        <w:t xml:space="preserve">What is disputed is the magnitude and the sign of the sleep effect on net clearance, and this is not a peripheral detail — it is the load-bearing claim for the entire clinical programme. Four questions seem to us to determine how the field resolves.</w:t>
      </w:r>
    </w:p>
    <w:p>
      <w:pPr>
        <w:pStyle w:val="Heading3"/>
        <w:spacing w:after="100" w:before="200"/>
      </w:pPr>
      <w:r>
        <w:rPr>
          <w:rFonts w:ascii="Calibri" w:cs="Calibri" w:eastAsia="Calibri" w:hAnsi="Calibri"/>
          <w:b/>
          <w:bCs/>
          <w:i/>
          <w:iCs/>
          <w:color w:val="34495E"/>
          <w:sz w:val="22"/>
          <w:szCs w:val="22"/>
        </w:rPr>
        <w:t xml:space="preserve">Question 1: What is the Péclet number in real tissue?</w:t>
      </w:r>
    </w:p>
    <w:p>
      <w:pPr>
        <w:spacing w:after="120" w:before="0" w:line="276"/>
        <w:jc w:val="both"/>
      </w:pPr>
      <w:r>
        <w:rPr>
          <w:rFonts w:ascii="Calibri" w:cs="Calibri" w:eastAsia="Calibri" w:hAnsi="Calibri"/>
          <w:b w:val="false"/>
          <w:bCs w:val="false"/>
          <w:i w:val="false"/>
          <w:iCs w:val="false"/>
          <w:color w:val="000000"/>
          <w:sz w:val="21"/>
          <w:szCs w:val="21"/>
        </w:rPr>
        <w:t xml:space="preserve">If advective transport is negligible relative to diffusion for the molecules that matter, the glymphatic system is a real anatomical structure with limited pathological significance. If Pe is near or above 1 for aggregation-prone proteins, modest changes in flow produce exponential changes in aggregate accumulation [14]. Miao and colleagues' tortuosity estimate of ~2.5 for 4 kDa dextran is consistent with predominantly diffusive movement for that molecule [15] — but the relevant measurement has not been made for Aβ oligomers or tau.</w:t>
      </w:r>
    </w:p>
    <w:p>
      <w:pPr>
        <w:pStyle w:val="Heading3"/>
        <w:spacing w:after="100" w:before="200"/>
      </w:pPr>
      <w:r>
        <w:rPr>
          <w:rFonts w:ascii="Calibri" w:cs="Calibri" w:eastAsia="Calibri" w:hAnsi="Calibri"/>
          <w:b/>
          <w:bCs/>
          <w:i/>
          <w:iCs/>
          <w:color w:val="34495E"/>
          <w:sz w:val="22"/>
          <w:szCs w:val="22"/>
        </w:rPr>
        <w:t xml:space="preserve">Question 2: Can clearance be measured without a tracer at all?</w:t>
      </w:r>
    </w:p>
    <w:p>
      <w:pPr>
        <w:spacing w:after="120" w:before="0" w:line="276"/>
        <w:jc w:val="both"/>
      </w:pPr>
      <w:r>
        <w:rPr>
          <w:rFonts w:ascii="Calibri" w:cs="Calibri" w:eastAsia="Calibri" w:hAnsi="Calibri"/>
          <w:b w:val="false"/>
          <w:bCs w:val="false"/>
          <w:i w:val="false"/>
          <w:iCs w:val="false"/>
          <w:color w:val="000000"/>
          <w:sz w:val="21"/>
          <w:szCs w:val="21"/>
        </w:rPr>
        <w:t xml:space="preserve">Both paradigms require injecting something. The most persuasive future experiment would track an endogenous solute — for instance by isotope labelling or by CSF and interstitial proteomics of the kind Cankar and colleagues applied [16] — under naturally occurring sleep, without perturbing the system. Until such a measurement exists, the two camps will continue to disagree about what their respective tracers represent.</w:t>
      </w:r>
    </w:p>
    <w:p>
      <w:pPr>
        <w:pStyle w:val="Heading3"/>
        <w:spacing w:after="100" w:before="200"/>
      </w:pPr>
      <w:r>
        <w:rPr>
          <w:rFonts w:ascii="Calibri" w:cs="Calibri" w:eastAsia="Calibri" w:hAnsi="Calibri"/>
          <w:b/>
          <w:bCs/>
          <w:i/>
          <w:iCs/>
          <w:color w:val="34495E"/>
          <w:sz w:val="22"/>
          <w:szCs w:val="22"/>
        </w:rPr>
        <w:t xml:space="preserve">Question 3: Is the relevant variable sleep, or noradrenergic oscillation?</w:t>
      </w:r>
    </w:p>
    <w:p>
      <w:pPr>
        <w:spacing w:after="120" w:before="0" w:line="276"/>
        <w:jc w:val="both"/>
      </w:pPr>
      <w:r>
        <w:rPr>
          <w:rFonts w:ascii="Calibri" w:cs="Calibri" w:eastAsia="Calibri" w:hAnsi="Calibri"/>
          <w:b w:val="false"/>
          <w:bCs w:val="false"/>
          <w:i w:val="false"/>
          <w:iCs w:val="false"/>
          <w:color w:val="000000"/>
          <w:sz w:val="21"/>
          <w:szCs w:val="21"/>
        </w:rPr>
        <w:t xml:space="preserve">The evidence increasingly favours the latter. Xie and colleagues could mimic the sleep effect with adrenergic blockade in awake animals [2]; Hauglund and colleagues showed that norepinephrine oscillation amplitude, not sleep stage, predicts clearance, and that a hypnotic can dissociate the two [17]; Cankar and colleagues showed that the pathological failure in an Alzheimer's model is specifically a failure to restore these oscillations, not a failure to generate slow waves [16]. If this is right, then epidemiological studies using sleep duration or EEG-scored sleep depth as the exposure variable are measuring a noisy proxy, which may partly explain the inconsistency of the human literature.</w:t>
      </w:r>
    </w:p>
    <w:p>
      <w:pPr>
        <w:pStyle w:val="Heading3"/>
        <w:spacing w:after="100" w:before="200"/>
      </w:pPr>
      <w:r>
        <w:rPr>
          <w:rFonts w:ascii="Calibri" w:cs="Calibri" w:eastAsia="Calibri" w:hAnsi="Calibri"/>
          <w:b/>
          <w:bCs/>
          <w:i/>
          <w:iCs/>
          <w:color w:val="34495E"/>
          <w:sz w:val="22"/>
          <w:szCs w:val="22"/>
        </w:rPr>
        <w:t xml:space="preserve">Question 4: Does any intervention change a hard clinical outcome?</w:t>
      </w:r>
    </w:p>
    <w:p>
      <w:pPr>
        <w:spacing w:after="120" w:before="0" w:line="276"/>
        <w:jc w:val="both"/>
      </w:pPr>
      <w:r>
        <w:rPr>
          <w:rFonts w:ascii="Calibri" w:cs="Calibri" w:eastAsia="Calibri" w:hAnsi="Calibri"/>
          <w:b w:val="false"/>
          <w:bCs w:val="false"/>
          <w:i w:val="false"/>
          <w:iCs w:val="false"/>
          <w:color w:val="000000"/>
          <w:sz w:val="21"/>
          <w:szCs w:val="21"/>
        </w:rPr>
        <w:t xml:space="preserve">None has yet been shown to. The trials in Table 3 are small, mostly open-label, and use surrogate endpoints — DTI-ALPS indices, CSF biomarkers, or brief cognitive scales — over short horizons. The field would benefit from at least one adequately powered, sham-controlled trial with a pre-registered cognitive endpoint before further procedural expansion.</w:t>
      </w:r>
    </w:p>
    <w:p>
      <w:pPr>
        <w:spacing w:after="160" w:before="0" w:line="276"/>
        <w:jc w:val="both"/>
      </w:pPr>
      <w:r>
        <w:rPr>
          <w:rFonts w:ascii="Calibri" w:cs="Calibri" w:eastAsia="Calibri" w:hAnsi="Calibri"/>
          <w:b w:val="false"/>
          <w:bCs w:val="false"/>
          <w:i w:val="false"/>
          <w:iCs w:val="false"/>
          <w:color w:val="000000"/>
          <w:sz w:val="21"/>
          <w:szCs w:val="21"/>
        </w:rPr>
        <w:t xml:space="preserve">A final observation on scientific culture. The Miao study is, by any reading, an unwelcome result for a large and productive field, and it has been criticised on reasonable methodological grounds. It is nonetheless a careful, well-controlled study whose central methodological criticism — that measuring tracer accumulation cannot distinguish faster entry from slower exit — is difficult to dismiss and should have been addressed earlier. The productive response is not to adjudicate by seniority but to design the experiment that discriminates between the hypotheses. That experiment is, in principle, straightforward: measure the clearance of a physiologically relevant, aggregation-prone solute, delivered to the parenchyma, across natural sleep and wake, with simultaneous recording of noradrenergic oscillation. It has not yet been done.</w:t>
      </w:r>
    </w:p>
    <w:p>
      <w:pPr>
        <w:pStyle w:val="Heading1"/>
        <w:spacing w:after="160" w:before="360"/>
      </w:pPr>
      <w:r>
        <w:rPr>
          <w:rFonts w:ascii="Calibri" w:cs="Calibri" w:eastAsia="Calibri" w:hAnsi="Calibri"/>
          <w:b/>
          <w:bCs/>
          <w:color w:val="1B4F72"/>
          <w:sz w:val="28"/>
          <w:szCs w:val="28"/>
        </w:rPr>
        <w:t xml:space="preserve">8.  Conclusion</w:t>
      </w:r>
    </w:p>
    <w:p>
      <w:pPr>
        <w:spacing w:after="120" w:before="0" w:line="276"/>
        <w:jc w:val="both"/>
      </w:pPr>
      <w:r>
        <w:rPr>
          <w:rFonts w:ascii="Calibri" w:cs="Calibri" w:eastAsia="Calibri" w:hAnsi="Calibri"/>
          <w:b w:val="false"/>
          <w:bCs w:val="false"/>
          <w:i w:val="false"/>
          <w:iCs w:val="false"/>
          <w:color w:val="000000"/>
          <w:sz w:val="21"/>
          <w:szCs w:val="21"/>
        </w:rPr>
        <w:t xml:space="preserve">The brain possesses a perivascular fluid-transport network with a defined anatomy, a molecular gate in AQP4, an efflux route through meningeal lymphatics, and a plausible pump in norepinephrine-driven slow vasomotion. That much is established. The proposition that this network constitutes the principal reason the brain sleeps, and that its sleep-dependent failure causes Alzheimer's disease, is a further and much stronger claim — one that a decade of enthusiastic work has supported by correlation and one careful 2024 experiment has directly contradicted.</w:t>
      </w:r>
    </w:p>
    <w:p>
      <w:pPr>
        <w:spacing w:after="200" w:before="0" w:line="276"/>
        <w:jc w:val="both"/>
      </w:pPr>
      <w:r>
        <w:rPr>
          <w:rFonts w:ascii="Calibri" w:cs="Calibri" w:eastAsia="Calibri" w:hAnsi="Calibri"/>
          <w:b w:val="false"/>
          <w:bCs w:val="false"/>
          <w:i w:val="false"/>
          <w:iCs w:val="false"/>
          <w:color w:val="000000"/>
          <w:sz w:val="21"/>
          <w:szCs w:val="21"/>
        </w:rPr>
        <w:t xml:space="preserve">The most defensible current position is that perivascular transport is real and physiologically regulated; that its coupling to sleep is genuine but of contested magnitude and direction for net clearance; that noradrenergic oscillation, rather than sleep stage as conventionally scored, is likely the proximate controlled variable; and that clinical intervention on this pathway has outpaced the evidence supporting it. The scientific opportunity is unusually well-defined, which is a good position for a field to be in: the disagreement is sharp, both sides have made testable claims, and the discriminating experiment is within technical reach.</w:t>
      </w:r>
    </w:p>
    <w:p>
      <w:pPr>
        <w:pBdr>
          <w:bottom w:val="single" w:color="B9C4CE" w:sz="6" w:space="1"/>
        </w:pBdr>
        <w:spacing w:after="200" w:before="60"/>
      </w:pPr>
      <w:r>
        <w:rPr>
          <w:sz w:val="2"/>
          <w:szCs w:val="2"/>
        </w:rPr>
        <w:t xml:space="preserve"/>
      </w:r>
    </w:p>
    <w:p>
      <w:pPr>
        <w:pStyle w:val="Heading1"/>
        <w:spacing w:after="160" w:before="360"/>
      </w:pPr>
      <w:r>
        <w:rPr>
          <w:rFonts w:ascii="Calibri" w:cs="Calibri" w:eastAsia="Calibri" w:hAnsi="Calibri"/>
          <w:b/>
          <w:bCs/>
          <w:color w:val="1B4F72"/>
          <w:sz w:val="28"/>
          <w:szCs w:val="28"/>
        </w:rPr>
        <w:t xml:space="preserve">References</w:t>
      </w:r>
    </w:p>
    <w:p>
      <w:pPr>
        <w:spacing w:after="160" w:before="0"/>
      </w:pPr>
      <w:r>
        <w:rPr>
          <w:rFonts w:ascii="Calibri" w:cs="Calibri" w:eastAsia="Calibri" w:hAnsi="Calibri"/>
          <w:i/>
          <w:iCs/>
          <w:color w:val="5A5A5A"/>
          <w:sz w:val="17"/>
          <w:szCs w:val="17"/>
        </w:rPr>
        <w:t xml:space="preserve">Bibliographic records for items 1–20 were retrieved from PubMed (National Library of Medicine); DOIs are given for each. Items 21–23 were retrieved via Consensus. Items 24–25 are registry records from ClinicalTrials.gov (NIH/NLM).</w:t>
      </w:r>
    </w:p>
    <w:p>
      <w:pPr>
        <w:spacing w:after="100" w:before="0" w:line="252"/>
        <w:ind w:left="420" w:hanging="420"/>
      </w:pPr>
      <w:r>
        <w:rPr>
          <w:rFonts w:ascii="Calibri" w:cs="Calibri" w:eastAsia="Calibri" w:hAnsi="Calibri"/>
          <w:sz w:val="18"/>
          <w:szCs w:val="18"/>
        </w:rPr>
        <w:t xml:space="preserve">1.  Iliff JJ, Wang M, Liao Y, Plogg BA, Peng W, Gundersen GA, Benveniste H, Vates GE, Deane R, Goldman SA, Nagelhus EA, Nedergaard M. A paravascular pathway facilitates CSF flow through the brain parenchyma and the clearance of interstitial solutes, including amyloid β. Science Translational Medicine. 2012;4(147):147ra111. doi:10.1126/scitranslmed.3003748. PMID 22896675.</w:t>
      </w:r>
    </w:p>
    <w:p>
      <w:pPr>
        <w:spacing w:after="100" w:before="0" w:line="252"/>
        <w:ind w:left="420" w:hanging="420"/>
      </w:pPr>
      <w:r>
        <w:rPr>
          <w:rFonts w:ascii="Calibri" w:cs="Calibri" w:eastAsia="Calibri" w:hAnsi="Calibri"/>
          <w:sz w:val="18"/>
          <w:szCs w:val="18"/>
        </w:rPr>
        <w:t xml:space="preserve">2.  Xie L, Kang H, Xu Q, Chen MJ, Liao Y, Thiyagarajan M, O'Donnell J, Christensen DJ, Nicholson C, Iliff JJ, Takano T, Deane R, Nedergaard M. Sleep drives metabolite clearance from the adult brain. Science. 2013;342(6156):373–377. doi:10.1126/science.1241224. PMID 24136970.</w:t>
      </w:r>
    </w:p>
    <w:p>
      <w:pPr>
        <w:spacing w:after="100" w:before="0" w:line="252"/>
        <w:ind w:left="420" w:hanging="420"/>
      </w:pPr>
      <w:r>
        <w:rPr>
          <w:rFonts w:ascii="Calibri" w:cs="Calibri" w:eastAsia="Calibri" w:hAnsi="Calibri"/>
          <w:sz w:val="18"/>
          <w:szCs w:val="18"/>
        </w:rPr>
        <w:t xml:space="preserve">3.  Jessen NA, Munk ASF, Lundgaard I, Nedergaard M. The glymphatic system: a beginner's guide. Neurochemical Research. 2015;40(12):2583–2599. doi:10.1007/s11064-015-1581-6. PMID 25947369.</w:t>
      </w:r>
    </w:p>
    <w:p>
      <w:pPr>
        <w:spacing w:after="100" w:before="0" w:line="252"/>
        <w:ind w:left="420" w:hanging="420"/>
      </w:pPr>
      <w:r>
        <w:rPr>
          <w:rFonts w:ascii="Calibri" w:cs="Calibri" w:eastAsia="Calibri" w:hAnsi="Calibri"/>
          <w:sz w:val="18"/>
          <w:szCs w:val="18"/>
        </w:rPr>
        <w:t xml:space="preserve">4.  Ju YS, Finn MB, Sutphen CL, Herries EM, Jerome GM, Ladenson JH, Crimmins DL, Fagan AM, Holtzman DM. Obstructive sleep apnea decreases central nervous system-derived proteins in the cerebrospinal fluid. Annals of Neurology. 2016;80(1):154–159. doi:10.1002/ana.24672. PMID 27129429.</w:t>
      </w:r>
    </w:p>
    <w:p>
      <w:pPr>
        <w:spacing w:after="100" w:before="0" w:line="252"/>
        <w:ind w:left="420" w:hanging="420"/>
      </w:pPr>
      <w:r>
        <w:rPr>
          <w:rFonts w:ascii="Calibri" w:cs="Calibri" w:eastAsia="Calibri" w:hAnsi="Calibri"/>
          <w:sz w:val="18"/>
          <w:szCs w:val="18"/>
        </w:rPr>
        <w:t xml:space="preserve">5.  Sullan MJ, Asken BM, Jaffee MS, DeKosky ST, Bauer RM. Glymphatic system disruption as a mediator of brain trauma and chronic traumatic encephalopathy. Neuroscience and Biobehavioral Reviews. 2018;84:316–324. doi:10.1016/j.neubiorev.2017.08.016. PMID 28859995.</w:t>
      </w:r>
    </w:p>
    <w:p>
      <w:pPr>
        <w:spacing w:after="100" w:before="0" w:line="252"/>
        <w:ind w:left="420" w:hanging="420"/>
      </w:pPr>
      <w:r>
        <w:rPr>
          <w:rFonts w:ascii="Calibri" w:cs="Calibri" w:eastAsia="Calibri" w:hAnsi="Calibri"/>
          <w:sz w:val="18"/>
          <w:szCs w:val="18"/>
        </w:rPr>
        <w:t xml:space="preserve">6.  Shokri-Kojori E, Wang GJ, Wiers CE, Demiral SB, Guo M, Kim SW, Lindgren E, Ramirez V, Zehra A, Freeman C, Miller G, Manza P, Srivastava T, De Santi S, Tomasi D, Benveniste H, Volkow ND. β-Amyloid accumulation in the human brain after one night of sleep deprivation. Proceedings of the National Academy of Sciences USA. 2018;115(17):4483–4488. doi:10.1073/pnas.1721694115. PMID 29632177.</w:t>
      </w:r>
    </w:p>
    <w:p>
      <w:pPr>
        <w:spacing w:after="100" w:before="0" w:line="252"/>
        <w:ind w:left="420" w:hanging="420"/>
      </w:pPr>
      <w:r>
        <w:rPr>
          <w:rFonts w:ascii="Calibri" w:cs="Calibri" w:eastAsia="Calibri" w:hAnsi="Calibri"/>
          <w:sz w:val="18"/>
          <w:szCs w:val="18"/>
        </w:rPr>
        <w:t xml:space="preserve">7.  Da Mesquita S, Louveau A, Vaccari A, Smirnov I, Cornelison RC, Kingsmore KM, Contarino C, Onengut-Gumuscu S, Farber E, Raper D, Viar KE, Powell RD, Baker W, Dabhi N, Bai R, Cao R, Hu S, Rich SS, Munson JM, Lopes MB, Overall CC, Acton ST, Kipnis J. Functional aspects of meningeal lymphatics in ageing and Alzheimer's disease. Nature. 2018;560(7717):185–191. doi:10.1038/s41586-018-0368-8. PMID 30046111.</w:t>
      </w:r>
    </w:p>
    <w:p>
      <w:pPr>
        <w:spacing w:after="100" w:before="0" w:line="252"/>
        <w:ind w:left="420" w:hanging="420"/>
      </w:pPr>
      <w:r>
        <w:rPr>
          <w:rFonts w:ascii="Calibri" w:cs="Calibri" w:eastAsia="Calibri" w:hAnsi="Calibri"/>
          <w:sz w:val="18"/>
          <w:szCs w:val="18"/>
        </w:rPr>
        <w:t xml:space="preserve">8.  Rasmussen MK, Mestre H, Nedergaard M. The glymphatic pathway in neurological disorders. The Lancet Neurology. 2018;17(11):1016–1024. doi:10.1016/S1474-4422(18)30318-1. PMID 30353860.</w:t>
      </w:r>
    </w:p>
    <w:p>
      <w:pPr>
        <w:spacing w:after="100" w:before="0" w:line="252"/>
        <w:ind w:left="420" w:hanging="420"/>
      </w:pPr>
      <w:r>
        <w:rPr>
          <w:rFonts w:ascii="Calibri" w:cs="Calibri" w:eastAsia="Calibri" w:hAnsi="Calibri"/>
          <w:sz w:val="18"/>
          <w:szCs w:val="18"/>
        </w:rPr>
        <w:t xml:space="preserve">9.  Fultz NE, Bonmassar G, Setsompop K, Stickgold RA, Rosen BR, Polimeni JR, Lewis LD. Coupled electrophysiological, hemodynamic, and cerebrospinal fluid oscillations in human sleep. Science. 2019;366(6465):628–631. doi:10.1126/science.aax5440. PMID 31672896.</w:t>
      </w:r>
    </w:p>
    <w:p>
      <w:pPr>
        <w:spacing w:after="100" w:before="0" w:line="252"/>
        <w:ind w:left="420" w:hanging="420"/>
      </w:pPr>
      <w:r>
        <w:rPr>
          <w:rFonts w:ascii="Calibri" w:cs="Calibri" w:eastAsia="Calibri" w:hAnsi="Calibri"/>
          <w:sz w:val="18"/>
          <w:szCs w:val="18"/>
        </w:rPr>
        <w:t xml:space="preserve">10.  Reeves BC, Karimy JK, Kundishora AJ, Mestre H, Cerci HM, Matouk C, Alper SL, Lundgaard I, Nedergaard M, Kahle KT. Glymphatic system impairment in Alzheimer's disease and idiopathic normal pressure hydrocephalus. Trends in Molecular Medicine. 2020;26(3):285–295. doi:10.1016/j.molmed.2019.11.008. PMID 31959516.</w:t>
      </w:r>
    </w:p>
    <w:p>
      <w:pPr>
        <w:spacing w:after="100" w:before="0" w:line="252"/>
        <w:ind w:left="420" w:hanging="420"/>
      </w:pPr>
      <w:r>
        <w:rPr>
          <w:rFonts w:ascii="Calibri" w:cs="Calibri" w:eastAsia="Calibri" w:hAnsi="Calibri"/>
          <w:sz w:val="18"/>
          <w:szCs w:val="18"/>
        </w:rPr>
        <w:t xml:space="preserve">11.  Kylkilahti TM, Berends E, Ramos M, Shanbhag NC, Töger J, Markenroth Bloch K, Lundgaard I. Achieving brain clearance and preventing neurodegenerative diseases — a glymphatic perspective. Journal of Cerebral Blood Flow and Metabolism. 2021;41(9):2137–2149. doi:10.1177/0271678X20982388. PMID 33461408.</w:t>
      </w:r>
    </w:p>
    <w:p>
      <w:pPr>
        <w:spacing w:after="100" w:before="0" w:line="252"/>
        <w:ind w:left="420" w:hanging="420"/>
      </w:pPr>
      <w:r>
        <w:rPr>
          <w:rFonts w:ascii="Calibri" w:cs="Calibri" w:eastAsia="Calibri" w:hAnsi="Calibri"/>
          <w:sz w:val="18"/>
          <w:szCs w:val="18"/>
        </w:rPr>
        <w:t xml:space="preserve">12.  Rasmussen MK, Mestre H, Nedergaard M. Fluid transport in the brain. Physiological Reviews. 2022;102(2):1025–1151. doi:10.1152/physrev.00031.2020. PMID 33949874.</w:t>
      </w:r>
    </w:p>
    <w:p>
      <w:pPr>
        <w:spacing w:after="100" w:before="0" w:line="252"/>
        <w:ind w:left="420" w:hanging="420"/>
      </w:pPr>
      <w:r>
        <w:rPr>
          <w:rFonts w:ascii="Calibri" w:cs="Calibri" w:eastAsia="Calibri" w:hAnsi="Calibri"/>
          <w:sz w:val="18"/>
          <w:szCs w:val="18"/>
        </w:rPr>
        <w:t xml:space="preserve">13.  Han F, Chen J, Belkin-Rosen A, Gu Y, Luo L, Buxton OM, Liu X. Reduced coupling between cerebrospinal fluid flow and global brain activity is linked to Alzheimer disease-related pathology. PLoS Biology. 2021;19(6):e3001233. doi:10.1371/journal.pbio.3001233. PMID 34061820.</w:t>
      </w:r>
    </w:p>
    <w:p>
      <w:pPr>
        <w:spacing w:after="100" w:before="0" w:line="252"/>
        <w:ind w:left="420" w:hanging="420"/>
      </w:pPr>
      <w:r>
        <w:rPr>
          <w:rFonts w:ascii="Calibri" w:cs="Calibri" w:eastAsia="Calibri" w:hAnsi="Calibri"/>
          <w:sz w:val="18"/>
          <w:szCs w:val="18"/>
        </w:rPr>
        <w:t xml:space="preserve">14.  Mukherjee S, Tithof J. Model of glymphatic clearance of aggregating proteins from the brain interstitium. Physical Review E. 2022;105(2-1):024405. doi:10.1103/PhysRevE.105.024405. PMID 35291186.</w:t>
      </w:r>
    </w:p>
    <w:p>
      <w:pPr>
        <w:spacing w:after="100" w:before="0" w:line="252"/>
        <w:ind w:left="420" w:hanging="420"/>
      </w:pPr>
      <w:r>
        <w:rPr>
          <w:rFonts w:ascii="Calibri" w:cs="Calibri" w:eastAsia="Calibri" w:hAnsi="Calibri"/>
          <w:sz w:val="18"/>
          <w:szCs w:val="18"/>
        </w:rPr>
        <w:t xml:space="preserve">15.  Miao A, Luo T, Hsieh B, Edge CJ, Gridley M, Wong RTC, Constandinou TG, Wisden W, Franks NP. Brain clearance is reduced during sleep and anesthesia. Nature Neuroscience. 2024;27(6):1046–1050. doi:10.1038/s41593-024-01638-y. PMID 38741022. [Author Correction: Nature Neuroscience. 2024;27(7):1425. doi:10.1038/s41593-024-01698-0. PMID 38877307.]</w:t>
      </w:r>
    </w:p>
    <w:p>
      <w:pPr>
        <w:spacing w:after="100" w:before="0" w:line="252"/>
        <w:ind w:left="420" w:hanging="420"/>
      </w:pPr>
      <w:r>
        <w:rPr>
          <w:rFonts w:ascii="Calibri" w:cs="Calibri" w:eastAsia="Calibri" w:hAnsi="Calibri"/>
          <w:sz w:val="18"/>
          <w:szCs w:val="18"/>
        </w:rPr>
        <w:t xml:space="preserve">16.  Cankar N, Beschorner N, Tsopanidou A, Qvist FL, Colaço AR, Andersen M, Kjaerby C, Delle C, Lambert M, Mundt F, Weikop P, Jucker M, Mann M, Skotte NH, Nedergaard M. Sleep deprivation leads to non-adaptive alterations in sleep microarchitecture and amyloid-β accumulation in a murine Alzheimer model. Cell Reports. 2024;43(11):114977. doi:10.1016/j.celrep.2024.114977. PMID 39541211.</w:t>
      </w:r>
    </w:p>
    <w:p>
      <w:pPr>
        <w:spacing w:after="100" w:before="0" w:line="252"/>
        <w:ind w:left="420" w:hanging="420"/>
      </w:pPr>
      <w:r>
        <w:rPr>
          <w:rFonts w:ascii="Calibri" w:cs="Calibri" w:eastAsia="Calibri" w:hAnsi="Calibri"/>
          <w:sz w:val="18"/>
          <w:szCs w:val="18"/>
        </w:rPr>
        <w:t xml:space="preserve">17.  Hauglund NL, Andersen M, Tokarska K, Radovanovic T, Kjaerby C, Sørensen FL, Bojarowska Z, Untiet V, Ballestero SB, Kolmos MG, Weikop P, Hirase H, Nedergaard M. Norepinephrine-mediated slow vasomotion drives glymphatic clearance during sleep. Cell. 2025;188(3):606–622.e17. doi:10.1016/j.cell.2024.11.027. PMID 39788123.</w:t>
      </w:r>
    </w:p>
    <w:p>
      <w:pPr>
        <w:spacing w:after="100" w:before="0" w:line="252"/>
        <w:ind w:left="420" w:hanging="420"/>
      </w:pPr>
      <w:r>
        <w:rPr>
          <w:rFonts w:ascii="Calibri" w:cs="Calibri" w:eastAsia="Calibri" w:hAnsi="Calibri"/>
          <w:sz w:val="18"/>
          <w:szCs w:val="18"/>
        </w:rPr>
        <w:t xml:space="preserve">18.  Ding J, Zhao C, Hao X, Jiao H. Glymphatic and meningeal lymphatic dysfunction in Alzheimer's disease: mechanisms and therapeutic perspectives. Alzheimer's &amp; Dementia. 2025;21(10):e70709. doi:10.1002/alz.70709. PMID 41152198.</w:t>
      </w:r>
    </w:p>
    <w:p>
      <w:pPr>
        <w:spacing w:after="100" w:before="0" w:line="252"/>
        <w:ind w:left="420" w:hanging="420"/>
      </w:pPr>
      <w:r>
        <w:rPr>
          <w:rFonts w:ascii="Calibri" w:cs="Calibri" w:eastAsia="Calibri" w:hAnsi="Calibri"/>
          <w:sz w:val="18"/>
          <w:szCs w:val="18"/>
        </w:rPr>
        <w:t xml:space="preserve">19.  Shetty AK, Zanirati G. The interstitial system of the brain in health and disease. Aging and Disease. 2020;11(1):200–211. doi:10.14336/AD.2020.0103. PMID 32010493.</w:t>
      </w:r>
    </w:p>
    <w:p>
      <w:pPr>
        <w:spacing w:after="100" w:before="0" w:line="252"/>
        <w:ind w:left="420" w:hanging="420"/>
      </w:pPr>
      <w:r>
        <w:rPr>
          <w:rFonts w:ascii="Calibri" w:cs="Calibri" w:eastAsia="Calibri" w:hAnsi="Calibri"/>
          <w:sz w:val="18"/>
          <w:szCs w:val="18"/>
        </w:rPr>
        <w:t xml:space="preserve">20.  Toriello M, González-Quintanilla V, Pascual J. The glymphatic system and its involvement in disorders of the nervous system. Medicina Clínica (Barcelona). 2021;156(7):339–343. doi:10.1016/j.medcli.2020.08.020. PMID 33423825.</w:t>
      </w:r>
    </w:p>
    <w:p>
      <w:pPr>
        <w:spacing w:after="100" w:before="0" w:line="252"/>
        <w:ind w:left="420" w:hanging="420"/>
      </w:pPr>
      <w:r>
        <w:rPr>
          <w:rFonts w:ascii="Calibri" w:cs="Calibri" w:eastAsia="Calibri" w:hAnsi="Calibri"/>
          <w:sz w:val="18"/>
          <w:szCs w:val="18"/>
        </w:rPr>
        <w:t xml:space="preserve">21.  Santerre M, et al. AQP4-mediated glymphatic clearance: sleep, neurodegeneration, and the translational gap. Neuroscience and Biobehavioral Reviews. 2026. Retrieved via Consensus: https://consensus.app/papers/details/4ae01369f86a57a490daa5bdfbb5e1ce/</w:t>
      </w:r>
    </w:p>
    <w:p>
      <w:pPr>
        <w:spacing w:after="100" w:before="0" w:line="252"/>
        <w:ind w:left="420" w:hanging="420"/>
      </w:pPr>
      <w:r>
        <w:rPr>
          <w:rFonts w:ascii="Calibri" w:cs="Calibri" w:eastAsia="Calibri" w:hAnsi="Calibri"/>
          <w:sz w:val="18"/>
          <w:szCs w:val="18"/>
        </w:rPr>
        <w:t xml:space="preserve">22.  de la Herrán-Arita AK. When sleep fails, brain clearance suffers: the role of glymphatic impairment in clinical neurology. Acta Neurologica Belgica. 2025. Retrieved via Consensus: https://consensus.app/papers/details/04a4521a3e675c5f9156c48cb0c52893/</w:t>
      </w:r>
    </w:p>
    <w:p>
      <w:pPr>
        <w:spacing w:after="100" w:before="0" w:line="252"/>
        <w:ind w:left="420" w:hanging="420"/>
      </w:pPr>
      <w:r>
        <w:rPr>
          <w:rFonts w:ascii="Calibri" w:cs="Calibri" w:eastAsia="Calibri" w:hAnsi="Calibri"/>
          <w:sz w:val="18"/>
          <w:szCs w:val="18"/>
        </w:rPr>
        <w:t xml:space="preserve">23.  Yang H, et al. Glymphatic system dysfunction: a link between sleep disorders and neurodegeneration. Psychopharmacology. 2026. Retrieved via Consensus: https://consensus.app/papers/details/9f9f63da1bea5115a1c9135f593950dc/</w:t>
      </w:r>
    </w:p>
    <w:p>
      <w:pPr>
        <w:spacing w:after="100" w:before="0" w:line="252"/>
        <w:ind w:left="420" w:hanging="420"/>
      </w:pPr>
      <w:r>
        <w:rPr>
          <w:rFonts w:ascii="Calibri" w:cs="Calibri" w:eastAsia="Calibri" w:hAnsi="Calibri"/>
          <w:sz w:val="18"/>
          <w:szCs w:val="18"/>
        </w:rPr>
        <w:t xml:space="preserve">24.  ClinicalTrials.gov (NIH/NLM). Deep cervical lymphatic-venous anastomosis surgery for the treatment of Alzheimer's disease: a pilot study (DIVA Study). NCT06530732. Sponsor: Zhejiang Provincial People's Hospital.</w:t>
      </w:r>
    </w:p>
    <w:p>
      <w:pPr>
        <w:spacing w:after="100" w:before="0" w:line="252"/>
        <w:ind w:left="420" w:hanging="420"/>
      </w:pPr>
      <w:r>
        <w:rPr>
          <w:rFonts w:ascii="Calibri" w:cs="Calibri" w:eastAsia="Calibri" w:hAnsi="Calibri"/>
          <w:sz w:val="18"/>
          <w:szCs w:val="18"/>
        </w:rPr>
        <w:t xml:space="preserve">25.  ClinicalTrials.gov (NIH/NLM). Additional registry records cited in Table 3: NCT06852352, NCT06965062, NCT07432997, NCT06421532, NCT05606991, NCT07601841, NCT07324161, NCT05059158, NCT04506892.</w:t>
      </w:r>
    </w:p>
    <w:p>
      <w:pPr>
        <w:pBdr>
          <w:bottom w:val="single" w:color="B9C4CE" w:sz="6" w:space="1"/>
        </w:pBdr>
        <w:spacing w:after="200" w:before="60"/>
      </w:pPr>
      <w:r>
        <w:rPr>
          <w:sz w:val="2"/>
          <w:szCs w:val="2"/>
        </w:rPr>
        <w:t xml:space="preserve"/>
      </w:r>
    </w:p>
    <w:p>
      <w:pPr>
        <w:spacing w:after="60" w:before="100"/>
      </w:pPr>
      <w:r>
        <w:rPr>
          <w:rFonts w:ascii="Calibri" w:cs="Calibri" w:eastAsia="Calibri" w:hAnsi="Calibri"/>
          <w:i/>
          <w:iCs/>
          <w:color w:val="5A5A5A"/>
          <w:sz w:val="16"/>
          <w:szCs w:val="16"/>
        </w:rPr>
        <w:t xml:space="preserve">Source attribution. Bibliographic metadata, abstracts and full-text content for references 1–20 were retrieved from PubMed and PubMed Central (National Library of Medicine). References 21–23 were identified through Consensus. Clinical trial records were retrieved from ClinicalTrials.gov, the NIH/NLM registry. Figures 1–3 are original schematics and charts prepared for this review from values and descriptions reported in the cited primary sources; they are not reproductions of published figures.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Sleep-Dependent Glymphatic Clearance and Neurodegeneration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45ebac278dce636e2b4d72b0fcb42e83c20896.png"/><Relationship Id="rId9" Type="http://schemas.openxmlformats.org/officeDocument/2006/relationships/image" Target="media/8e3cee9be911073bfdf8a36943c91b8538a95e44.png"/><Relationship Id="rId10" Type="http://schemas.openxmlformats.org/officeDocument/2006/relationships/image" Target="media/740010df054b4c8b788d11197039a4fde113af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Sleep-Dependent Glymphatic Clearance and Neurodegeneration</dc:title>
  <dc:creator>Weekly Bio Science Review</dc:creator>
  <dc:description>A scientific review of the glymphatic hypothesis, its evidence base, and the 2024 controversy.</dc:description>
  <cp:lastModifiedBy>Un-named</cp:lastModifiedBy>
  <cp:revision>1</cp:revision>
  <dcterms:created xsi:type="dcterms:W3CDTF">2026-08-26T10:17:19.085Z</dcterms:created>
  <dcterms:modified xsi:type="dcterms:W3CDTF">2026-08-26T10:17:19.085Z</dcterms:modified>
</cp:coreProperties>
</file>

<file path=docProps/custom.xml><?xml version="1.0" encoding="utf-8"?>
<Properties xmlns="http://schemas.openxmlformats.org/officeDocument/2006/custom-properties" xmlns:vt="http://schemas.openxmlformats.org/officeDocument/2006/docPropsVTypes"/>
</file>