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6F8B"/>
          <w:sz w:val="16"/>
          <w:szCs w:val="16"/>
        </w:rPr>
        <w:t xml:space="preserve">REVIEW ARTICLE · ISLET CELL BIOLOGY AND ENDOCRINOLOGY</w:t>
      </w:r>
    </w:p>
    <w:p>
      <w:pPr>
        <w:pBdr>
          <w:bottom w:val="single" w:color="1F6F8B" w:sz="8" w:space="8"/>
        </w:pBdr>
        <w:spacing w:after="100"/>
      </w:pPr>
    </w:p>
    <w:p>
      <w:pPr>
        <w:spacing w:after="90" w:before="150"/>
      </w:pPr>
      <w:r>
        <w:rPr>
          <w:rFonts w:ascii="Calibri" w:cs="Calibri" w:eastAsia="Calibri" w:hAnsi="Calibri"/>
          <w:b/>
          <w:bCs/>
          <w:color w:val="1B2733"/>
          <w:sz w:val="36"/>
          <w:szCs w:val="36"/>
        </w:rPr>
        <w:t xml:space="preserve">β-Cell Dedifferentiation and the Loss of Islet Cell Identity in Type 2 Diabetes</w:t>
      </w:r>
    </w:p>
    <w:p>
      <w:pPr>
        <w:spacing w:after="160"/>
      </w:pPr>
      <w:r>
        <w:rPr>
          <w:rFonts w:ascii="Calibri" w:cs="Calibri" w:eastAsia="Calibri" w:hAnsi="Calibri"/>
          <w:i/>
          <w:iCs/>
          <w:color w:val="5B6770"/>
          <w:sz w:val="24"/>
          <w:szCs w:val="24"/>
        </w:rPr>
        <w:t xml:space="preserve">Mechanisms, human evidence, and the therapeutic case for redifferentiation</w:t>
      </w:r>
    </w:p>
    <w:p>
      <w:pPr>
        <w:spacing w:after="300"/>
      </w:pPr>
      <w:r>
        <w:rPr>
          <w:rFonts w:ascii="Calibri" w:cs="Calibri" w:eastAsia="Calibri" w:hAnsi="Calibri"/>
          <w:color w:val="5B6770"/>
          <w:sz w:val="18"/>
          <w:szCs w:val="18"/>
        </w:rPr>
        <w:t xml:space="preserve">A literature review · 12 October 2026</w:t>
      </w:r>
    </w:p>
    <w:p>
      <w:pPr>
        <w:pStyle w:val="Heading1"/>
        <w:spacing w:after="170" w:before="380"/>
      </w:pPr>
      <w:r>
        <w:rPr>
          <w:rFonts w:ascii="Calibri" w:cs="Calibri" w:eastAsia="Calibri" w:hAnsi="Calibri"/>
          <w:b/>
          <w:bCs/>
          <w:color w:val="1B2733"/>
          <w:sz w:val="29"/>
          <w:szCs w:val="29"/>
        </w:rPr>
        <w:t xml:space="preserve">Abstract</w:t>
      </w:r>
    </w:p>
    <w:p>
      <w:pPr>
        <w:spacing w:after="140" w:line="276"/>
        <w:jc w:val="both"/>
      </w:pPr>
      <w:r>
        <w:rPr>
          <w:rFonts w:ascii="Calibri" w:cs="Calibri" w:eastAsia="Calibri" w:hAnsi="Calibri"/>
          <w:color w:val="1B2733"/>
          <w:sz w:val="21"/>
          <w:szCs w:val="21"/>
        </w:rPr>
        <w:t xml:space="preserve">For most of the twentieth century, the progressive insulin-secretory failure that defines type 2 diabetes (T2D) was attributed to the death of pancreatic β-cells. That view has been substantially revised. Lineage-tracing work in mice first showed that β-cells disappearing from the insulin-positive compartment were not dying but losing their differentiated identity — switching off the transcription factors that define them, reactivating progenitor genes, and in some cases adopting the phenotype of neighbouring α- and δ-cells. Human pancreas studies have since confirmed a comparable process, and quantitative histology now links the burden of dedifferentiated cells directly to in vivo β-cell function.</w:t>
      </w:r>
    </w:p>
    <w:p>
      <w:pPr>
        <w:spacing w:after="140" w:line="276"/>
        <w:jc w:val="both"/>
      </w:pPr>
      <w:r>
        <w:rPr>
          <w:rFonts w:ascii="Calibri" w:cs="Calibri" w:eastAsia="Calibri" w:hAnsi="Calibri"/>
          <w:color w:val="1B2733"/>
          <w:sz w:val="21"/>
          <w:szCs w:val="21"/>
        </w:rPr>
        <w:t xml:space="preserve">This review synthesises the current mechanistic picture. It traces the pathway from upstream metabolic and microenvironmental stress (glucotoxicity, intrapancreatic fat, endoplasmic reticulum stress, islet inflammation) through the proximal signalling node formed by FOXO1 and by metabolic–epigenetic reprogramming, to the effector programme marked by ALDH1A3, BACH2, SOX9 and HES1, and finally to the phenotypic end points of identity loss, fate conversion and secretory failure. It then examines the single property that makes this biology clinically interesting: reversibility. Lineage tracing has established that ALDH1A3-positive β-cells are not a terminal population but can be reconverted to mature, functional, insulin-secreting cells; genetic and pharmacological inhibition of ALDH1A3 reproduces that effect; and in humans, recovery of first-phase insulin secretion after substantial weight loss shows that the functional reserve persists years after diagnosis.</w:t>
      </w:r>
    </w:p>
    <w:p>
      <w:pPr>
        <w:spacing w:after="140" w:line="276"/>
        <w:jc w:val="both"/>
      </w:pPr>
      <w:r>
        <w:rPr>
          <w:rFonts w:ascii="Calibri" w:cs="Calibri" w:eastAsia="Calibri" w:hAnsi="Calibri"/>
          <w:color w:val="1B2733"/>
          <w:sz w:val="21"/>
          <w:szCs w:val="21"/>
        </w:rPr>
        <w:t xml:space="preserve">The review closes with the field's unresolved problems: the absence of a consensus operational definition of a dedifferentiated cell, the reliance on cross-sectional post-mortem and paraneoplastic tissue, the uncertain relationship between dedifferentiation and β-cell senescence, the discordance between glucose lowering and identity restoration observed with incretin-based drugs, and the complete absence of any clinical trial using β-cell identity as an endpoint.</w:t>
      </w:r>
    </w:p>
    <w:p>
      <w:pPr>
        <w:pBdr>
          <w:left w:val="single" w:color="1F6F8B" w:sz="18" w:space="10"/>
        </w:pBdr>
        <w:shd w:fill="F7F9FA" w:color="auto" w:val="clear"/>
        <w:spacing w:after="120" w:before="200"/>
        <w:ind w:left="180" w:right="140"/>
      </w:pPr>
      <w:r>
        <w:rPr>
          <w:rFonts w:ascii="Calibri" w:cs="Calibri" w:eastAsia="Calibri" w:hAnsi="Calibri"/>
          <w:color w:val="5B6770"/>
          <w:sz w:val="17"/>
          <w:szCs w:val="17"/>
        </w:rPr>
        <w:t xml:space="preserve">Sources for this review were retrieved from PubMed/PubMed Central and from the ClinicalTrials.gov registry. Every factual claim and every numerical value below is traceable to a numbered reference; no data have been simulated or extrapolated beyond what the cited papers report.</w:t>
      </w:r>
    </w:p>
    <w:p>
      <w:pPr>
        <w:spacing w:after="0" w:before="120"/>
      </w:pPr>
      <w:r>
        <w:rPr>
          <w:rFonts w:ascii="Calibri" w:cs="Calibri" w:eastAsia="Calibri" w:hAnsi="Calibri"/>
          <w:b/>
          <w:bCs/>
          <w:color w:val="5B6770"/>
          <w:sz w:val="17"/>
          <w:szCs w:val="17"/>
        </w:rPr>
        <w:t xml:space="preserve">Keywords:</w:t>
      </w:r>
      <w:r>
        <w:rPr>
          <w:rFonts w:ascii="Calibri" w:cs="Calibri" w:eastAsia="Calibri" w:hAnsi="Calibri"/>
          <w:color w:val="5B6770"/>
          <w:sz w:val="17"/>
          <w:szCs w:val="17"/>
        </w:rPr>
        <w:t xml:space="preserve"> β-cell dedifferentiation · β-cell identity · type 2 diabetes · FOXO1 · ALDH1A3 · BACH2 · transdifferentiation · islet plasticity · redifferentiation</w:t>
      </w:r>
    </w:p>
    <w:p>
      <w:r>
        <w:br w:type="page"/>
      </w:r>
    </w:p>
    <w:p>
      <w:pPr>
        <w:pStyle w:val="Heading1"/>
        <w:spacing w:after="170" w:before="380"/>
      </w:pPr>
      <w:r>
        <w:rPr>
          <w:rFonts w:ascii="Calibri" w:cs="Calibri" w:eastAsia="Calibri" w:hAnsi="Calibri"/>
          <w:b/>
          <w:bCs/>
          <w:color w:val="1B2733"/>
          <w:sz w:val="29"/>
          <w:szCs w:val="29"/>
        </w:rPr>
        <w:t xml:space="preserve">Contents</w:t>
      </w:r>
    </w:p>
    <w:p>
      <w:pPr>
        <w:spacing w:after="80" w:line="260"/>
      </w:pPr>
      <w:r>
        <w:rPr>
          <w:rFonts w:ascii="Calibri" w:cs="Calibri" w:eastAsia="Calibri" w:hAnsi="Calibri"/>
          <w:color w:val="1B2733"/>
          <w:sz w:val="19"/>
          <w:szCs w:val="19"/>
        </w:rPr>
        <w:t xml:space="preserve">Abstract</w:t>
      </w:r>
      <w:r>
        <w:rPr>
          <w:rFonts w:ascii="Calibri" w:cs="Calibri" w:eastAsia="Calibri" w:hAnsi="Calibri"/>
          <w:color w:val="5B6770"/>
          <w:sz w:val="19"/>
          <w:szCs w:val="19"/>
        </w:rPr>
        <w:ptab w:alignment="right" w:relativeTo="margin" w:leader="dot"/>
        <w:t xml:space="preserve">1</w:t>
      </w:r>
    </w:p>
    <w:p>
      <w:pPr>
        <w:spacing w:after="80" w:line="260"/>
      </w:pPr>
      <w:r>
        <w:rPr>
          <w:rFonts w:ascii="Calibri" w:cs="Calibri" w:eastAsia="Calibri" w:hAnsi="Calibri"/>
          <w:color w:val="1B2733"/>
          <w:sz w:val="19"/>
          <w:szCs w:val="19"/>
        </w:rPr>
        <w:t xml:space="preserve">1.  Introduction</w:t>
      </w:r>
      <w:r>
        <w:rPr>
          <w:rFonts w:ascii="Calibri" w:cs="Calibri" w:eastAsia="Calibri" w:hAnsi="Calibri"/>
          <w:color w:val="5B6770"/>
          <w:sz w:val="19"/>
          <w:szCs w:val="19"/>
        </w:rPr>
        <w:ptab w:alignment="right" w:relativeTo="margin" w:leader="dot"/>
        <w:t xml:space="preserve">3</w:t>
      </w:r>
    </w:p>
    <w:p>
      <w:pPr>
        <w:spacing w:after="80" w:line="260"/>
      </w:pPr>
      <w:r>
        <w:rPr>
          <w:rFonts w:ascii="Calibri" w:cs="Calibri" w:eastAsia="Calibri" w:hAnsi="Calibri"/>
          <w:color w:val="1B2733"/>
          <w:sz w:val="19"/>
          <w:szCs w:val="19"/>
        </w:rPr>
        <w:t xml:space="preserve">2.  Defining the dedifferentiated β-cell</w:t>
      </w:r>
      <w:r>
        <w:rPr>
          <w:rFonts w:ascii="Calibri" w:cs="Calibri" w:eastAsia="Calibri" w:hAnsi="Calibri"/>
          <w:color w:val="5B6770"/>
          <w:sz w:val="19"/>
          <w:szCs w:val="19"/>
        </w:rPr>
        <w:ptab w:alignment="right" w:relativeTo="margin" w:leader="dot"/>
        <w:t xml:space="preserve">4</w:t>
      </w:r>
    </w:p>
    <w:p>
      <w:pPr>
        <w:spacing w:after="80" w:line="260"/>
      </w:pPr>
      <w:r>
        <w:rPr>
          <w:rFonts w:ascii="Calibri" w:cs="Calibri" w:eastAsia="Calibri" w:hAnsi="Calibri"/>
          <w:color w:val="1B2733"/>
          <w:sz w:val="19"/>
          <w:szCs w:val="19"/>
        </w:rPr>
        <w:t xml:space="preserve">3.  Human evidence</w:t>
      </w:r>
      <w:r>
        <w:rPr>
          <w:rFonts w:ascii="Calibri" w:cs="Calibri" w:eastAsia="Calibri" w:hAnsi="Calibri"/>
          <w:color w:val="5B6770"/>
          <w:sz w:val="19"/>
          <w:szCs w:val="19"/>
        </w:rPr>
        <w:ptab w:alignment="right" w:relativeTo="margin" w:leader="dot"/>
        <w:t xml:space="preserve">5</w:t>
      </w:r>
    </w:p>
    <w:p>
      <w:pPr>
        <w:spacing w:after="80" w:line="260"/>
      </w:pPr>
      <w:r>
        <w:rPr>
          <w:rFonts w:ascii="Calibri" w:cs="Calibri" w:eastAsia="Calibri" w:hAnsi="Calibri"/>
          <w:color w:val="1B2733"/>
          <w:sz w:val="19"/>
          <w:szCs w:val="19"/>
        </w:rPr>
        <w:t xml:space="preserve">4.  Mechanisms</w:t>
      </w:r>
      <w:r>
        <w:rPr>
          <w:rFonts w:ascii="Calibri" w:cs="Calibri" w:eastAsia="Calibri" w:hAnsi="Calibri"/>
          <w:color w:val="5B6770"/>
          <w:sz w:val="19"/>
          <w:szCs w:val="19"/>
        </w:rPr>
        <w:ptab w:alignment="right" w:relativeTo="margin" w:leader="dot"/>
        <w:t xml:space="preserve">8</w:t>
      </w:r>
    </w:p>
    <w:p>
      <w:pPr>
        <w:spacing w:after="80" w:line="260"/>
      </w:pPr>
      <w:r>
        <w:rPr>
          <w:rFonts w:ascii="Calibri" w:cs="Calibri" w:eastAsia="Calibri" w:hAnsi="Calibri"/>
          <w:color w:val="1B2733"/>
          <w:sz w:val="19"/>
          <w:szCs w:val="19"/>
        </w:rPr>
        <w:t xml:space="preserve">5.  Fate conversion, and what else β-cells can become</w:t>
      </w:r>
      <w:r>
        <w:rPr>
          <w:rFonts w:ascii="Calibri" w:cs="Calibri" w:eastAsia="Calibri" w:hAnsi="Calibri"/>
          <w:color w:val="5B6770"/>
          <w:sz w:val="19"/>
          <w:szCs w:val="19"/>
        </w:rPr>
        <w:ptab w:alignment="right" w:relativeTo="margin" w:leader="dot"/>
        <w:t xml:space="preserve">13</w:t>
      </w:r>
    </w:p>
    <w:p>
      <w:pPr>
        <w:spacing w:after="80" w:line="260"/>
      </w:pPr>
      <w:r>
        <w:rPr>
          <w:rFonts w:ascii="Calibri" w:cs="Calibri" w:eastAsia="Calibri" w:hAnsi="Calibri"/>
          <w:color w:val="1B2733"/>
          <w:sz w:val="19"/>
          <w:szCs w:val="19"/>
        </w:rPr>
        <w:t xml:space="preserve">6.  Reversibility and therapeutic implications</w:t>
      </w:r>
      <w:r>
        <w:rPr>
          <w:rFonts w:ascii="Calibri" w:cs="Calibri" w:eastAsia="Calibri" w:hAnsi="Calibri"/>
          <w:color w:val="5B6770"/>
          <w:sz w:val="19"/>
          <w:szCs w:val="19"/>
        </w:rPr>
        <w:ptab w:alignment="right" w:relativeTo="margin" w:leader="dot"/>
        <w:t xml:space="preserve">13</w:t>
      </w:r>
    </w:p>
    <w:p>
      <w:pPr>
        <w:spacing w:after="80" w:line="260"/>
      </w:pPr>
      <w:r>
        <w:rPr>
          <w:rFonts w:ascii="Calibri" w:cs="Calibri" w:eastAsia="Calibri" w:hAnsi="Calibri"/>
          <w:color w:val="1B2733"/>
          <w:sz w:val="19"/>
          <w:szCs w:val="19"/>
        </w:rPr>
        <w:t xml:space="preserve">7.  Open questions and limitations of the evidence</w:t>
      </w:r>
      <w:r>
        <w:rPr>
          <w:rFonts w:ascii="Calibri" w:cs="Calibri" w:eastAsia="Calibri" w:hAnsi="Calibri"/>
          <w:color w:val="5B6770"/>
          <w:sz w:val="19"/>
          <w:szCs w:val="19"/>
        </w:rPr>
        <w:ptab w:alignment="right" w:relativeTo="margin" w:leader="dot"/>
        <w:t xml:space="preserve">18</w:t>
      </w:r>
    </w:p>
    <w:p>
      <w:pPr>
        <w:spacing w:after="80" w:line="260"/>
      </w:pPr>
      <w:r>
        <w:rPr>
          <w:rFonts w:ascii="Calibri" w:cs="Calibri" w:eastAsia="Calibri" w:hAnsi="Calibri"/>
          <w:color w:val="1B2733"/>
          <w:sz w:val="19"/>
          <w:szCs w:val="19"/>
        </w:rPr>
        <w:t xml:space="preserve">8.  Conclusion</w:t>
      </w:r>
      <w:r>
        <w:rPr>
          <w:rFonts w:ascii="Calibri" w:cs="Calibri" w:eastAsia="Calibri" w:hAnsi="Calibri"/>
          <w:color w:val="5B6770"/>
          <w:sz w:val="19"/>
          <w:szCs w:val="19"/>
        </w:rPr>
        <w:ptab w:alignment="right" w:relativeTo="margin" w:leader="dot"/>
        <w:t xml:space="preserve">19</w:t>
      </w:r>
    </w:p>
    <w:p>
      <w:pPr>
        <w:spacing w:after="80" w:line="260"/>
      </w:pPr>
      <w:r>
        <w:rPr>
          <w:rFonts w:ascii="Calibri" w:cs="Calibri" w:eastAsia="Calibri" w:hAnsi="Calibri"/>
          <w:color w:val="1B2733"/>
          <w:sz w:val="19"/>
          <w:szCs w:val="19"/>
        </w:rPr>
        <w:t xml:space="preserve">References</w:t>
      </w:r>
      <w:r>
        <w:rPr>
          <w:rFonts w:ascii="Calibri" w:cs="Calibri" w:eastAsia="Calibri" w:hAnsi="Calibri"/>
          <w:color w:val="5B6770"/>
          <w:sz w:val="19"/>
          <w:szCs w:val="19"/>
        </w:rPr>
        <w:ptab w:alignment="right" w:relativeTo="margin" w:leader="dot"/>
        <w:t xml:space="preserve">20</w:t>
      </w:r>
    </w:p>
    <w:p>
      <w:pPr>
        <w:spacing w:after="120" w:before="320"/>
      </w:pPr>
      <w:r>
        <w:rPr>
          <w:rFonts w:ascii="Calibri" w:cs="Calibri" w:eastAsia="Calibri" w:hAnsi="Calibri"/>
          <w:b/>
          <w:bCs/>
          <w:color w:val="1F6F8B"/>
          <w:sz w:val="17"/>
          <w:szCs w:val="17"/>
        </w:rPr>
        <w:t xml:space="preserve">FIGURES AND TABLES</w:t>
      </w:r>
    </w:p>
    <w:p>
      <w:pPr>
        <w:spacing w:after="80" w:line="260"/>
      </w:pPr>
      <w:r>
        <w:rPr>
          <w:rFonts w:ascii="Calibri" w:cs="Calibri" w:eastAsia="Calibri" w:hAnsi="Calibri"/>
          <w:color w:val="1B2733"/>
          <w:sz w:val="17"/>
          <w:szCs w:val="17"/>
        </w:rPr>
        <w:t xml:space="preserve">Figure 1.  Integrated pathway of β-cell dedifferentiation in type 2 diabetes</w:t>
      </w:r>
      <w:r>
        <w:rPr>
          <w:rFonts w:ascii="Calibri" w:cs="Calibri" w:eastAsia="Calibri" w:hAnsi="Calibri"/>
          <w:color w:val="5B6770"/>
          <w:sz w:val="17"/>
          <w:szCs w:val="17"/>
        </w:rPr>
        <w:ptab w:alignment="right" w:relativeTo="margin" w:leader="dot"/>
        <w:t xml:space="preserve">8</w:t>
      </w:r>
    </w:p>
    <w:p>
      <w:pPr>
        <w:spacing w:after="80" w:line="260"/>
      </w:pPr>
      <w:r>
        <w:rPr>
          <w:rFonts w:ascii="Calibri" w:cs="Calibri" w:eastAsia="Calibri" w:hAnsi="Calibri"/>
          <w:color w:val="1B2733"/>
          <w:sz w:val="17"/>
          <w:szCs w:val="17"/>
        </w:rPr>
        <w:t xml:space="preserve">Figure 2.  Dedifferentiation burden versus in vivo β-cell function (HOMA-β)</w:t>
      </w:r>
      <w:r>
        <w:rPr>
          <w:rFonts w:ascii="Calibri" w:cs="Calibri" w:eastAsia="Calibri" w:hAnsi="Calibri"/>
          <w:color w:val="5B6770"/>
          <w:sz w:val="17"/>
          <w:szCs w:val="17"/>
        </w:rPr>
        <w:ptab w:alignment="right" w:relativeTo="margin" w:leader="dot"/>
        <w:t xml:space="preserve">5</w:t>
      </w:r>
    </w:p>
    <w:p>
      <w:pPr>
        <w:spacing w:after="80" w:line="260"/>
      </w:pPr>
      <w:r>
        <w:rPr>
          <w:rFonts w:ascii="Calibri" w:cs="Calibri" w:eastAsia="Calibri" w:hAnsi="Calibri"/>
          <w:color w:val="1B2733"/>
          <w:sz w:val="17"/>
          <w:szCs w:val="17"/>
        </w:rPr>
        <w:t xml:space="preserve">Figure 3.  Quantified dedifferentiation across two human cohorts</w:t>
      </w:r>
      <w:r>
        <w:rPr>
          <w:rFonts w:ascii="Calibri" w:cs="Calibri" w:eastAsia="Calibri" w:hAnsi="Calibri"/>
          <w:color w:val="5B6770"/>
          <w:sz w:val="17"/>
          <w:szCs w:val="17"/>
        </w:rPr>
        <w:ptab w:alignment="right" w:relativeTo="margin" w:leader="dot"/>
        <w:t xml:space="preserve">6</w:t>
      </w:r>
    </w:p>
    <w:p>
      <w:pPr>
        <w:spacing w:after="80" w:line="260"/>
      </w:pPr>
      <w:r>
        <w:rPr>
          <w:rFonts w:ascii="Calibri" w:cs="Calibri" w:eastAsia="Calibri" w:hAnsi="Calibri"/>
          <w:color w:val="1B2733"/>
          <w:sz w:val="17"/>
          <w:szCs w:val="17"/>
        </w:rPr>
        <w:t xml:space="preserve">Table 1.  Molecular signature of the β-cell identity axis</w:t>
      </w:r>
      <w:r>
        <w:rPr>
          <w:rFonts w:ascii="Calibri" w:cs="Calibri" w:eastAsia="Calibri" w:hAnsi="Calibri"/>
          <w:color w:val="5B6770"/>
          <w:sz w:val="17"/>
          <w:szCs w:val="17"/>
        </w:rPr>
        <w:ptab w:alignment="right" w:relativeTo="margin" w:leader="dot"/>
        <w:t xml:space="preserve">4</w:t>
      </w:r>
    </w:p>
    <w:p>
      <w:pPr>
        <w:spacing w:after="80" w:line="260"/>
      </w:pPr>
      <w:r>
        <w:rPr>
          <w:rFonts w:ascii="Calibri" w:cs="Calibri" w:eastAsia="Calibri" w:hAnsi="Calibri"/>
          <w:color w:val="1B2733"/>
          <w:sz w:val="17"/>
          <w:szCs w:val="17"/>
        </w:rPr>
        <w:t xml:space="preserve">Table 2.  Principal molecular drivers of β-cell dedifferentiation</w:t>
      </w:r>
      <w:r>
        <w:rPr>
          <w:rFonts w:ascii="Calibri" w:cs="Calibri" w:eastAsia="Calibri" w:hAnsi="Calibri"/>
          <w:color w:val="5B6770"/>
          <w:sz w:val="17"/>
          <w:szCs w:val="17"/>
        </w:rPr>
        <w:ptab w:alignment="right" w:relativeTo="margin" w:leader="dot"/>
        <w:t xml:space="preserve">12</w:t>
      </w:r>
    </w:p>
    <w:p>
      <w:pPr>
        <w:spacing w:after="80" w:line="260"/>
      </w:pPr>
      <w:r>
        <w:rPr>
          <w:rFonts w:ascii="Calibri" w:cs="Calibri" w:eastAsia="Calibri" w:hAnsi="Calibri"/>
          <w:color w:val="1B2733"/>
          <w:sz w:val="17"/>
          <w:szCs w:val="17"/>
        </w:rPr>
        <w:t xml:space="preserve">Table 3.  Interventions tested against β-cell dedifferentiation</w:t>
      </w:r>
      <w:r>
        <w:rPr>
          <w:rFonts w:ascii="Calibri" w:cs="Calibri" w:eastAsia="Calibri" w:hAnsi="Calibri"/>
          <w:color w:val="5B6770"/>
          <w:sz w:val="17"/>
          <w:szCs w:val="17"/>
        </w:rPr>
        <w:ptab w:alignment="right" w:relativeTo="margin" w:leader="dot"/>
        <w:t xml:space="preserve">15</w:t>
      </w:r>
    </w:p>
    <w:p>
      <w:pPr>
        <w:spacing w:after="80" w:line="260"/>
      </w:pPr>
      <w:r>
        <w:rPr>
          <w:rFonts w:ascii="Calibri" w:cs="Calibri" w:eastAsia="Calibri" w:hAnsi="Calibri"/>
          <w:color w:val="1B2733"/>
          <w:sz w:val="17"/>
          <w:szCs w:val="17"/>
        </w:rPr>
        <w:t xml:space="preserve">Table 4.  Representative registered studies of β-cell function</w:t>
      </w:r>
      <w:r>
        <w:rPr>
          <w:rFonts w:ascii="Calibri" w:cs="Calibri" w:eastAsia="Calibri" w:hAnsi="Calibri"/>
          <w:color w:val="5B6770"/>
          <w:sz w:val="17"/>
          <w:szCs w:val="17"/>
        </w:rPr>
        <w:ptab w:alignment="right" w:relativeTo="margin" w:leader="dot"/>
        <w:t xml:space="preserve">17</w:t>
      </w:r>
    </w:p>
    <w:p>
      <w:r>
        <w:br w:type="page"/>
      </w:r>
    </w:p>
    <w:p>
      <w:pPr>
        <w:pStyle w:val="Heading1"/>
        <w:spacing w:after="170" w:before="380"/>
      </w:pPr>
      <w:r>
        <w:rPr>
          <w:rFonts w:ascii="Calibri" w:cs="Calibri" w:eastAsia="Calibri" w:hAnsi="Calibri"/>
          <w:b/>
          <w:bCs/>
          <w:color w:val="1B2733"/>
          <w:sz w:val="29"/>
          <w:szCs w:val="29"/>
        </w:rPr>
        <w:t xml:space="preserve">1. Introduction</w:t>
      </w:r>
    </w:p>
    <w:p>
      <w:pPr>
        <w:pStyle w:val="Heading2"/>
        <w:spacing w:after="120" w:before="260"/>
      </w:pPr>
      <w:r>
        <w:rPr>
          <w:rFonts w:ascii="Calibri" w:cs="Calibri" w:eastAsia="Calibri" w:hAnsi="Calibri"/>
          <w:b/>
          <w:bCs/>
          <w:color w:val="1F6F8B"/>
          <w:sz w:val="24"/>
          <w:szCs w:val="24"/>
        </w:rPr>
        <w:t xml:space="preserve">1.1 From a deficit of cells to a deficit of identity</w:t>
      </w:r>
    </w:p>
    <w:p>
      <w:pPr>
        <w:spacing w:after="140" w:line="276"/>
        <w:jc w:val="both"/>
      </w:pPr>
      <w:r>
        <w:rPr>
          <w:rFonts w:ascii="Calibri" w:cs="Calibri" w:eastAsia="Calibri" w:hAnsi="Calibri"/>
          <w:color w:val="1B2733"/>
          <w:sz w:val="21"/>
          <w:szCs w:val="21"/>
        </w:rPr>
        <w:t xml:space="preserve">Type 2 diabetes (T2D) is defined clinically by hyperglycaemia arising when insulin secretion fails to keep pace with insulin resistance. For decades the cellular explanation for that failure was straightforward: β-cells die. Autopsy series reporting an approximately 50% reduction in relative β-cell volume in T2D, together with evidence of β-cell apoptosis, made cell death the default model, and it framed therapeutic ambition accordingly — if cells are lost, they must be replaced or made to proliferate </w:t>
      </w:r>
      <w:r>
        <w:rPr>
          <w:rFonts w:ascii="Calibri" w:cs="Calibri" w:eastAsia="Calibri" w:hAnsi="Calibri"/>
          <w:b/>
          <w:bCs/>
          <w:color w:val="1F6F8B"/>
          <w:sz w:val="18"/>
          <w:szCs w:val="18"/>
          <w:vertAlign w:val="superscript"/>
        </w:rPr>
        <w:t xml:space="preserve">[3,8]</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That framing was overturned by a lineage-tracing experiment. Talchai and colleagues deleted the forkhead transcription factor FOXO1 specifically in murine β-cells and subjected the animals to physiological stress (multiparity, ageing). The animals became hyperglycaemic and lost β-cell mass — but genetic lineage tracing showed that the cells had not died. They had switched off the insulin programme, reactivated the progenitor markers </w:t>
      </w:r>
      <w:r>
        <w:rPr>
          <w:rFonts w:ascii="Calibri" w:cs="Calibri" w:eastAsia="Calibri" w:hAnsi="Calibri"/>
          <w:i/>
          <w:iCs/>
          <w:color w:val="1B2733"/>
          <w:sz w:val="21"/>
          <w:szCs w:val="21"/>
        </w:rPr>
        <w:t xml:space="preserve">Neurogenin3</w:t>
      </w:r>
      <w:r>
        <w:rPr>
          <w:rFonts w:ascii="Calibri" w:cs="Calibri" w:eastAsia="Calibri" w:hAnsi="Calibri"/>
          <w:color w:val="1B2733"/>
          <w:sz w:val="21"/>
          <w:szCs w:val="21"/>
        </w:rPr>
        <w:t xml:space="preserve">, </w:t>
      </w:r>
      <w:r>
        <w:rPr>
          <w:rFonts w:ascii="Calibri" w:cs="Calibri" w:eastAsia="Calibri" w:hAnsi="Calibri"/>
          <w:i/>
          <w:iCs/>
          <w:color w:val="1B2733"/>
          <w:sz w:val="21"/>
          <w:szCs w:val="21"/>
        </w:rPr>
        <w:t xml:space="preserve">Oct4</w:t>
      </w:r>
      <w:r>
        <w:rPr>
          <w:rFonts w:ascii="Calibri" w:cs="Calibri" w:eastAsia="Calibri" w:hAnsi="Calibri"/>
          <w:color w:val="1B2733"/>
          <w:sz w:val="21"/>
          <w:szCs w:val="21"/>
        </w:rPr>
        <w:t xml:space="preserve">, </w:t>
      </w:r>
      <w:r>
        <w:rPr>
          <w:rFonts w:ascii="Calibri" w:cs="Calibri" w:eastAsia="Calibri" w:hAnsi="Calibri"/>
          <w:i/>
          <w:iCs/>
          <w:color w:val="1B2733"/>
          <w:sz w:val="21"/>
          <w:szCs w:val="21"/>
        </w:rPr>
        <w:t xml:space="preserve">Nanog</w:t>
      </w:r>
      <w:r>
        <w:rPr>
          <w:rFonts w:ascii="Calibri" w:cs="Calibri" w:eastAsia="Calibri" w:hAnsi="Calibri"/>
          <w:color w:val="1B2733"/>
          <w:sz w:val="21"/>
          <w:szCs w:val="21"/>
        </w:rPr>
        <w:t xml:space="preserve"> and </w:t>
      </w:r>
      <w:r>
        <w:rPr>
          <w:rFonts w:ascii="Calibri" w:cs="Calibri" w:eastAsia="Calibri" w:hAnsi="Calibri"/>
          <w:i/>
          <w:iCs/>
          <w:color w:val="1B2733"/>
          <w:sz w:val="21"/>
          <w:szCs w:val="21"/>
        </w:rPr>
        <w:t xml:space="preserve">L-Myc</w:t>
      </w:r>
      <w:r>
        <w:rPr>
          <w:rFonts w:ascii="Calibri" w:cs="Calibri" w:eastAsia="Calibri" w:hAnsi="Calibri"/>
          <w:color w:val="1B2733"/>
          <w:sz w:val="21"/>
          <w:szCs w:val="21"/>
        </w:rPr>
        <w:t xml:space="preserve">, and in a subset of cases adopted an α-cell fate, producing hyperglucagonaemia. The authors identified the same sequence in several independent murine models of diabetes and proposed that </w:t>
      </w:r>
      <w:r>
        <w:rPr>
          <w:rFonts w:ascii="Calibri" w:cs="Calibri" w:eastAsia="Calibri" w:hAnsi="Calibri"/>
          <w:i/>
          <w:iCs/>
          <w:color w:val="1B2733"/>
          <w:sz w:val="21"/>
          <w:szCs w:val="21"/>
        </w:rPr>
        <w:t xml:space="preserve">dedifferentiation trumps endocrine cell death in the natural history of β-cell failure</w:t>
      </w:r>
      <w:r>
        <w:rPr>
          <w:rFonts w:ascii="Calibri" w:cs="Calibri" w:eastAsia="Calibri" w:hAnsi="Calibri"/>
          <w:color w:val="1B2733"/>
          <w:sz w:val="21"/>
          <w:szCs w:val="21"/>
        </w:rPr>
        <w:t xml:space="preserve">, concluding that treatment should aim to restore differentiation rather than promote replication </w:t>
      </w:r>
      <w:r>
        <w:rPr>
          <w:rFonts w:ascii="Calibri" w:cs="Calibri" w:eastAsia="Calibri" w:hAnsi="Calibri"/>
          <w:b/>
          <w:bCs/>
          <w:color w:val="1F6F8B"/>
          <w:sz w:val="18"/>
          <w:szCs w:val="18"/>
          <w:vertAlign w:val="superscript"/>
        </w:rPr>
        <w:t xml:space="preserve">[1]</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The distinction is not semantic. A dead cell is gone; a dedifferentiated cell is a cell that still exists, still carries the β-cell lineage history in its genome, and — in principle — can be instructed to come back. The whole therapeutic interest of this field rests on whether that “in principle” holds in practice, and the evidence reviewed in Section 6 indicates that, at least up to a point, it does.</w:t>
      </w:r>
    </w:p>
    <w:p>
      <w:pPr>
        <w:pStyle w:val="Heading2"/>
        <w:spacing w:after="120" w:before="260"/>
      </w:pPr>
      <w:r>
        <w:rPr>
          <w:rFonts w:ascii="Calibri" w:cs="Calibri" w:eastAsia="Calibri" w:hAnsi="Calibri"/>
          <w:b/>
          <w:bCs/>
          <w:color w:val="1F6F8B"/>
          <w:sz w:val="24"/>
          <w:szCs w:val="24"/>
        </w:rPr>
        <w:t xml:space="preserve">1.2 Biological background: what makes a β-cell a β-cell</w:t>
      </w:r>
    </w:p>
    <w:p>
      <w:pPr>
        <w:spacing w:after="140" w:line="276"/>
        <w:jc w:val="both"/>
      </w:pPr>
      <w:r>
        <w:rPr>
          <w:rFonts w:ascii="Calibri" w:cs="Calibri" w:eastAsia="Calibri" w:hAnsi="Calibri"/>
          <w:color w:val="1B2733"/>
          <w:sz w:val="21"/>
          <w:szCs w:val="21"/>
        </w:rPr>
        <w:t xml:space="preserve">The islet of Langerhans is a compact endocrine micro-organ embedded in exocrine pancreas, comprising insulin-secreting β-cells, glucagon-secreting α-cells, somatostatin-secreting δ-cells, and smaller populations of pancreatic polypeptide and ghrelin cells. All derive from a common NEUROG3 (NGN3)-expressing endocrine progenitor during development; after that progenitor window closes, lineage choice is normally locked in and NGN3 is silenced. The re-expression of NGN3 in an adult islet is therefore a conspicuous signal that the developmental hierarchy has been partially reopened </w:t>
      </w:r>
      <w:r>
        <w:rPr>
          <w:rFonts w:ascii="Calibri" w:cs="Calibri" w:eastAsia="Calibri" w:hAnsi="Calibri"/>
          <w:b/>
          <w:bCs/>
          <w:color w:val="1F6F8B"/>
          <w:sz w:val="18"/>
          <w:szCs w:val="18"/>
          <w:vertAlign w:val="superscript"/>
        </w:rPr>
        <w:t xml:space="preserve">[1,4,19]</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Mature β-cell identity is maintained by a self-reinforcing transcription factor network — principally PDX1, NKX6.1 and MAFA, with contributions from ISL1, NEUROD1 and PAX6. These factors sustain the machinery of glucose-stimulated insulin secretion (GSIS): the glucose transporter GLUT2 (</w:t>
      </w:r>
      <w:r>
        <w:rPr>
          <w:rFonts w:ascii="Calibri" w:cs="Calibri" w:eastAsia="Calibri" w:hAnsi="Calibri"/>
          <w:i/>
          <w:iCs/>
          <w:color w:val="1B2733"/>
          <w:sz w:val="21"/>
          <w:szCs w:val="21"/>
        </w:rPr>
        <w:t xml:space="preserve">SLC2A2</w:t>
      </w:r>
      <w:r>
        <w:rPr>
          <w:rFonts w:ascii="Calibri" w:cs="Calibri" w:eastAsia="Calibri" w:hAnsi="Calibri"/>
          <w:color w:val="1B2733"/>
          <w:sz w:val="21"/>
          <w:szCs w:val="21"/>
        </w:rPr>
        <w:t xml:space="preserve">), the metabolic sensor glucokinase (GCK), the mitochondrial coupling that converts glycolytic flux to a rise in the ATP/ADP ratio, closure of Kᴀᴛᴘ channels, membrane depolarisation, Ca²⁺ influx and exocytosis of insulin granules. They also sustain “disallowed-gene” repression — the active silencing of genes such as </w:t>
      </w:r>
      <w:r>
        <w:rPr>
          <w:rFonts w:ascii="Calibri" w:cs="Calibri" w:eastAsia="Calibri" w:hAnsi="Calibri"/>
          <w:i/>
          <w:iCs/>
          <w:color w:val="1B2733"/>
          <w:sz w:val="21"/>
          <w:szCs w:val="21"/>
        </w:rPr>
        <w:t xml:space="preserve">LDHA</w:t>
      </w:r>
      <w:r>
        <w:rPr>
          <w:rFonts w:ascii="Calibri" w:cs="Calibri" w:eastAsia="Calibri" w:hAnsi="Calibri"/>
          <w:color w:val="1B2733"/>
          <w:sz w:val="21"/>
          <w:szCs w:val="21"/>
        </w:rPr>
        <w:t xml:space="preserve"> and </w:t>
      </w:r>
      <w:r>
        <w:rPr>
          <w:rFonts w:ascii="Calibri" w:cs="Calibri" w:eastAsia="Calibri" w:hAnsi="Calibri"/>
          <w:i/>
          <w:iCs/>
          <w:color w:val="1B2733"/>
          <w:sz w:val="21"/>
          <w:szCs w:val="21"/>
        </w:rPr>
        <w:t xml:space="preserve">MCT1</w:t>
      </w:r>
      <w:r>
        <w:rPr>
          <w:rFonts w:ascii="Calibri" w:cs="Calibri" w:eastAsia="Calibri" w:hAnsi="Calibri"/>
          <w:color w:val="1B2733"/>
          <w:sz w:val="21"/>
          <w:szCs w:val="21"/>
        </w:rPr>
        <w:t xml:space="preserve"> whose expression would uncouple insulin release from glucose </w:t>
      </w:r>
      <w:r>
        <w:rPr>
          <w:rFonts w:ascii="Calibri" w:cs="Calibri" w:eastAsia="Calibri" w:hAnsi="Calibri"/>
          <w:b/>
          <w:bCs/>
          <w:color w:val="1F6F8B"/>
          <w:sz w:val="18"/>
          <w:szCs w:val="18"/>
          <w:vertAlign w:val="superscript"/>
        </w:rPr>
        <w:t xml:space="preserve">[9]</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Two further markers are worth introducing here because they recur throughout this review. </w:t>
      </w:r>
      <w:r>
        <w:rPr>
          <w:rFonts w:ascii="Calibri" w:cs="Calibri" w:eastAsia="Calibri" w:hAnsi="Calibri"/>
          <w:b/>
          <w:bCs/>
          <w:color w:val="1B2733"/>
          <w:sz w:val="21"/>
          <w:szCs w:val="21"/>
        </w:rPr>
        <w:t xml:space="preserve">Urocortin 3 (UCN3)</w:t>
      </w:r>
      <w:r>
        <w:rPr>
          <w:rFonts w:ascii="Calibri" w:cs="Calibri" w:eastAsia="Calibri" w:hAnsi="Calibri"/>
          <w:color w:val="1B2733"/>
          <w:sz w:val="21"/>
          <w:szCs w:val="21"/>
        </w:rPr>
        <w:t xml:space="preserve"> is a marker of functional β-cell maturity; its expression tracks the capacity for appropriately regulated secretion </w:t>
      </w:r>
      <w:r>
        <w:rPr>
          <w:rFonts w:ascii="Calibri" w:cs="Calibri" w:eastAsia="Calibri" w:hAnsi="Calibri"/>
          <w:b/>
          <w:bCs/>
          <w:color w:val="1F6F8B"/>
          <w:sz w:val="18"/>
          <w:szCs w:val="18"/>
          <w:vertAlign w:val="superscript"/>
        </w:rPr>
        <w:t xml:space="preserve">[3]</w:t>
      </w:r>
      <w:r>
        <w:rPr>
          <w:rFonts w:ascii="Calibri" w:cs="Calibri" w:eastAsia="Calibri" w:hAnsi="Calibri"/>
          <w:color w:val="1B2733"/>
          <w:sz w:val="21"/>
          <w:szCs w:val="21"/>
        </w:rPr>
        <w:t xml:space="preserve">. </w:t>
      </w:r>
      <w:r>
        <w:rPr>
          <w:rFonts w:ascii="Calibri" w:cs="Calibri" w:eastAsia="Calibri" w:hAnsi="Calibri"/>
          <w:b/>
          <w:bCs/>
          <w:color w:val="1B2733"/>
          <w:sz w:val="21"/>
          <w:szCs w:val="21"/>
        </w:rPr>
        <w:t xml:space="preserve">ALDH1A3</w:t>
      </w:r>
      <w:r>
        <w:rPr>
          <w:rFonts w:ascii="Calibri" w:cs="Calibri" w:eastAsia="Calibri" w:hAnsi="Calibri"/>
          <w:color w:val="1B2733"/>
          <w:sz w:val="21"/>
          <w:szCs w:val="21"/>
        </w:rPr>
        <w:t xml:space="preserve"> (aldehyde dehydrogenase 1 family member A3, also RALDH3) is the converse: a retinaldehyde dehydrogenase normally </w:t>
      </w:r>
      <w:r>
        <w:rPr>
          <w:rFonts w:ascii="Calibri" w:cs="Calibri" w:eastAsia="Calibri" w:hAnsi="Calibri"/>
          <w:i/>
          <w:iCs/>
          <w:color w:val="1B2733"/>
          <w:sz w:val="21"/>
          <w:szCs w:val="21"/>
        </w:rPr>
        <w:t xml:space="preserve">absent</w:t>
      </w:r>
      <w:r>
        <w:rPr>
          <w:rFonts w:ascii="Calibri" w:cs="Calibri" w:eastAsia="Calibri" w:hAnsi="Calibri"/>
          <w:color w:val="1B2733"/>
          <w:sz w:val="21"/>
          <w:szCs w:val="21"/>
        </w:rPr>
        <w:t xml:space="preserve"> from healthy β-cells, whose ectopic appearance is the single most-used marker of the dedifferentiated state, and — as Section 4.2 describes — is not merely a marker but an effector </w:t>
      </w:r>
      <w:r>
        <w:rPr>
          <w:rFonts w:ascii="Calibri" w:cs="Calibri" w:eastAsia="Calibri" w:hAnsi="Calibri"/>
          <w:b/>
          <w:bCs/>
          <w:color w:val="1F6F8B"/>
          <w:sz w:val="18"/>
          <w:szCs w:val="18"/>
          <w:vertAlign w:val="superscript"/>
        </w:rPr>
        <w:t xml:space="preserve">[5,8]</w:t>
      </w:r>
      <w:r>
        <w:rPr>
          <w:rFonts w:ascii="Calibri" w:cs="Calibri" w:eastAsia="Calibri" w:hAnsi="Calibri"/>
          <w:color w:val="1B2733"/>
          <w:sz w:val="21"/>
          <w:szCs w:val="21"/>
        </w:rPr>
        <w:t xml:space="preserve">.</w:t>
      </w:r>
    </w:p>
    <w:p>
      <w:pPr>
        <w:pStyle w:val="Heading1"/>
        <w:spacing w:after="170" w:before="380"/>
      </w:pPr>
      <w:r>
        <w:rPr>
          <w:rFonts w:ascii="Calibri" w:cs="Calibri" w:eastAsia="Calibri" w:hAnsi="Calibri"/>
          <w:b/>
          <w:bCs/>
          <w:color w:val="1B2733"/>
          <w:sz w:val="29"/>
          <w:szCs w:val="29"/>
        </w:rPr>
        <w:t xml:space="preserve">2. Defining the dedifferentiated β-cell</w:t>
      </w:r>
    </w:p>
    <w:p>
      <w:pPr>
        <w:spacing w:after="140" w:line="276"/>
        <w:jc w:val="both"/>
      </w:pPr>
      <w:r>
        <w:rPr>
          <w:rFonts w:ascii="Calibri" w:cs="Calibri" w:eastAsia="Calibri" w:hAnsi="Calibri"/>
          <w:color w:val="1B2733"/>
          <w:sz w:val="21"/>
          <w:szCs w:val="21"/>
        </w:rPr>
        <w:t xml:space="preserve">There is no single assay for dedifferentiation, and this is a real methodological weakness of the field. In practice three operational definitions are used, often in combination.</w:t>
      </w:r>
    </w:p>
    <w:p>
      <w:pPr>
        <w:pStyle w:val="ListParagraph"/>
        <w:numPr>
          <w:ilvl w:val="0"/>
          <w:numId w:val="2"/>
        </w:numPr>
        <w:spacing w:after="90" w:line="270"/>
      </w:pPr>
      <w:r>
        <w:rPr>
          <w:rFonts w:ascii="Calibri" w:cs="Calibri" w:eastAsia="Calibri" w:hAnsi="Calibri"/>
          <w:b/>
          <w:bCs/>
          <w:color w:val="1B2733"/>
          <w:sz w:val="21"/>
          <w:szCs w:val="21"/>
        </w:rPr>
        <w:t xml:space="preserve">The hormone-negative endocrine cell.</w:t>
      </w:r>
      <w:r>
        <w:rPr>
          <w:rFonts w:ascii="Calibri" w:cs="Calibri" w:eastAsia="Calibri" w:hAnsi="Calibri"/>
          <w:color w:val="1B2733"/>
          <w:sz w:val="21"/>
          <w:szCs w:val="21"/>
        </w:rPr>
        <w:t xml:space="preserve"> A cell that stains positive for the pan-endocrine marker chromogranin A (CHGA) but negative for all islet hormones (insulin, glucagon, somatostatin, pancreatic polypeptide). This is the workhorse definition in human histology </w:t>
      </w:r>
      <w:r>
        <w:rPr>
          <w:rFonts w:ascii="Calibri" w:cs="Calibri" w:eastAsia="Calibri" w:hAnsi="Calibri"/>
          <w:b/>
          <w:bCs/>
          <w:color w:val="1F6F8B"/>
          <w:sz w:val="18"/>
          <w:szCs w:val="18"/>
          <w:vertAlign w:val="superscript"/>
        </w:rPr>
        <w:t xml:space="preserve">[2,3]</w:t>
      </w:r>
      <w:r>
        <w:rPr>
          <w:rFonts w:ascii="Calibri" w:cs="Calibri" w:eastAsia="Calibri" w:hAnsi="Calibri"/>
          <w:color w:val="1B2733"/>
          <w:sz w:val="21"/>
          <w:szCs w:val="21"/>
        </w:rPr>
        <w:t xml:space="preserve">.</w:t>
      </w:r>
    </w:p>
    <w:p>
      <w:pPr>
        <w:pStyle w:val="ListParagraph"/>
        <w:numPr>
          <w:ilvl w:val="0"/>
          <w:numId w:val="2"/>
        </w:numPr>
        <w:spacing w:after="90" w:line="270"/>
      </w:pPr>
      <w:r>
        <w:rPr>
          <w:rFonts w:ascii="Calibri" w:cs="Calibri" w:eastAsia="Calibri" w:hAnsi="Calibri"/>
          <w:b/>
          <w:bCs/>
          <w:color w:val="1B2733"/>
          <w:sz w:val="21"/>
          <w:szCs w:val="21"/>
        </w:rPr>
        <w:t xml:space="preserve">Loss of the identity transcription factor module.</w:t>
      </w:r>
      <w:r>
        <w:rPr>
          <w:rFonts w:ascii="Calibri" w:cs="Calibri" w:eastAsia="Calibri" w:hAnsi="Calibri"/>
          <w:color w:val="1B2733"/>
          <w:sz w:val="21"/>
          <w:szCs w:val="21"/>
        </w:rPr>
        <w:t xml:space="preserve"> Reduced nuclear PDX1, NKX6.1 or MAFA in cells that are still insulin-positive — a “partial” or early state </w:t>
      </w:r>
      <w:r>
        <w:rPr>
          <w:rFonts w:ascii="Calibri" w:cs="Calibri" w:eastAsia="Calibri" w:hAnsi="Calibri"/>
          <w:b/>
          <w:bCs/>
          <w:color w:val="1F6F8B"/>
          <w:sz w:val="18"/>
          <w:szCs w:val="18"/>
          <w:vertAlign w:val="superscript"/>
        </w:rPr>
        <w:t xml:space="preserve">[1,10,19]</w:t>
      </w:r>
      <w:r>
        <w:rPr>
          <w:rFonts w:ascii="Calibri" w:cs="Calibri" w:eastAsia="Calibri" w:hAnsi="Calibri"/>
          <w:color w:val="1B2733"/>
          <w:sz w:val="21"/>
          <w:szCs w:val="21"/>
        </w:rPr>
        <w:t xml:space="preserve">.</w:t>
      </w:r>
    </w:p>
    <w:p>
      <w:pPr>
        <w:pStyle w:val="ListParagraph"/>
        <w:numPr>
          <w:ilvl w:val="0"/>
          <w:numId w:val="2"/>
        </w:numPr>
        <w:spacing w:after="90" w:line="270"/>
      </w:pPr>
      <w:r>
        <w:rPr>
          <w:rFonts w:ascii="Calibri" w:cs="Calibri" w:eastAsia="Calibri" w:hAnsi="Calibri"/>
          <w:b/>
          <w:bCs/>
          <w:color w:val="1B2733"/>
          <w:sz w:val="21"/>
          <w:szCs w:val="21"/>
        </w:rPr>
        <w:t xml:space="preserve">Gain of the dedifferentiation programme.</w:t>
      </w:r>
      <w:r>
        <w:rPr>
          <w:rFonts w:ascii="Calibri" w:cs="Calibri" w:eastAsia="Calibri" w:hAnsi="Calibri"/>
          <w:color w:val="1B2733"/>
          <w:sz w:val="21"/>
          <w:szCs w:val="21"/>
        </w:rPr>
        <w:t xml:space="preserve"> Ectopic ALDH1A3, BACH2, SOX9, HES1 or NGN3 expression. ALDH1A3 is the earliest of these to appear and is therefore the most useful for identifying cells on the way to, but not yet at, full identity loss </w:t>
      </w:r>
      <w:r>
        <w:rPr>
          <w:rFonts w:ascii="Calibri" w:cs="Calibri" w:eastAsia="Calibri" w:hAnsi="Calibri"/>
          <w:b/>
          <w:bCs/>
          <w:color w:val="1F6F8B"/>
          <w:sz w:val="18"/>
          <w:szCs w:val="18"/>
          <w:vertAlign w:val="superscript"/>
        </w:rPr>
        <w:t xml:space="preserve">[5,8,9]</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These definitions do not fully overlap, and the discrepancy is informative. In the human series of Kang and colleagues, the proportion of ALDH1A3-positive β-cells (14.33 ± 1.66%) exceeded the proportion of hormone-negative dedifferentiated cells (8.42 ± 0.26%) in the same low-function group, which the authors interpreted as evidence that </w:t>
      </w:r>
      <w:r>
        <w:rPr>
          <w:rFonts w:ascii="Calibri" w:cs="Calibri" w:eastAsia="Calibri" w:hAnsi="Calibri"/>
          <w:i/>
          <w:iCs/>
          <w:color w:val="1B2733"/>
          <w:sz w:val="21"/>
          <w:szCs w:val="21"/>
        </w:rPr>
        <w:t xml:space="preserve">more β-cells are on their way to dedifferentiate without yet having reached complete loss of insulin production</w:t>
      </w:r>
      <w:r>
        <w:rPr>
          <w:rFonts w:ascii="Calibri" w:cs="Calibri" w:eastAsia="Calibri" w:hAnsi="Calibri"/>
          <w:color w:val="1B2733"/>
          <w:sz w:val="21"/>
          <w:szCs w:val="21"/>
        </w:rPr>
        <w:t xml:space="preserve"> </w:t>
      </w:r>
      <w:r>
        <w:rPr>
          <w:rFonts w:ascii="Calibri" w:cs="Calibri" w:eastAsia="Calibri" w:hAnsi="Calibri"/>
          <w:b/>
          <w:bCs/>
          <w:color w:val="1F6F8B"/>
          <w:sz w:val="18"/>
          <w:szCs w:val="18"/>
          <w:vertAlign w:val="superscript"/>
        </w:rPr>
        <w:t xml:space="preserve">[3]</w:t>
      </w:r>
      <w:r>
        <w:rPr>
          <w:rFonts w:ascii="Calibri" w:cs="Calibri" w:eastAsia="Calibri" w:hAnsi="Calibri"/>
          <w:color w:val="1B2733"/>
          <w:sz w:val="21"/>
          <w:szCs w:val="21"/>
        </w:rPr>
        <w:t xml:space="preserve">. Dedifferentiation is therefore better modelled as a continuum than as a binary switch.</w:t>
      </w:r>
    </w:p>
    <w:p>
      <w:pPr>
        <w:spacing w:after="80" w:before="170"/>
      </w:pPr>
      <w:r>
        <w:rPr>
          <w:rFonts w:ascii="Calibri" w:cs="Calibri" w:eastAsia="Calibri" w:hAnsi="Calibri"/>
          <w:b/>
          <w:bCs/>
          <w:color w:val="5B6770"/>
          <w:sz w:val="17"/>
          <w:szCs w:val="17"/>
        </w:rPr>
        <w:t xml:space="preserve">Table 1.</w:t>
      </w:r>
      <w:r>
        <w:rPr>
          <w:rFonts w:ascii="Calibri" w:cs="Calibri" w:eastAsia="Calibri" w:hAnsi="Calibri"/>
          <w:color w:val="5B6770"/>
          <w:sz w:val="17"/>
          <w:szCs w:val="17"/>
        </w:rPr>
        <w:t xml:space="preserve"> Molecular signature of the β-cell identity axis. Direction of change refers to the dedifferentiated state relative to a healthy mature β-cell. Compiled from the cited primary studies and reviews.</w:t>
      </w:r>
    </w:p>
    <w:tbl>
      <w:tblPr>
        <w:tblW w:type="dxa" w:w="9360"/>
        <w:tblBorders>
          <w:top w:val="single" w:color="C9D1D6" w:sz="2"/>
          <w:left w:val="single" w:color="C9D1D6" w:sz="2"/>
          <w:bottom w:val="single" w:color="C9D1D6" w:sz="2"/>
          <w:right w:val="single" w:color="C9D1D6" w:sz="2"/>
          <w:insideH w:val="single" w:color="C9D1D6" w:sz="2"/>
          <w:insideV w:val="single" w:color="C9D1D6" w:sz="2"/>
        </w:tblBorders>
      </w:tblPr>
      <w:tblGrid>
        <w:gridCol w:w="2059"/>
        <w:gridCol w:w="2059"/>
        <w:gridCol w:w="1123"/>
        <w:gridCol w:w="4119"/>
      </w:tblGrid>
      <w:tr>
        <w:trPr>
          <w:tblHeader/>
        </w:trPr>
        <w:tc>
          <w:tcPr>
            <w:tcW w:type="dxa" w:w="2059"/>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Category</w:t>
            </w:r>
          </w:p>
        </w:tc>
        <w:tc>
          <w:tcPr>
            <w:tcW w:type="dxa" w:w="2059"/>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Molecules</w:t>
            </w:r>
          </w:p>
        </w:tc>
        <w:tc>
          <w:tcPr>
            <w:tcW w:type="dxa" w:w="1123"/>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Change</w:t>
            </w:r>
          </w:p>
        </w:tc>
        <w:tc>
          <w:tcPr>
            <w:tcW w:type="dxa" w:w="4119"/>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Evidence and significance</w:t>
            </w:r>
          </w:p>
        </w:tc>
      </w:tr>
      <w:tr>
        <w:trPr>
          <w:cantSplit/>
        </w:trPr>
        <w:tc>
          <w:tcPr>
            <w:tcW w:type="dxa" w:w="2059"/>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Core identity transcription factors</w:t>
            </w:r>
          </w:p>
        </w:tc>
        <w:tc>
          <w:tcPr>
            <w:tcW w:type="dxa" w:w="2059"/>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PDX1, NKX6.1, MAFA, ISL1</w:t>
            </w:r>
          </w:p>
        </w:tc>
        <w:tc>
          <w:tcPr>
            <w:tcW w:type="dxa" w:w="1123"/>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w:t>
            </w:r>
          </w:p>
        </w:tc>
        <w:tc>
          <w:tcPr>
            <w:tcW w:type="dxa" w:w="4119"/>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Lost from FOXO1-deficient and db/db β-cells; restored by ALDH1A3 ablation and by BAF60A overexpression </w:t>
            </w:r>
            <w:r>
              <w:rPr>
                <w:rFonts w:ascii="Calibri" w:cs="Calibri" w:eastAsia="Calibri" w:hAnsi="Calibri"/>
                <w:b/>
                <w:bCs/>
                <w:color w:val="1F6F8B"/>
                <w:sz w:val="14"/>
                <w:szCs w:val="14"/>
                <w:vertAlign w:val="superscript"/>
              </w:rPr>
              <w:t xml:space="preserve">[1,5,10]</w:t>
            </w:r>
          </w:p>
        </w:tc>
      </w:tr>
      <w:tr>
        <w:trPr>
          <w:cantSplit/>
        </w:trPr>
        <w:tc>
          <w:tcPr>
            <w:tcW w:type="dxa" w:w="2059"/>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Functional maturity markers</w:t>
            </w:r>
          </w:p>
        </w:tc>
        <w:tc>
          <w:tcPr>
            <w:tcW w:type="dxa" w:w="2059"/>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GLUT2 (SLC2A2), GCK, UCN3</w:t>
            </w:r>
          </w:p>
        </w:tc>
        <w:tc>
          <w:tcPr>
            <w:tcW w:type="dxa" w:w="1123"/>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w:t>
            </w:r>
          </w:p>
        </w:tc>
        <w:tc>
          <w:tcPr>
            <w:tcW w:type="dxa" w:w="4119"/>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In human islets, GLUT2 intensity correlated with HOMA-β (r = 0.82, p = 0.0018) and inversely with the dedifferentiation ratio (r = −0.61, p = 0.045) </w:t>
            </w:r>
            <w:r>
              <w:rPr>
                <w:rFonts w:ascii="Calibri" w:cs="Calibri" w:eastAsia="Calibri" w:hAnsi="Calibri"/>
                <w:b/>
                <w:bCs/>
                <w:color w:val="1F6F8B"/>
                <w:sz w:val="14"/>
                <w:szCs w:val="14"/>
                <w:vertAlign w:val="superscript"/>
              </w:rPr>
              <w:t xml:space="preserve">[3]</w:t>
            </w:r>
          </w:p>
        </w:tc>
      </w:tr>
      <w:tr>
        <w:trPr>
          <w:cantSplit/>
        </w:trPr>
        <w:tc>
          <w:tcPr>
            <w:tcW w:type="dxa" w:w="2059"/>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Pan-endocrine marker (retained)</w:t>
            </w:r>
          </w:p>
        </w:tc>
        <w:tc>
          <w:tcPr>
            <w:tcW w:type="dxa" w:w="2059"/>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Chromogranin A</w:t>
            </w:r>
          </w:p>
        </w:tc>
        <w:tc>
          <w:tcPr>
            <w:tcW w:type="dxa" w:w="1123"/>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w:t>
            </w:r>
          </w:p>
        </w:tc>
        <w:tc>
          <w:tcPr>
            <w:tcW w:type="dxa" w:w="4119"/>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Retention of CHGA with loss of all hormones defines the canonical dedifferentiated cell </w:t>
            </w:r>
            <w:r>
              <w:rPr>
                <w:rFonts w:ascii="Calibri" w:cs="Calibri" w:eastAsia="Calibri" w:hAnsi="Calibri"/>
                <w:b/>
                <w:bCs/>
                <w:color w:val="1F6F8B"/>
                <w:sz w:val="14"/>
                <w:szCs w:val="14"/>
                <w:vertAlign w:val="superscript"/>
              </w:rPr>
              <w:t xml:space="preserve">[2,3]</w:t>
            </w:r>
          </w:p>
        </w:tc>
      </w:tr>
      <w:tr>
        <w:trPr>
          <w:cantSplit/>
        </w:trPr>
        <w:tc>
          <w:tcPr>
            <w:tcW w:type="dxa" w:w="2059"/>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Progenitor / developmental genes</w:t>
            </w:r>
          </w:p>
        </w:tc>
        <w:tc>
          <w:tcPr>
            <w:tcW w:type="dxa" w:w="2059"/>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NGN3 (NEUROG3), SOX9, HES1, OCT4, NANOG, L-MYC</w:t>
            </w:r>
          </w:p>
        </w:tc>
        <w:tc>
          <w:tcPr>
            <w:tcW w:type="dxa" w:w="1123"/>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w:t>
            </w:r>
          </w:p>
        </w:tc>
        <w:tc>
          <w:tcPr>
            <w:tcW w:type="dxa" w:w="4119"/>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Reactivated in FOXO1-null β-cells </w:t>
            </w:r>
            <w:r>
              <w:rPr>
                <w:rFonts w:ascii="Calibri" w:cs="Calibri" w:eastAsia="Calibri" w:hAnsi="Calibri"/>
                <w:b/>
                <w:bCs/>
                <w:color w:val="1F6F8B"/>
                <w:sz w:val="14"/>
                <w:szCs w:val="14"/>
                <w:vertAlign w:val="superscript"/>
              </w:rPr>
              <w:t xml:space="preserve">[1]</w:t>
            </w:r>
            <w:r>
              <w:rPr>
                <w:rFonts w:ascii="Calibri" w:cs="Calibri" w:eastAsia="Calibri" w:hAnsi="Calibri"/>
                <w:b w:val="false"/>
                <w:bCs w:val="false"/>
                <w:color w:val="1B2733"/>
                <w:sz w:val="17"/>
                <w:szCs w:val="17"/>
              </w:rPr>
              <w:t xml:space="preserve">; SOX9 and HES1 promoters gain H3K9 lactylation under LDHA activation </w:t>
            </w:r>
            <w:r>
              <w:rPr>
                <w:rFonts w:ascii="Calibri" w:cs="Calibri" w:eastAsia="Calibri" w:hAnsi="Calibri"/>
                <w:b/>
                <w:bCs/>
                <w:color w:val="1F6F8B"/>
                <w:sz w:val="14"/>
                <w:szCs w:val="14"/>
                <w:vertAlign w:val="superscript"/>
              </w:rPr>
              <w:t xml:space="preserve">[9]</w:t>
            </w:r>
          </w:p>
        </w:tc>
      </w:tr>
      <w:tr>
        <w:trPr>
          <w:cantSplit/>
        </w:trPr>
        <w:tc>
          <w:tcPr>
            <w:tcW w:type="dxa" w:w="2059"/>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Dedifferentiation effectors</w:t>
            </w:r>
          </w:p>
        </w:tc>
        <w:tc>
          <w:tcPr>
            <w:tcW w:type="dxa" w:w="2059"/>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ALDH1A3, BACH2</w:t>
            </w:r>
          </w:p>
        </w:tc>
        <w:tc>
          <w:tcPr>
            <w:tcW w:type="dxa" w:w="1123"/>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w:t>
            </w:r>
          </w:p>
        </w:tc>
        <w:tc>
          <w:tcPr>
            <w:tcW w:type="dxa" w:w="4119"/>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ALDH1A3 is an early marker and a causal effector </w:t>
            </w:r>
            <w:r>
              <w:rPr>
                <w:rFonts w:ascii="Calibri" w:cs="Calibri" w:eastAsia="Calibri" w:hAnsi="Calibri"/>
                <w:b/>
                <w:bCs/>
                <w:color w:val="1F6F8B"/>
                <w:sz w:val="14"/>
                <w:szCs w:val="14"/>
                <w:vertAlign w:val="superscript"/>
              </w:rPr>
              <w:t xml:space="preserve">[5]</w:t>
            </w:r>
            <w:r>
              <w:rPr>
                <w:rFonts w:ascii="Calibri" w:cs="Calibri" w:eastAsia="Calibri" w:hAnsi="Calibri"/>
                <w:b w:val="false"/>
                <w:bCs w:val="false"/>
                <w:color w:val="1B2733"/>
                <w:sz w:val="17"/>
                <w:szCs w:val="17"/>
              </w:rPr>
              <w:t xml:space="preserve">; BACH2 in β-cells correlates with the dedifferentiation ratio in human islets (r = 0.63, p = 0.0498) </w:t>
            </w:r>
            <w:r>
              <w:rPr>
                <w:rFonts w:ascii="Calibri" w:cs="Calibri" w:eastAsia="Calibri" w:hAnsi="Calibri"/>
                <w:b/>
                <w:bCs/>
                <w:color w:val="1F6F8B"/>
                <w:sz w:val="14"/>
                <w:szCs w:val="14"/>
                <w:vertAlign w:val="superscript"/>
              </w:rPr>
              <w:t xml:space="preserve">[3]</w:t>
            </w:r>
          </w:p>
        </w:tc>
      </w:tr>
      <w:tr>
        <w:trPr>
          <w:cantSplit/>
        </w:trPr>
        <w:tc>
          <w:tcPr>
            <w:tcW w:type="dxa" w:w="2059"/>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Metabolic “disallowed” genes</w:t>
            </w:r>
          </w:p>
        </w:tc>
        <w:tc>
          <w:tcPr>
            <w:tcW w:type="dxa" w:w="2059"/>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LDHA</w:t>
            </w:r>
          </w:p>
        </w:tc>
        <w:tc>
          <w:tcPr>
            <w:tcW w:type="dxa" w:w="1123"/>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w:t>
            </w:r>
          </w:p>
        </w:tc>
        <w:tc>
          <w:tcPr>
            <w:tcW w:type="dxa" w:w="4119"/>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Drives histone lactylation and the dedifferentiation transcriptional programme </w:t>
            </w:r>
            <w:r>
              <w:rPr>
                <w:rFonts w:ascii="Calibri" w:cs="Calibri" w:eastAsia="Calibri" w:hAnsi="Calibri"/>
                <w:b/>
                <w:bCs/>
                <w:color w:val="1F6F8B"/>
                <w:sz w:val="14"/>
                <w:szCs w:val="14"/>
                <w:vertAlign w:val="superscript"/>
              </w:rPr>
              <w:t xml:space="preserve">[9]</w:t>
            </w:r>
          </w:p>
        </w:tc>
      </w:tr>
      <w:tr>
        <w:trPr>
          <w:cantSplit/>
        </w:trPr>
        <w:tc>
          <w:tcPr>
            <w:tcW w:type="dxa" w:w="2059"/>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EMT-associated programme</w:t>
            </w:r>
          </w:p>
        </w:tc>
        <w:tc>
          <w:tcPr>
            <w:tcW w:type="dxa" w:w="2059"/>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ZEB2 ↑, OVOL2 ↓, PDX1 ↓</w:t>
            </w:r>
          </w:p>
        </w:tc>
        <w:tc>
          <w:tcPr>
            <w:tcW w:type="dxa" w:w="1123"/>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mixed</w:t>
            </w:r>
          </w:p>
        </w:tc>
        <w:tc>
          <w:tcPr>
            <w:tcW w:type="dxa" w:w="4119"/>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The Pdx1/Ovol2/Zeb2 axis is dysregulated in miR-7-driven dedifferentiated β-cells </w:t>
            </w:r>
            <w:r>
              <w:rPr>
                <w:rFonts w:ascii="Calibri" w:cs="Calibri" w:eastAsia="Calibri" w:hAnsi="Calibri"/>
                <w:b/>
                <w:bCs/>
                <w:color w:val="1F6F8B"/>
                <w:sz w:val="14"/>
                <w:szCs w:val="14"/>
                <w:vertAlign w:val="superscript"/>
              </w:rPr>
              <w:t xml:space="preserve">[14]</w:t>
            </w:r>
          </w:p>
        </w:tc>
      </w:tr>
      <w:tr>
        <w:trPr>
          <w:cantSplit/>
        </w:trPr>
        <w:tc>
          <w:tcPr>
            <w:tcW w:type="dxa" w:w="2059"/>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Ectopic α-cell genes</w:t>
            </w:r>
          </w:p>
        </w:tc>
        <w:tc>
          <w:tcPr>
            <w:tcW w:type="dxa" w:w="2059"/>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Glucagon, SMOC1</w:t>
            </w:r>
          </w:p>
        </w:tc>
        <w:tc>
          <w:tcPr>
            <w:tcW w:type="dxa" w:w="1123"/>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w:t>
            </w:r>
          </w:p>
        </w:tc>
        <w:tc>
          <w:tcPr>
            <w:tcW w:type="dxa" w:w="4119"/>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SMOC1 is expressed in β-cells in T2D and is sufficient to reduce insulin expression and secretion </w:t>
            </w:r>
            <w:r>
              <w:rPr>
                <w:rFonts w:ascii="Calibri" w:cs="Calibri" w:eastAsia="Calibri" w:hAnsi="Calibri"/>
                <w:b/>
                <w:bCs/>
                <w:color w:val="1F6F8B"/>
                <w:sz w:val="14"/>
                <w:szCs w:val="14"/>
                <w:vertAlign w:val="superscript"/>
              </w:rPr>
              <w:t xml:space="preserve">[13]</w:t>
            </w:r>
          </w:p>
        </w:tc>
      </w:tr>
    </w:tbl>
    <w:p>
      <w:pPr>
        <w:pStyle w:val="Heading1"/>
        <w:spacing w:after="170" w:before="380"/>
      </w:pPr>
      <w:r>
        <w:rPr>
          <w:rFonts w:ascii="Calibri" w:cs="Calibri" w:eastAsia="Calibri" w:hAnsi="Calibri"/>
          <w:b/>
          <w:bCs/>
          <w:color w:val="1B2733"/>
          <w:sz w:val="29"/>
          <w:szCs w:val="29"/>
        </w:rPr>
        <w:t xml:space="preserve">3. Human evidence</w:t>
      </w:r>
    </w:p>
    <w:p>
      <w:pPr>
        <w:spacing w:after="140" w:line="276"/>
        <w:jc w:val="both"/>
      </w:pPr>
      <w:r>
        <w:rPr>
          <w:rFonts w:ascii="Calibri" w:cs="Calibri" w:eastAsia="Calibri" w:hAnsi="Calibri"/>
          <w:color w:val="1B2733"/>
          <w:sz w:val="21"/>
          <w:szCs w:val="21"/>
        </w:rPr>
        <w:t xml:space="preserve">Mouse genetics established the phenomenon; the clinically decisive question is whether it occurs in people. Three independent lines of human evidence now converge.</w:t>
      </w:r>
    </w:p>
    <w:p>
      <w:pPr>
        <w:pStyle w:val="Heading2"/>
        <w:spacing w:after="120" w:before="260"/>
      </w:pPr>
      <w:r>
        <w:rPr>
          <w:rFonts w:ascii="Calibri" w:cs="Calibri" w:eastAsia="Calibri" w:hAnsi="Calibri"/>
          <w:b/>
          <w:bCs/>
          <w:color w:val="1F6F8B"/>
          <w:sz w:val="24"/>
          <w:szCs w:val="24"/>
        </w:rPr>
        <w:t xml:space="preserve">3.1 Organ-donor histology</w:t>
      </w:r>
    </w:p>
    <w:p>
      <w:pPr>
        <w:spacing w:after="140" w:line="276"/>
        <w:jc w:val="both"/>
      </w:pPr>
      <w:r>
        <w:rPr>
          <w:rFonts w:ascii="Calibri" w:cs="Calibri" w:eastAsia="Calibri" w:hAnsi="Calibri"/>
          <w:color w:val="1B2733"/>
          <w:sz w:val="21"/>
          <w:szCs w:val="21"/>
        </w:rPr>
        <w:t xml:space="preserve">Cinti and colleagues surveyed pancreatic islets from 15 organ donors with T2D and 15 without, scoring dedifferentiation using endocrine lineage markers, β-cell-specific transcription factors, and ALDH1A3. Cells meeting the dedifferentiation criteria accounted for </w:t>
      </w:r>
      <w:r>
        <w:rPr>
          <w:rFonts w:ascii="Calibri" w:cs="Calibri" w:eastAsia="Calibri" w:hAnsi="Calibri"/>
          <w:b/>
          <w:bCs/>
          <w:color w:val="1B2733"/>
          <w:sz w:val="21"/>
          <w:szCs w:val="21"/>
        </w:rPr>
        <w:t xml:space="preserve">31.9% of β-cells in donors with T2D versus 8.7% in controls</w:t>
      </w:r>
      <w:r>
        <w:rPr>
          <w:rFonts w:ascii="Calibri" w:cs="Calibri" w:eastAsia="Calibri" w:hAnsi="Calibri"/>
          <w:color w:val="1B2733"/>
          <w:sz w:val="21"/>
          <w:szCs w:val="21"/>
        </w:rPr>
        <w:t xml:space="preserve">, and </w:t>
      </w:r>
      <w:r>
        <w:rPr>
          <w:rFonts w:ascii="Calibri" w:cs="Calibri" w:eastAsia="Calibri" w:hAnsi="Calibri"/>
          <w:b/>
          <w:bCs/>
          <w:color w:val="1B2733"/>
          <w:sz w:val="21"/>
          <w:szCs w:val="21"/>
        </w:rPr>
        <w:t xml:space="preserve">16.8% versus 6.5%</w:t>
      </w:r>
      <w:r>
        <w:rPr>
          <w:rFonts w:ascii="Calibri" w:cs="Calibri" w:eastAsia="Calibri" w:hAnsi="Calibri"/>
          <w:color w:val="1B2733"/>
          <w:sz w:val="21"/>
          <w:szCs w:val="21"/>
        </w:rPr>
        <w:t xml:space="preserve"> of all endocrine cells (p &lt; 0.001). ALDH1A3-positive, hormone-negative cells were three-fold more frequent in diabetic pancreata. Critically, β-cell-specific transcription factors were found ectopically in glucagon- and somatostatin-producing cells of diabetic subjects — the signature one would expect if β-cells had converted into α- and δ-“like” cells rather than simply disappearing </w:t>
      </w:r>
      <w:r>
        <w:rPr>
          <w:rFonts w:ascii="Calibri" w:cs="Calibri" w:eastAsia="Calibri" w:hAnsi="Calibri"/>
          <w:b/>
          <w:bCs/>
          <w:color w:val="1F6F8B"/>
          <w:sz w:val="18"/>
          <w:szCs w:val="18"/>
          <w:vertAlign w:val="superscript"/>
        </w:rPr>
        <w:t xml:space="preserve">[2]</w:t>
      </w:r>
      <w:r>
        <w:rPr>
          <w:rFonts w:ascii="Calibri" w:cs="Calibri" w:eastAsia="Calibri" w:hAnsi="Calibri"/>
          <w:color w:val="1B2733"/>
          <w:sz w:val="21"/>
          <w:szCs w:val="21"/>
        </w:rPr>
        <w:t xml:space="preserve">.</w:t>
      </w:r>
    </w:p>
    <w:p>
      <w:pPr>
        <w:pStyle w:val="Heading2"/>
        <w:spacing w:after="120" w:before="260"/>
      </w:pPr>
      <w:r>
        <w:rPr>
          <w:rFonts w:ascii="Calibri" w:cs="Calibri" w:eastAsia="Calibri" w:hAnsi="Calibri"/>
          <w:b/>
          <w:bCs/>
          <w:color w:val="1F6F8B"/>
          <w:sz w:val="24"/>
          <w:szCs w:val="24"/>
        </w:rPr>
        <w:t xml:space="preserve">3.2 Linking dedifferentiation to measured β-cell function</w:t>
      </w:r>
    </w:p>
    <w:p>
      <w:pPr>
        <w:spacing w:after="140" w:line="276"/>
        <w:jc w:val="both"/>
      </w:pPr>
      <w:r>
        <w:rPr>
          <w:rFonts w:ascii="Calibri" w:cs="Calibri" w:eastAsia="Calibri" w:hAnsi="Calibri"/>
          <w:color w:val="1B2733"/>
          <w:sz w:val="21"/>
          <w:szCs w:val="21"/>
        </w:rPr>
        <w:t xml:space="preserve">Histology from deceased donors cannot establish that dedifferentiation causes secretory failure in a living person. Kang and colleagues addressed this by studying 13 individuals </w:t>
      </w:r>
      <w:r>
        <w:rPr>
          <w:rFonts w:ascii="Calibri" w:cs="Calibri" w:eastAsia="Calibri" w:hAnsi="Calibri"/>
          <w:i/>
          <w:iCs/>
          <w:color w:val="1B2733"/>
          <w:sz w:val="21"/>
          <w:szCs w:val="21"/>
        </w:rPr>
        <w:t xml:space="preserve">without</w:t>
      </w:r>
      <w:r>
        <w:rPr>
          <w:rFonts w:ascii="Calibri" w:cs="Calibri" w:eastAsia="Calibri" w:hAnsi="Calibri"/>
          <w:color w:val="1B2733"/>
          <w:sz w:val="21"/>
          <w:szCs w:val="21"/>
        </w:rPr>
        <w:t xml:space="preserve"> a history of diabetes who underwent partial pancreatectomy for benign pancreatic cystic neoplasm or intrapancreatic accessory spleen, with a full glycaemic workup — including fasting and 2-hour post-prandial C-peptide — obtained within one week before surgery. Dedifferentiation was quantified in paraneoplastic pancreatic tissue far from the surgical margin, with 10 islets and at least 980 ± 110 cells counted per case under blinded conditions </w:t>
      </w:r>
      <w:r>
        <w:rPr>
          <w:rFonts w:ascii="Calibri" w:cs="Calibri" w:eastAsia="Calibri" w:hAnsi="Calibri"/>
          <w:b/>
          <w:bCs/>
          <w:color w:val="1F6F8B"/>
          <w:sz w:val="18"/>
          <w:szCs w:val="18"/>
          <w:vertAlign w:val="superscript"/>
        </w:rPr>
        <w:t xml:space="preserve">[3]</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The dedifferentiation ratio was inversely correlated with HOMA-β (r = −0.79, p = 0.0012; reproduced in Figure 2) and with 2-hour C-peptide (r = −0.55, p = 0.051). In multiple regression, HOMA-β — but not BMI or HbA₁c — was independently and negatively associated with the percentage of dedifferentiated cells (β = 0.0659, p = 0.0060). The proportion of ALDH1A3-positive β-cells likewise correlated negatively with HOMA-β (r = −0.74, p = 0.006). Because these subjects had no diagnosed diabetes, the finding places dedifferentiation </w:t>
      </w:r>
      <w:r>
        <w:rPr>
          <w:rFonts w:ascii="Calibri" w:cs="Calibri" w:eastAsia="Calibri" w:hAnsi="Calibri"/>
          <w:i/>
          <w:iCs/>
          <w:color w:val="1B2733"/>
          <w:sz w:val="21"/>
          <w:szCs w:val="21"/>
        </w:rPr>
        <w:t xml:space="preserve">upstream</w:t>
      </w:r>
      <w:r>
        <w:rPr>
          <w:rFonts w:ascii="Calibri" w:cs="Calibri" w:eastAsia="Calibri" w:hAnsi="Calibri"/>
          <w:color w:val="1B2733"/>
          <w:sz w:val="21"/>
          <w:szCs w:val="21"/>
        </w:rPr>
        <w:t xml:space="preserve"> of overt hyperglycaemia rather than merely as its consequence </w:t>
      </w:r>
      <w:r>
        <w:rPr>
          <w:rFonts w:ascii="Calibri" w:cs="Calibri" w:eastAsia="Calibri" w:hAnsi="Calibri"/>
          <w:b/>
          <w:bCs/>
          <w:color w:val="1F6F8B"/>
          <w:sz w:val="18"/>
          <w:szCs w:val="18"/>
          <w:vertAlign w:val="superscript"/>
        </w:rPr>
        <w:t xml:space="preserve">[3,4]</w:t>
      </w:r>
      <w:r>
        <w:rPr>
          <w:rFonts w:ascii="Calibri" w:cs="Calibri" w:eastAsia="Calibri" w:hAnsi="Calibri"/>
          <w:color w:val="1B2733"/>
          <w:sz w:val="21"/>
          <w:szCs w:val="21"/>
        </w:rPr>
        <w:t xml:space="preserve">.</w:t>
      </w:r>
    </w:p>
    <w:p>
      <w:pPr>
        <w:spacing w:after="60" w:before="170"/>
        <w:jc w:val="center"/>
      </w:pPr>
      <w:r>
        <w:drawing>
          <wp:inline distT="0" distB="0" distL="0" distR="0">
            <wp:extent cx="4572000" cy="31821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182112"/>
                    </a:xfrm>
                    <a:prstGeom prst="rect">
                      <a:avLst/>
                    </a:prstGeom>
                  </pic:spPr>
                </pic:pic>
              </a:graphicData>
            </a:graphic>
          </wp:inline>
        </w:drawing>
      </w:r>
    </w:p>
    <w:p>
      <w:pPr>
        <w:spacing w:after="230" w:before="90"/>
        <w:jc w:val="left"/>
      </w:pPr>
      <w:r>
        <w:rPr>
          <w:rFonts w:ascii="Calibri" w:cs="Calibri" w:eastAsia="Calibri" w:hAnsi="Calibri"/>
          <w:b/>
          <w:bCs/>
          <w:color w:val="5B6770"/>
          <w:sz w:val="17"/>
          <w:szCs w:val="17"/>
        </w:rPr>
        <w:t xml:space="preserve">Figure 2.</w:t>
      </w:r>
      <w:r>
        <w:rPr>
          <w:rFonts w:ascii="Calibri" w:cs="Calibri" w:eastAsia="Calibri" w:hAnsi="Calibri"/>
          <w:color w:val="5B6770"/>
          <w:sz w:val="17"/>
          <w:szCs w:val="17"/>
        </w:rPr>
        <w:t xml:space="preserve"> β-Cell dedifferentiation burden versus in vivo β-cell function in 13 individuals without known diabetes undergoing partial pancreatectomy. Points are the primary subject-level data published in Table 1 of Kang F, Zhang Z, Fu H, et al., </w:t>
      </w:r>
      <w:r>
        <w:rPr>
          <w:rFonts w:ascii="Calibri" w:cs="Calibri" w:eastAsia="Calibri" w:hAnsi="Calibri"/>
          <w:i/>
          <w:iCs/>
          <w:color w:val="5B6770"/>
          <w:sz w:val="17"/>
          <w:szCs w:val="17"/>
        </w:rPr>
        <w:t xml:space="preserve">J Clin Endocrinol Metab</w:t>
      </w:r>
      <w:r>
        <w:rPr>
          <w:rFonts w:ascii="Calibri" w:cs="Calibri" w:eastAsia="Calibri" w:hAnsi="Calibri"/>
          <w:color w:val="5B6770"/>
          <w:sz w:val="17"/>
          <w:szCs w:val="17"/>
        </w:rPr>
        <w:t xml:space="preserve"> 2025;110(5):e1430–e1438 (doi:10.1210/clinem/dgae538) </w:t>
      </w:r>
      <w:r>
        <w:rPr>
          <w:rFonts w:ascii="Calibri" w:cs="Calibri" w:eastAsia="Calibri" w:hAnsi="Calibri"/>
          <w:b/>
          <w:bCs/>
          <w:color w:val="1F6F8B"/>
          <w:sz w:val="14"/>
          <w:szCs w:val="14"/>
          <w:vertAlign w:val="superscript"/>
        </w:rPr>
        <w:t xml:space="preserve">[3]</w:t>
      </w:r>
      <w:r>
        <w:rPr>
          <w:rFonts w:ascii="Calibri" w:cs="Calibri" w:eastAsia="Calibri" w:hAnsi="Calibri"/>
          <w:color w:val="5B6770"/>
          <w:sz w:val="17"/>
          <w:szCs w:val="17"/>
        </w:rPr>
        <w:t xml:space="preserve">; the dashed line is an ordinary least-squares fit added here. The Pearson coefficient recomputed from those data (r = −0.792, p = 0.00125) matches the published value (r = −0.79, p = 0.0012). Colour separates the HOMA-β high (≥100%) and HOMA-β low (&lt;100%) groups as defined in the source.</w:t>
      </w:r>
    </w:p>
    <w:p>
      <w:pPr>
        <w:spacing w:after="140" w:line="276"/>
        <w:jc w:val="both"/>
      </w:pPr>
      <w:r>
        <w:rPr>
          <w:rFonts w:ascii="Calibri" w:cs="Calibri" w:eastAsia="Calibri" w:hAnsi="Calibri"/>
          <w:color w:val="1B2733"/>
          <w:sz w:val="21"/>
          <w:szCs w:val="21"/>
        </w:rPr>
        <w:t xml:space="preserve">Grouping the same subjects by HOMA-β revealed an approximately two-fold difference in every identity measure: dedifferentiated cells 8.42 ± 0.26% versus 4.09 ± 0.26% (p &lt; 0.0001); ALDH1A3-positive β-cells 14.33 ± 1.66% versus 7.28 ± 1.17% (p = 0.0061); BACH2-positive β-cells 9.21 ± 1.54% versus 5.55 ± 0.65% (p = 0.029). GLUT2 intensity was lower in the low-function group (9.22 ± 2.92 versus 18.53 ± 2.06, p = 0.026). Notably, there was </w:t>
      </w:r>
      <w:r>
        <w:rPr>
          <w:rFonts w:ascii="Calibri" w:cs="Calibri" w:eastAsia="Calibri" w:hAnsi="Calibri"/>
          <w:b/>
          <w:bCs/>
          <w:color w:val="1B2733"/>
          <w:sz w:val="21"/>
          <w:szCs w:val="21"/>
        </w:rPr>
        <w:t xml:space="preserve">no difference in β-cell proliferation or apoptosis</w:t>
      </w:r>
      <w:r>
        <w:rPr>
          <w:rFonts w:ascii="Calibri" w:cs="Calibri" w:eastAsia="Calibri" w:hAnsi="Calibri"/>
          <w:color w:val="1B2733"/>
          <w:sz w:val="21"/>
          <w:szCs w:val="21"/>
        </w:rPr>
        <w:t xml:space="preserve"> between the groups — consistent with identity loss, not cell death, as the operative mechanism </w:t>
      </w:r>
      <w:r>
        <w:rPr>
          <w:rFonts w:ascii="Calibri" w:cs="Calibri" w:eastAsia="Calibri" w:hAnsi="Calibri"/>
          <w:b/>
          <w:bCs/>
          <w:color w:val="1F6F8B"/>
          <w:sz w:val="18"/>
          <w:szCs w:val="18"/>
          <w:vertAlign w:val="superscript"/>
        </w:rPr>
        <w:t xml:space="preserve">[3]</w:t>
      </w:r>
      <w:r>
        <w:rPr>
          <w:rFonts w:ascii="Calibri" w:cs="Calibri" w:eastAsia="Calibri" w:hAnsi="Calibri"/>
          <w:color w:val="1B2733"/>
          <w:sz w:val="21"/>
          <w:szCs w:val="21"/>
        </w:rPr>
        <w:t xml:space="preserve">.</w:t>
      </w:r>
    </w:p>
    <w:p>
      <w:pPr>
        <w:spacing w:after="60" w:before="170"/>
        <w:jc w:val="center"/>
      </w:pPr>
      <w:r>
        <w:drawing>
          <wp:inline distT="0" distB="0" distL="0" distR="0">
            <wp:extent cx="5120640" cy="30540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054096"/>
                    </a:xfrm>
                    <a:prstGeom prst="rect">
                      <a:avLst/>
                    </a:prstGeom>
                  </pic:spPr>
                </pic:pic>
              </a:graphicData>
            </a:graphic>
          </wp:inline>
        </w:drawing>
      </w:r>
    </w:p>
    <w:p>
      <w:pPr>
        <w:spacing w:after="230" w:before="90"/>
        <w:jc w:val="left"/>
      </w:pPr>
      <w:r>
        <w:rPr>
          <w:rFonts w:ascii="Calibri" w:cs="Calibri" w:eastAsia="Calibri" w:hAnsi="Calibri"/>
          <w:b/>
          <w:bCs/>
          <w:color w:val="5B6770"/>
          <w:sz w:val="17"/>
          <w:szCs w:val="17"/>
        </w:rPr>
        <w:t xml:space="preserve">Figure 3.</w:t>
      </w:r>
      <w:r>
        <w:rPr>
          <w:rFonts w:ascii="Calibri" w:cs="Calibri" w:eastAsia="Calibri" w:hAnsi="Calibri"/>
          <w:color w:val="5B6770"/>
          <w:sz w:val="17"/>
          <w:szCs w:val="17"/>
        </w:rPr>
        <w:t xml:space="preserve"> Quantified dedifferentiation in human pancreas across two independent cohorts. Left and centre: organ-donor series of Cinti et al. </w:t>
      </w:r>
      <w:r>
        <w:rPr>
          <w:rFonts w:ascii="Calibri" w:cs="Calibri" w:eastAsia="Calibri" w:hAnsi="Calibri"/>
          <w:b/>
          <w:bCs/>
          <w:color w:val="1F6F8B"/>
          <w:sz w:val="14"/>
          <w:szCs w:val="14"/>
          <w:vertAlign w:val="superscript"/>
        </w:rPr>
        <w:t xml:space="preserve">[2]</w:t>
      </w:r>
      <w:r>
        <w:rPr>
          <w:rFonts w:ascii="Calibri" w:cs="Calibri" w:eastAsia="Calibri" w:hAnsi="Calibri"/>
          <w:color w:val="5B6770"/>
          <w:sz w:val="17"/>
          <w:szCs w:val="17"/>
        </w:rPr>
        <w:t xml:space="preserve"> (n = 15 with T2D, 15 without), scored as a percentage of β-cells and of all endocrine cells. Right: pancreatectomy series of Kang et al. </w:t>
      </w:r>
      <w:r>
        <w:rPr>
          <w:rFonts w:ascii="Calibri" w:cs="Calibri" w:eastAsia="Calibri" w:hAnsi="Calibri"/>
          <w:b/>
          <w:bCs/>
          <w:color w:val="1F6F8B"/>
          <w:sz w:val="14"/>
          <w:szCs w:val="14"/>
          <w:vertAlign w:val="superscript"/>
        </w:rPr>
        <w:t xml:space="preserve">[3]</w:t>
      </w:r>
      <w:r>
        <w:rPr>
          <w:rFonts w:ascii="Calibri" w:cs="Calibri" w:eastAsia="Calibri" w:hAnsi="Calibri"/>
          <w:color w:val="5B6770"/>
          <w:sz w:val="17"/>
          <w:szCs w:val="17"/>
        </w:rPr>
        <w:t xml:space="preserve"> (n = 13 without known diabetes), scored as chromogranin A-positive, hormone-negative cells and stratified by HOMA-β (error bars, SEM; the Cinti series reports group means without SEM in the source abstract). Fold-change above each pair. Note that the two cohorts use different scoring denominators and different populations, so absolute percentages are not directly comparable; the consistent finding is the direction and approximate magnitude of the effect.</w:t>
      </w:r>
    </w:p>
    <w:p>
      <w:pPr>
        <w:pStyle w:val="Heading2"/>
        <w:spacing w:after="120" w:before="260"/>
      </w:pPr>
      <w:r>
        <w:rPr>
          <w:rFonts w:ascii="Calibri" w:cs="Calibri" w:eastAsia="Calibri" w:hAnsi="Calibri"/>
          <w:b/>
          <w:bCs/>
          <w:color w:val="1F6F8B"/>
          <w:sz w:val="24"/>
          <w:szCs w:val="24"/>
        </w:rPr>
        <w:t xml:space="preserve">3.3 Single-cell and spatial evidence</w:t>
      </w:r>
    </w:p>
    <w:p>
      <w:pPr>
        <w:spacing w:after="140" w:line="276"/>
        <w:jc w:val="both"/>
      </w:pPr>
      <w:r>
        <w:rPr>
          <w:rFonts w:ascii="Calibri" w:cs="Calibri" w:eastAsia="Calibri" w:hAnsi="Calibri"/>
          <w:color w:val="1B2733"/>
          <w:sz w:val="21"/>
          <w:szCs w:val="21"/>
        </w:rPr>
        <w:t xml:space="preserve">Transcriptomic surveys of human islets support the same conclusion with independent methodology. Using single-cell and single-nucleus RNA-seq with RNA velocity and PAGA trajectory inference, Kang and colleagues found five transcriptionally distinct human α-cell subclusters and — decisively — </w:t>
      </w:r>
      <w:r>
        <w:rPr>
          <w:rFonts w:ascii="Calibri" w:cs="Calibri" w:eastAsia="Calibri" w:hAnsi="Calibri"/>
          <w:b/>
          <w:bCs/>
          <w:color w:val="1B2733"/>
          <w:sz w:val="21"/>
          <w:szCs w:val="21"/>
        </w:rPr>
        <w:t xml:space="preserve">bifurcating cell trajectories in non-diabetic islets but unidirectional β-to-α trajectories in T2D islets</w:t>
      </w:r>
      <w:r>
        <w:rPr>
          <w:rFonts w:ascii="Calibri" w:cs="Calibri" w:eastAsia="Calibri" w:hAnsi="Calibri"/>
          <w:color w:val="1B2733"/>
          <w:sz w:val="21"/>
          <w:szCs w:val="21"/>
        </w:rPr>
        <w:t xml:space="preserve">. Ten genes formed a common signature of the β-to-α trajectory; among them, the α-cell gene </w:t>
      </w:r>
      <w:r>
        <w:rPr>
          <w:rFonts w:ascii="Calibri" w:cs="Calibri" w:eastAsia="Calibri" w:hAnsi="Calibri"/>
          <w:i/>
          <w:iCs/>
          <w:color w:val="1B2733"/>
          <w:sz w:val="21"/>
          <w:szCs w:val="21"/>
        </w:rPr>
        <w:t xml:space="preserve">SMOC1</w:t>
      </w:r>
      <w:r>
        <w:rPr>
          <w:rFonts w:ascii="Calibri" w:cs="Calibri" w:eastAsia="Calibri" w:hAnsi="Calibri"/>
          <w:color w:val="1B2733"/>
          <w:sz w:val="21"/>
          <w:szCs w:val="21"/>
        </w:rPr>
        <w:t xml:space="preserve"> was ectopically expressed in β-cells in T2D, and enforcing SMOC1 expression in β-cells reduced insulin expression and secretion while increasing dedifferentiation markers — establishing it as a driver rather than a bystander </w:t>
      </w:r>
      <w:r>
        <w:rPr>
          <w:rFonts w:ascii="Calibri" w:cs="Calibri" w:eastAsia="Calibri" w:hAnsi="Calibri"/>
          <w:b/>
          <w:bCs/>
          <w:color w:val="1F6F8B"/>
          <w:sz w:val="18"/>
          <w:szCs w:val="18"/>
          <w:vertAlign w:val="superscript"/>
        </w:rPr>
        <w:t xml:space="preserve">[13]</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A reanalysis of full-length single-cell RNA-seq from human donors found that alternative splicing profiles cleanly define a mature β-cell subset in healthy controls and that </w:t>
      </w:r>
      <w:r>
        <w:rPr>
          <w:rFonts w:ascii="Calibri" w:cs="Calibri" w:eastAsia="Calibri" w:hAnsi="Calibri"/>
          <w:b/>
          <w:bCs/>
          <w:color w:val="1B2733"/>
          <w:sz w:val="21"/>
          <w:szCs w:val="21"/>
        </w:rPr>
        <w:t xml:space="preserve">this subset is completely lost in T2D</w:t>
      </w:r>
      <w:r>
        <w:rPr>
          <w:rFonts w:ascii="Calibri" w:cs="Calibri" w:eastAsia="Calibri" w:hAnsi="Calibri"/>
          <w:color w:val="1B2733"/>
          <w:sz w:val="21"/>
          <w:szCs w:val="21"/>
        </w:rPr>
        <w:t xml:space="preserve">, with trajectory analysis again indicating identity shift through dedifferentiation and transdifferentiation </w:t>
      </w:r>
      <w:r>
        <w:rPr>
          <w:rFonts w:ascii="Calibri" w:cs="Calibri" w:eastAsia="Calibri" w:hAnsi="Calibri"/>
          <w:b/>
          <w:bCs/>
          <w:color w:val="1F6F8B"/>
          <w:sz w:val="18"/>
          <w:szCs w:val="18"/>
          <w:vertAlign w:val="superscript"/>
        </w:rPr>
        <w:t xml:space="preserve">[25]</w:t>
      </w:r>
      <w:r>
        <w:rPr>
          <w:rFonts w:ascii="Calibri" w:cs="Calibri" w:eastAsia="Calibri" w:hAnsi="Calibri"/>
          <w:color w:val="1B2733"/>
          <w:sz w:val="21"/>
          <w:szCs w:val="21"/>
        </w:rPr>
        <w:t xml:space="preserve">. In parallel, analysis of 11 diabetic donors from the Human Pancreas Analysis Program showed that donors with high intrapancreatic fat had significantly increased ALDH1A3 expression in both α- and β-cells, reduced </w:t>
      </w:r>
      <w:r>
        <w:rPr>
          <w:rFonts w:ascii="Calibri" w:cs="Calibri" w:eastAsia="Calibri" w:hAnsi="Calibri"/>
          <w:i/>
          <w:iCs/>
          <w:color w:val="1B2733"/>
          <w:sz w:val="21"/>
          <w:szCs w:val="21"/>
        </w:rPr>
        <w:t xml:space="preserve">INSM1</w:t>
      </w:r>
      <w:r>
        <w:rPr>
          <w:rFonts w:ascii="Calibri" w:cs="Calibri" w:eastAsia="Calibri" w:hAnsi="Calibri"/>
          <w:color w:val="1B2733"/>
          <w:sz w:val="21"/>
          <w:szCs w:val="21"/>
        </w:rPr>
        <w:t xml:space="preserve">, </w:t>
      </w:r>
      <w:r>
        <w:rPr>
          <w:rFonts w:ascii="Calibri" w:cs="Calibri" w:eastAsia="Calibri" w:hAnsi="Calibri"/>
          <w:i/>
          <w:iCs/>
          <w:color w:val="1B2733"/>
          <w:sz w:val="21"/>
          <w:szCs w:val="21"/>
        </w:rPr>
        <w:t xml:space="preserve">MAFA</w:t>
      </w:r>
      <w:r>
        <w:rPr>
          <w:rFonts w:ascii="Calibri" w:cs="Calibri" w:eastAsia="Calibri" w:hAnsi="Calibri"/>
          <w:color w:val="1B2733"/>
          <w:sz w:val="21"/>
          <w:szCs w:val="21"/>
        </w:rPr>
        <w:t xml:space="preserve"> and </w:t>
      </w:r>
      <w:r>
        <w:rPr>
          <w:rFonts w:ascii="Calibri" w:cs="Calibri" w:eastAsia="Calibri" w:hAnsi="Calibri"/>
          <w:i/>
          <w:iCs/>
          <w:color w:val="1B2733"/>
          <w:sz w:val="21"/>
          <w:szCs w:val="21"/>
        </w:rPr>
        <w:t xml:space="preserve">NPY</w:t>
      </w:r>
      <w:r>
        <w:rPr>
          <w:rFonts w:ascii="Calibri" w:cs="Calibri" w:eastAsia="Calibri" w:hAnsi="Calibri"/>
          <w:color w:val="1B2733"/>
          <w:sz w:val="21"/>
          <w:szCs w:val="21"/>
        </w:rPr>
        <w:t xml:space="preserve">, and pseudotime trajectories running from β- toward α-cells </w:t>
      </w:r>
      <w:r>
        <w:rPr>
          <w:rFonts w:ascii="Calibri" w:cs="Calibri" w:eastAsia="Calibri" w:hAnsi="Calibri"/>
          <w:b/>
          <w:bCs/>
          <w:color w:val="1F6F8B"/>
          <w:sz w:val="18"/>
          <w:szCs w:val="18"/>
          <w:vertAlign w:val="superscript"/>
        </w:rPr>
        <w:t xml:space="preserve">[11]</w:t>
      </w:r>
      <w:r>
        <w:rPr>
          <w:rFonts w:ascii="Calibri" w:cs="Calibri" w:eastAsia="Calibri" w:hAnsi="Calibri"/>
          <w:color w:val="1B2733"/>
          <w:sz w:val="21"/>
          <w:szCs w:val="21"/>
        </w:rPr>
        <w:t xml:space="preserve">.</w:t>
      </w:r>
    </w:p>
    <w:p>
      <w:r>
        <w:br w:type="page"/>
      </w:r>
    </w:p>
    <w:p>
      <w:pPr>
        <w:pStyle w:val="Heading1"/>
        <w:spacing w:after="170" w:before="380"/>
      </w:pPr>
      <w:r>
        <w:rPr>
          <w:rFonts w:ascii="Calibri" w:cs="Calibri" w:eastAsia="Calibri" w:hAnsi="Calibri"/>
          <w:b/>
          <w:bCs/>
          <w:color w:val="1B2733"/>
          <w:sz w:val="29"/>
          <w:szCs w:val="29"/>
        </w:rPr>
        <w:t xml:space="preserve">4. Mechanisms</w:t>
      </w:r>
    </w:p>
    <w:p>
      <w:pPr>
        <w:spacing w:after="140" w:line="276"/>
        <w:jc w:val="both"/>
      </w:pPr>
      <w:r>
        <w:rPr>
          <w:rFonts w:ascii="Calibri" w:cs="Calibri" w:eastAsia="Calibri" w:hAnsi="Calibri"/>
          <w:color w:val="1B2733"/>
          <w:sz w:val="21"/>
          <w:szCs w:val="21"/>
        </w:rPr>
        <w:t xml:space="preserve">Figure 1 summarises the architecture of the pathway as it is currently understood: a convergent set of upstream stressors, a proximal signalling tier dominated by FOXO1 and by metabolic–epigenetic reprogramming, a shared effector programme, and three phenotypic outputs that feed back onto the stressors to form a self-reinforcing cycle.</w:t>
      </w:r>
    </w:p>
    <w:p>
      <w:pPr>
        <w:spacing w:after="60" w:before="170"/>
        <w:jc w:val="center"/>
      </w:pPr>
      <w:r>
        <w:drawing>
          <wp:inline distT="0" distB="0" distL="0" distR="0">
            <wp:extent cx="5943600" cy="2560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60320"/>
                    </a:xfrm>
                    <a:prstGeom prst="rect">
                      <a:avLst/>
                    </a:prstGeom>
                  </pic:spPr>
                </pic:pic>
              </a:graphicData>
            </a:graphic>
          </wp:inline>
        </w:drawing>
      </w:r>
    </w:p>
    <w:p>
      <w:pPr>
        <w:spacing w:after="230" w:before="90"/>
        <w:jc w:val="left"/>
      </w:pPr>
      <w:r>
        <w:rPr>
          <w:rFonts w:ascii="Calibri" w:cs="Calibri" w:eastAsia="Calibri" w:hAnsi="Calibri"/>
          <w:b/>
          <w:bCs/>
          <w:color w:val="5B6770"/>
          <w:sz w:val="17"/>
          <w:szCs w:val="17"/>
        </w:rPr>
        <w:t xml:space="preserve">Figure 1.</w:t>
      </w:r>
      <w:r>
        <w:rPr>
          <w:rFonts w:ascii="Calibri" w:cs="Calibri" w:eastAsia="Calibri" w:hAnsi="Calibri"/>
          <w:color w:val="5B6770"/>
          <w:sz w:val="17"/>
          <w:szCs w:val="17"/>
        </w:rPr>
        <w:t xml:space="preserve"> Integrated pathway of β-cell dedifferentiation in type 2 diabetes. Schematic assembled for this review from the mechanisms reported in references </w:t>
      </w:r>
      <w:r>
        <w:rPr>
          <w:rFonts w:ascii="Calibri" w:cs="Calibri" w:eastAsia="Calibri" w:hAnsi="Calibri"/>
          <w:b/>
          <w:bCs/>
          <w:color w:val="1F6F8B"/>
          <w:sz w:val="14"/>
          <w:szCs w:val="14"/>
          <w:vertAlign w:val="superscript"/>
        </w:rPr>
        <w:t xml:space="preserve">[1–5, 9–12, 14]</w:t>
      </w:r>
      <w:r>
        <w:rPr>
          <w:rFonts w:ascii="Calibri" w:cs="Calibri" w:eastAsia="Calibri" w:hAnsi="Calibri"/>
          <w:color w:val="5B6770"/>
          <w:sz w:val="17"/>
          <w:szCs w:val="17"/>
        </w:rPr>
        <w:t xml:space="preserve">; it is an original synthesis rather than a reproduction of any single published figure. Red: upstream stressors. Blue: proximal signalling. Olive: the effector dedifferentiation programme. Grey/red: phenotypic outputs. Green: the reversibility arm established by lineage tracing and pharmacological intervention (Section 6). The dashed loop indicates the feed-forward cycle whereby secretory failure worsens hyperglycaemia, which in turn intensifies glucotoxic stress.</w:t>
      </w:r>
    </w:p>
    <w:p>
      <w:pPr>
        <w:pStyle w:val="Heading2"/>
        <w:spacing w:after="120" w:before="260"/>
      </w:pPr>
      <w:r>
        <w:rPr>
          <w:rFonts w:ascii="Calibri" w:cs="Calibri" w:eastAsia="Calibri" w:hAnsi="Calibri"/>
          <w:b/>
          <w:bCs/>
          <w:color w:val="1F6F8B"/>
          <w:sz w:val="24"/>
          <w:szCs w:val="24"/>
        </w:rPr>
        <w:t xml:space="preserve">4.1 FOXO1: the proximal node</w:t>
      </w:r>
    </w:p>
    <w:p>
      <w:pPr>
        <w:spacing w:after="140" w:line="276"/>
        <w:jc w:val="both"/>
      </w:pPr>
      <w:r>
        <w:rPr>
          <w:rFonts w:ascii="Calibri" w:cs="Calibri" w:eastAsia="Calibri" w:hAnsi="Calibri"/>
          <w:color w:val="1B2733"/>
          <w:sz w:val="21"/>
          <w:szCs w:val="21"/>
        </w:rPr>
        <w:t xml:space="preserve">FOXO1 integrates β-cell proliferation with adaptive β-cell function. Under metabolic stress it translocates to the nucleus and sustains the identity programme; its loss — by genetic ablation, by chronic nuclear exit, or by degradation after prolonged stress — initiates dedifferentiation </w:t>
      </w:r>
      <w:r>
        <w:rPr>
          <w:rFonts w:ascii="Calibri" w:cs="Calibri" w:eastAsia="Calibri" w:hAnsi="Calibri"/>
          <w:b/>
          <w:bCs/>
          <w:color w:val="1F6F8B"/>
          <w:sz w:val="18"/>
          <w:szCs w:val="18"/>
          <w:vertAlign w:val="superscript"/>
        </w:rPr>
        <w:t xml:space="preserve">[1,31]</w:t>
      </w:r>
      <w:r>
        <w:rPr>
          <w:rFonts w:ascii="Calibri" w:cs="Calibri" w:eastAsia="Calibri" w:hAnsi="Calibri"/>
          <w:color w:val="1B2733"/>
          <w:sz w:val="21"/>
          <w:szCs w:val="21"/>
        </w:rPr>
        <w:t xml:space="preserve">. The dependence is dose-sensitive and pathway-specific: in the New Zealand Obese mouse, a sequential dietary regimen that dissociated obesity from hyperglycaemia showed that it was </w:t>
      </w:r>
      <w:r>
        <w:rPr>
          <w:rFonts w:ascii="Calibri" w:cs="Calibri" w:eastAsia="Calibri" w:hAnsi="Calibri"/>
          <w:i/>
          <w:iCs/>
          <w:color w:val="1B2733"/>
          <w:sz w:val="21"/>
          <w:szCs w:val="21"/>
        </w:rPr>
        <w:t xml:space="preserve">glucose</w:t>
      </w:r>
      <w:r>
        <w:rPr>
          <w:rFonts w:ascii="Calibri" w:cs="Calibri" w:eastAsia="Calibri" w:hAnsi="Calibri"/>
          <w:color w:val="1B2733"/>
          <w:sz w:val="21"/>
          <w:szCs w:val="21"/>
        </w:rPr>
        <w:t xml:space="preserve">, not lipid, exposure that caused rapid FOXO1 dephosphorylation (within two days) followed by progressive loss of PDX1, NKX6.1 and MAFA — supporting glucotoxicity as the dominant upstream input </w:t>
      </w:r>
      <w:r>
        <w:rPr>
          <w:rFonts w:ascii="Calibri" w:cs="Calibri" w:eastAsia="Calibri" w:hAnsi="Calibri"/>
          <w:b/>
          <w:bCs/>
          <w:color w:val="1F6F8B"/>
          <w:sz w:val="18"/>
          <w:szCs w:val="18"/>
          <w:vertAlign w:val="superscript"/>
        </w:rPr>
        <w:t xml:space="preserve">[33]</w:t>
      </w:r>
      <w:r>
        <w:rPr>
          <w:rFonts w:ascii="Calibri" w:cs="Calibri" w:eastAsia="Calibri" w:hAnsi="Calibri"/>
          <w:color w:val="1B2733"/>
          <w:sz w:val="21"/>
          <w:szCs w:val="21"/>
        </w:rPr>
        <w:t xml:space="preserve">. Notably, β-cell loss in that model proceeded by apoptosis rather than by dedifferentiation, a reminder that the two routes to β-cell failure coexist and that the balance between them is model- and context-dependent </w:t>
      </w:r>
      <w:r>
        <w:rPr>
          <w:rFonts w:ascii="Calibri" w:cs="Calibri" w:eastAsia="Calibri" w:hAnsi="Calibri"/>
          <w:b/>
          <w:bCs/>
          <w:color w:val="1F6F8B"/>
          <w:sz w:val="18"/>
          <w:szCs w:val="18"/>
          <w:vertAlign w:val="superscript"/>
        </w:rPr>
        <w:t xml:space="preserve">[33]</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The axis is also sensitive to non-metabolic insults, which is of toxicological interest. Chronic exposure of rats to the plasticiser di-(2-ethylhexyl) phthalate produced hyperglycaemia, insulin resistance and β-cell dedifferentiation with suppression of PI3K/Akt/FoxO1 signalling; in INS-1 cells, the active metabolite impaired GSIS and drove FOXO1 nuclear translocation, and both effects were rescued by a PI3K agonist or by FOXO1 overexpression </w:t>
      </w:r>
      <w:r>
        <w:rPr>
          <w:rFonts w:ascii="Calibri" w:cs="Calibri" w:eastAsia="Calibri" w:hAnsi="Calibri"/>
          <w:b/>
          <w:bCs/>
          <w:color w:val="1F6F8B"/>
          <w:sz w:val="18"/>
          <w:szCs w:val="18"/>
          <w:vertAlign w:val="superscript"/>
        </w:rPr>
        <w:t xml:space="preserve">[29]</w:t>
      </w:r>
      <w:r>
        <w:rPr>
          <w:rFonts w:ascii="Calibri" w:cs="Calibri" w:eastAsia="Calibri" w:hAnsi="Calibri"/>
          <w:color w:val="1B2733"/>
          <w:sz w:val="21"/>
          <w:szCs w:val="21"/>
        </w:rPr>
        <w:t xml:space="preserve">. Several microRNAs converge on the same node — miR-195 promotes dedifferentiation by targeting mitofusin-2 and impairing IRS-1/2–PI3K–Akt signalling in lipotoxic models </w:t>
      </w:r>
      <w:r>
        <w:rPr>
          <w:rFonts w:ascii="Calibri" w:cs="Calibri" w:eastAsia="Calibri" w:hAnsi="Calibri"/>
          <w:b/>
          <w:bCs/>
          <w:color w:val="1F6F8B"/>
          <w:sz w:val="18"/>
          <w:szCs w:val="18"/>
          <w:vertAlign w:val="superscript"/>
        </w:rPr>
        <w:t xml:space="preserve">[15]</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Not every route to dedifferentiation runs through FOXO1, however. Loss of the lysosomal membrane protein SIDT2 accelerates β-cell dedifferentiation — reducing PDX1, MAFA and GLUT2 and increasing α-cell number — by a mechanism the authors found to be </w:t>
      </w:r>
      <w:r>
        <w:rPr>
          <w:rFonts w:ascii="Calibri" w:cs="Calibri" w:eastAsia="Calibri" w:hAnsi="Calibri"/>
          <w:i/>
          <w:iCs/>
          <w:color w:val="1B2733"/>
          <w:sz w:val="21"/>
          <w:szCs w:val="21"/>
        </w:rPr>
        <w:t xml:space="preserve">independent</w:t>
      </w:r>
      <w:r>
        <w:rPr>
          <w:rFonts w:ascii="Calibri" w:cs="Calibri" w:eastAsia="Calibri" w:hAnsi="Calibri"/>
          <w:color w:val="1B2733"/>
          <w:sz w:val="21"/>
          <w:szCs w:val="21"/>
        </w:rPr>
        <w:t xml:space="preserve"> of FOXO1 and attributable instead to a primary defect in insulin secretion </w:t>
      </w:r>
      <w:r>
        <w:rPr>
          <w:rFonts w:ascii="Calibri" w:cs="Calibri" w:eastAsia="Calibri" w:hAnsi="Calibri"/>
          <w:b/>
          <w:bCs/>
          <w:color w:val="1F6F8B"/>
          <w:sz w:val="18"/>
          <w:szCs w:val="18"/>
          <w:vertAlign w:val="superscript"/>
        </w:rPr>
        <w:t xml:space="preserve">[28]</w:t>
      </w:r>
      <w:r>
        <w:rPr>
          <w:rFonts w:ascii="Calibri" w:cs="Calibri" w:eastAsia="Calibri" w:hAnsi="Calibri"/>
          <w:color w:val="1B2733"/>
          <w:sz w:val="21"/>
          <w:szCs w:val="21"/>
        </w:rPr>
        <w:t xml:space="preserve">. This matters conceptually: it implies that impaired secretion itself can feed back to destabilise identity.</w:t>
      </w:r>
    </w:p>
    <w:p>
      <w:pPr>
        <w:pStyle w:val="Heading2"/>
        <w:spacing w:after="120" w:before="260"/>
      </w:pPr>
      <w:r>
        <w:rPr>
          <w:rFonts w:ascii="Calibri" w:cs="Calibri" w:eastAsia="Calibri" w:hAnsi="Calibri"/>
          <w:b/>
          <w:bCs/>
          <w:color w:val="1F6F8B"/>
          <w:sz w:val="24"/>
          <w:szCs w:val="24"/>
        </w:rPr>
        <w:t xml:space="preserve">4.2 ALDH1A3 and retinoic acid: marker turned effector</w:t>
      </w:r>
    </w:p>
    <w:p>
      <w:pPr>
        <w:spacing w:after="140" w:line="276"/>
        <w:jc w:val="both"/>
      </w:pPr>
      <w:r>
        <w:rPr>
          <w:rFonts w:ascii="Calibri" w:cs="Calibri" w:eastAsia="Calibri" w:hAnsi="Calibri"/>
          <w:color w:val="1B2733"/>
          <w:sz w:val="21"/>
          <w:szCs w:val="21"/>
        </w:rPr>
        <w:t xml:space="preserve">ALDH1A3 is not expressed in healthy β-cells but appears early in the progression to failure in multiple murine models and in human T2D, and ALDH1A3-positive (A⁺) β-cells secrete less insulin than their negative counterparts </w:t>
      </w:r>
      <w:r>
        <w:rPr>
          <w:rFonts w:ascii="Calibri" w:cs="Calibri" w:eastAsia="Calibri" w:hAnsi="Calibri"/>
          <w:b/>
          <w:bCs/>
          <w:color w:val="1F6F8B"/>
          <w:sz w:val="18"/>
          <w:szCs w:val="18"/>
          <w:vertAlign w:val="superscript"/>
        </w:rPr>
        <w:t xml:space="preserve">[5,8]</w:t>
      </w:r>
      <w:r>
        <w:rPr>
          <w:rFonts w:ascii="Calibri" w:cs="Calibri" w:eastAsia="Calibri" w:hAnsi="Calibri"/>
          <w:color w:val="1B2733"/>
          <w:sz w:val="21"/>
          <w:szCs w:val="21"/>
        </w:rPr>
        <w:t xml:space="preserve">. Whether this was cause or consequence was resolved by three complementary experiments in a single study </w:t>
      </w:r>
      <w:r>
        <w:rPr>
          <w:rFonts w:ascii="Calibri" w:cs="Calibri" w:eastAsia="Calibri" w:hAnsi="Calibri"/>
          <w:b/>
          <w:bCs/>
          <w:color w:val="1F6F8B"/>
          <w:sz w:val="18"/>
          <w:szCs w:val="18"/>
          <w:vertAlign w:val="superscript"/>
        </w:rPr>
        <w:t xml:space="preserve">[5]</w:t>
      </w:r>
      <w:r>
        <w:rPr>
          <w:rFonts w:ascii="Calibri" w:cs="Calibri" w:eastAsia="Calibri" w:hAnsi="Calibri"/>
          <w:color w:val="1B2733"/>
          <w:sz w:val="21"/>
          <w:szCs w:val="21"/>
        </w:rPr>
        <w:t xml:space="preserve">.</w:t>
      </w:r>
    </w:p>
    <w:p>
      <w:pPr>
        <w:pStyle w:val="ListParagraph"/>
        <w:numPr>
          <w:ilvl w:val="0"/>
          <w:numId w:val="2"/>
        </w:numPr>
        <w:spacing w:after="90" w:line="270"/>
      </w:pPr>
      <w:r>
        <w:rPr>
          <w:rFonts w:ascii="Calibri" w:cs="Calibri" w:eastAsia="Calibri" w:hAnsi="Calibri"/>
          <w:b/>
          <w:bCs/>
          <w:color w:val="1B2733"/>
          <w:sz w:val="21"/>
          <w:szCs w:val="21"/>
        </w:rPr>
        <w:t xml:space="preserve">Lineage tracing.</w:t>
      </w:r>
      <w:r>
        <w:rPr>
          <w:rFonts w:ascii="Calibri" w:cs="Calibri" w:eastAsia="Calibri" w:hAnsi="Calibri"/>
          <w:color w:val="1B2733"/>
          <w:sz w:val="21"/>
          <w:szCs w:val="21"/>
        </w:rPr>
        <w:t xml:space="preserve"> A tamoxifen-inducible Cre knocked into the </w:t>
      </w:r>
      <w:r>
        <w:rPr>
          <w:rFonts w:ascii="Calibri" w:cs="Calibri" w:eastAsia="Calibri" w:hAnsi="Calibri"/>
          <w:i/>
          <w:iCs/>
          <w:color w:val="1B2733"/>
          <w:sz w:val="21"/>
          <w:szCs w:val="21"/>
        </w:rPr>
        <w:t xml:space="preserve">Aldh1a3</w:t>
      </w:r>
      <w:r>
        <w:rPr>
          <w:rFonts w:ascii="Calibri" w:cs="Calibri" w:eastAsia="Calibri" w:hAnsi="Calibri"/>
          <w:color w:val="1B2733"/>
          <w:sz w:val="21"/>
          <w:szCs w:val="21"/>
        </w:rPr>
        <w:t xml:space="preserve"> locus, crossed to a YFP reporter on a db/db background, labelled &gt;20% of islet cells. After four weeks of pair-feeding, roughly two-thirds of animals improved glycaemically. In those responders, the number of YFP-labelled cells was unchanged (~25%) — excluding cell death — while </w:t>
      </w:r>
      <w:r>
        <w:rPr>
          <w:rFonts w:ascii="Calibri" w:cs="Calibri" w:eastAsia="Calibri" w:hAnsi="Calibri"/>
          <w:b/>
          <w:bCs/>
          <w:color w:val="1B2733"/>
          <w:sz w:val="21"/>
          <w:szCs w:val="21"/>
        </w:rPr>
        <w:t xml:space="preserve">approximately 80% of YFP-positive cells had lost detectable ALDH activity</w:t>
      </w:r>
      <w:r>
        <w:rPr>
          <w:rFonts w:ascii="Calibri" w:cs="Calibri" w:eastAsia="Calibri" w:hAnsi="Calibri"/>
          <w:color w:val="1B2733"/>
          <w:sz w:val="21"/>
          <w:szCs w:val="21"/>
        </w:rPr>
        <w:t xml:space="preserve">, demonstrating that A⁺ cells had converted back to A⁻ cells. Reconverted cells showed increased insulin content, PDX1 expression and insulin secretion.</w:t>
      </w:r>
    </w:p>
    <w:p>
      <w:pPr>
        <w:pStyle w:val="ListParagraph"/>
        <w:numPr>
          <w:ilvl w:val="0"/>
          <w:numId w:val="2"/>
        </w:numPr>
        <w:spacing w:after="90" w:line="270"/>
      </w:pPr>
      <w:r>
        <w:rPr>
          <w:rFonts w:ascii="Calibri" w:cs="Calibri" w:eastAsia="Calibri" w:hAnsi="Calibri"/>
          <w:b/>
          <w:bCs/>
          <w:color w:val="1B2733"/>
          <w:sz w:val="21"/>
          <w:szCs w:val="21"/>
        </w:rPr>
        <w:t xml:space="preserve">Genetic ablation.</w:t>
      </w:r>
      <w:r>
        <w:rPr>
          <w:rFonts w:ascii="Calibri" w:cs="Calibri" w:eastAsia="Calibri" w:hAnsi="Calibri"/>
          <w:color w:val="1B2733"/>
          <w:sz w:val="21"/>
          <w:szCs w:val="21"/>
        </w:rPr>
        <w:t xml:space="preserve"> β-cell-specific </w:t>
      </w:r>
      <w:r>
        <w:rPr>
          <w:rFonts w:ascii="Calibri" w:cs="Calibri" w:eastAsia="Calibri" w:hAnsi="Calibri"/>
          <w:i/>
          <w:iCs/>
          <w:color w:val="1B2733"/>
          <w:sz w:val="21"/>
          <w:szCs w:val="21"/>
        </w:rPr>
        <w:t xml:space="preserve">Aldh1a3</w:t>
      </w:r>
      <w:r>
        <w:rPr>
          <w:rFonts w:ascii="Calibri" w:cs="Calibri" w:eastAsia="Calibri" w:hAnsi="Calibri"/>
          <w:color w:val="1B2733"/>
          <w:sz w:val="21"/>
          <w:szCs w:val="21"/>
        </w:rPr>
        <w:t xml:space="preserve"> knockout on the db/db background lowered refed glycaemia, improved intraperitoneal glucose tolerance, raised plasma insulin, and increased ex vivo insulin secretion at 16.8 mM glucose by </w:t>
      </w:r>
      <w:r>
        <w:rPr>
          <w:rFonts w:ascii="Calibri" w:cs="Calibri" w:eastAsia="Calibri" w:hAnsi="Calibri"/>
          <w:b/>
          <w:bCs/>
          <w:color w:val="1B2733"/>
          <w:sz w:val="21"/>
          <w:szCs w:val="21"/>
        </w:rPr>
        <w:t xml:space="preserve">50%</w:t>
      </w:r>
      <w:r>
        <w:rPr>
          <w:rFonts w:ascii="Calibri" w:cs="Calibri" w:eastAsia="Calibri" w:hAnsi="Calibri"/>
          <w:color w:val="1B2733"/>
          <w:sz w:val="21"/>
          <w:szCs w:val="21"/>
        </w:rPr>
        <w:t xml:space="preserve"> relative to db/db controls, with higher PDX1, NKX6.1, E-cadherin and MAFA.</w:t>
      </w:r>
    </w:p>
    <w:p>
      <w:pPr>
        <w:pStyle w:val="ListParagraph"/>
        <w:numPr>
          <w:ilvl w:val="0"/>
          <w:numId w:val="2"/>
        </w:numPr>
        <w:spacing w:after="90" w:line="270"/>
      </w:pPr>
      <w:r>
        <w:rPr>
          <w:rFonts w:ascii="Calibri" w:cs="Calibri" w:eastAsia="Calibri" w:hAnsi="Calibri"/>
          <w:b/>
          <w:bCs/>
          <w:color w:val="1B2733"/>
          <w:sz w:val="21"/>
          <w:szCs w:val="21"/>
        </w:rPr>
        <w:t xml:space="preserve">Pharmacological inhibition.</w:t>
      </w:r>
      <w:r>
        <w:rPr>
          <w:rFonts w:ascii="Calibri" w:cs="Calibri" w:eastAsia="Calibri" w:hAnsi="Calibri"/>
          <w:color w:val="1B2733"/>
          <w:sz w:val="21"/>
          <w:szCs w:val="21"/>
        </w:rPr>
        <w:t xml:space="preserve"> KOTX1, a selective reversible ALDH1A3 inhibitor (cellular IC₅₀ 5.1 nM; no inhibition of ALDH1A1 or ALDH2), given orally at 40 mg/kg/day for four weeks to db/db mice or formulated into a high-fat diet, improved glucose tolerance and raised insulin without changing body weight or food intake. In islets from db/db mice and from </w:t>
      </w:r>
      <w:r>
        <w:rPr>
          <w:rFonts w:ascii="Calibri" w:cs="Calibri" w:eastAsia="Calibri" w:hAnsi="Calibri"/>
          <w:b/>
          <w:bCs/>
          <w:color w:val="1B2733"/>
          <w:sz w:val="21"/>
          <w:szCs w:val="21"/>
        </w:rPr>
        <w:t xml:space="preserve">human diabetic donors</w:t>
      </w:r>
      <w:r>
        <w:rPr>
          <w:rFonts w:ascii="Calibri" w:cs="Calibri" w:eastAsia="Calibri" w:hAnsi="Calibri"/>
          <w:color w:val="1B2733"/>
          <w:sz w:val="21"/>
          <w:szCs w:val="21"/>
        </w:rPr>
        <w:t xml:space="preserve">, KOTX1 increased glucose-stimulated insulin secretion by approximately 50–150%. The glucose-lowering effect persisted for about three weeks after withdrawal.</w:t>
      </w:r>
    </w:p>
    <w:p>
      <w:pPr>
        <w:spacing w:after="140" w:line="276"/>
        <w:jc w:val="both"/>
      </w:pPr>
      <w:r>
        <w:rPr>
          <w:rFonts w:ascii="Calibri" w:cs="Calibri" w:eastAsia="Calibri" w:hAnsi="Calibri"/>
          <w:color w:val="1B2733"/>
          <w:sz w:val="21"/>
          <w:szCs w:val="21"/>
        </w:rPr>
        <w:t xml:space="preserve">Mechanistically, the canonical ALDH1A3 substrate is retinaldehyde, converted to retinoic acid (RA) acting through RAR/RXR. Co-treatment of diabetic islets with all-</w:t>
      </w:r>
      <w:r>
        <w:rPr>
          <w:rFonts w:ascii="Calibri" w:cs="Calibri" w:eastAsia="Calibri" w:hAnsi="Calibri"/>
          <w:i/>
          <w:iCs/>
          <w:color w:val="1B2733"/>
          <w:sz w:val="21"/>
          <w:szCs w:val="21"/>
        </w:rPr>
        <w:t xml:space="preserve">trans</w:t>
      </w:r>
      <w:r>
        <w:rPr>
          <w:rFonts w:ascii="Calibri" w:cs="Calibri" w:eastAsia="Calibri" w:hAnsi="Calibri"/>
          <w:color w:val="1B2733"/>
          <w:sz w:val="21"/>
          <w:szCs w:val="21"/>
        </w:rPr>
        <w:t xml:space="preserve"> RA abolished the KOTX1-induced increase in insulin secretion, and RA reduced </w:t>
      </w:r>
      <w:r>
        <w:rPr>
          <w:rFonts w:ascii="Calibri" w:cs="Calibri" w:eastAsia="Calibri" w:hAnsi="Calibri"/>
          <w:i/>
          <w:iCs/>
          <w:color w:val="1B2733"/>
          <w:sz w:val="21"/>
          <w:szCs w:val="21"/>
        </w:rPr>
        <w:t xml:space="preserve">Reg</w:t>
      </w:r>
      <w:r>
        <w:rPr>
          <w:rFonts w:ascii="Calibri" w:cs="Calibri" w:eastAsia="Calibri" w:hAnsi="Calibri"/>
          <w:color w:val="1B2733"/>
          <w:sz w:val="21"/>
          <w:szCs w:val="21"/>
        </w:rPr>
        <w:t xml:space="preserve"> gene expression in </w:t>
      </w:r>
      <w:r>
        <w:rPr>
          <w:rFonts w:ascii="Calibri" w:cs="Calibri" w:eastAsia="Calibri" w:hAnsi="Calibri"/>
          <w:i/>
          <w:iCs/>
          <w:color w:val="1B2733"/>
          <w:sz w:val="21"/>
          <w:szCs w:val="21"/>
        </w:rPr>
        <w:t xml:space="preserve">Aldh1a3</w:t>
      </w:r>
      <w:r>
        <w:rPr>
          <w:rFonts w:ascii="Calibri" w:cs="Calibri" w:eastAsia="Calibri" w:hAnsi="Calibri"/>
          <w:color w:val="1B2733"/>
          <w:sz w:val="21"/>
          <w:szCs w:val="21"/>
        </w:rPr>
        <w:t xml:space="preserve">-knockout islets. Tellingly, RA had no effect in normal islets, implying that RA signalling becomes pathogenic only in the diabetic context. RNA-seq of sorted knockout β-cells showed a transcriptome closer to lean controls than to db/db, with enrichment of regeneration, pancreas development and β-cell proliferation terms, induction of the </w:t>
      </w:r>
      <w:r>
        <w:rPr>
          <w:rFonts w:ascii="Calibri" w:cs="Calibri" w:eastAsia="Calibri" w:hAnsi="Calibri"/>
          <w:i/>
          <w:iCs/>
          <w:color w:val="1B2733"/>
          <w:sz w:val="21"/>
          <w:szCs w:val="21"/>
        </w:rPr>
        <w:t xml:space="preserve">Reg</w:t>
      </w:r>
      <w:r>
        <w:rPr>
          <w:rFonts w:ascii="Calibri" w:cs="Calibri" w:eastAsia="Calibri" w:hAnsi="Calibri"/>
          <w:color w:val="1B2733"/>
          <w:sz w:val="21"/>
          <w:szCs w:val="21"/>
        </w:rPr>
        <w:t xml:space="preserve"> gene family and </w:t>
      </w:r>
      <w:r>
        <w:rPr>
          <w:rFonts w:ascii="Calibri" w:cs="Calibri" w:eastAsia="Calibri" w:hAnsi="Calibri"/>
          <w:i/>
          <w:iCs/>
          <w:color w:val="1B2733"/>
          <w:sz w:val="21"/>
          <w:szCs w:val="21"/>
        </w:rPr>
        <w:t xml:space="preserve">Nr5a2</w:t>
      </w:r>
      <w:r>
        <w:rPr>
          <w:rFonts w:ascii="Calibri" w:cs="Calibri" w:eastAsia="Calibri" w:hAnsi="Calibri"/>
          <w:color w:val="1B2733"/>
          <w:sz w:val="21"/>
          <w:szCs w:val="21"/>
        </w:rPr>
        <w:t xml:space="preserve"> (LRH-1), and a two-fold rise in Ki67-positive β-cells with no change in cleaved caspase-3 </w:t>
      </w:r>
      <w:r>
        <w:rPr>
          <w:rFonts w:ascii="Calibri" w:cs="Calibri" w:eastAsia="Calibri" w:hAnsi="Calibri"/>
          <w:b/>
          <w:bCs/>
          <w:color w:val="1F6F8B"/>
          <w:sz w:val="18"/>
          <w:szCs w:val="18"/>
          <w:vertAlign w:val="superscript"/>
        </w:rPr>
        <w:t xml:space="preserve">[5]</w:t>
      </w:r>
      <w:r>
        <w:rPr>
          <w:rFonts w:ascii="Calibri" w:cs="Calibri" w:eastAsia="Calibri" w:hAnsi="Calibri"/>
          <w:color w:val="1B2733"/>
          <w:sz w:val="21"/>
          <w:szCs w:val="21"/>
        </w:rPr>
        <w:t xml:space="preserve">.</w:t>
      </w:r>
    </w:p>
    <w:p>
      <w:pPr>
        <w:pStyle w:val="Heading2"/>
        <w:spacing w:after="120" w:before="260"/>
      </w:pPr>
      <w:r>
        <w:rPr>
          <w:rFonts w:ascii="Calibri" w:cs="Calibri" w:eastAsia="Calibri" w:hAnsi="Calibri"/>
          <w:b/>
          <w:bCs/>
          <w:color w:val="1F6F8B"/>
          <w:sz w:val="24"/>
          <w:szCs w:val="24"/>
        </w:rPr>
        <w:t xml:space="preserve">4.3 BACH2</w:t>
      </w:r>
    </w:p>
    <w:p>
      <w:pPr>
        <w:spacing w:after="140" w:line="276"/>
        <w:jc w:val="both"/>
      </w:pPr>
      <w:r>
        <w:rPr>
          <w:rFonts w:ascii="Calibri" w:cs="Calibri" w:eastAsia="Calibri" w:hAnsi="Calibri"/>
          <w:color w:val="1B2733"/>
          <w:sz w:val="21"/>
          <w:szCs w:val="21"/>
        </w:rPr>
        <w:t xml:space="preserve">BACH2 was nominated as a master regulator of the T2D β-cell state through CRISPR-based functional studies in human islets showing that the T2D transcriptional signature can be reversed by its targeted inhibition </w:t>
      </w:r>
      <w:r>
        <w:rPr>
          <w:rFonts w:ascii="Calibri" w:cs="Calibri" w:eastAsia="Calibri" w:hAnsi="Calibri"/>
          <w:b/>
          <w:bCs/>
          <w:color w:val="1F6F8B"/>
          <w:sz w:val="18"/>
          <w:szCs w:val="18"/>
          <w:vertAlign w:val="superscript"/>
        </w:rPr>
        <w:t xml:space="preserve">[5]</w:t>
      </w:r>
      <w:r>
        <w:rPr>
          <w:rFonts w:ascii="Calibri" w:cs="Calibri" w:eastAsia="Calibri" w:hAnsi="Calibri"/>
          <w:color w:val="1B2733"/>
          <w:sz w:val="21"/>
          <w:szCs w:val="21"/>
        </w:rPr>
        <w:t xml:space="preserve">. The human histological data support its relevance: BACH2 is predominantly an α-cell protein, but BACH2-positive β-cells are rare in islets with a low dedifferentiation ratio and strongly induced in islets with a high one, and the percentage of BACH2-positive β-cells correlates with the dedifferentiation ratio (r = 0.63, p = 0.0498) </w:t>
      </w:r>
      <w:r>
        <w:rPr>
          <w:rFonts w:ascii="Calibri" w:cs="Calibri" w:eastAsia="Calibri" w:hAnsi="Calibri"/>
          <w:b/>
          <w:bCs/>
          <w:color w:val="1F6F8B"/>
          <w:sz w:val="18"/>
          <w:szCs w:val="18"/>
          <w:vertAlign w:val="superscript"/>
        </w:rPr>
        <w:t xml:space="preserve">[3]</w:t>
      </w:r>
      <w:r>
        <w:rPr>
          <w:rFonts w:ascii="Calibri" w:cs="Calibri" w:eastAsia="Calibri" w:hAnsi="Calibri"/>
          <w:color w:val="1B2733"/>
          <w:sz w:val="21"/>
          <w:szCs w:val="21"/>
        </w:rPr>
        <w:t xml:space="preserve">. In the same study, candidate markers nominated from rodent work — phospho-S6 (mTORC1), glucokinase, NRF2 and CYB5R3 — showed </w:t>
      </w:r>
      <w:r>
        <w:rPr>
          <w:rFonts w:ascii="Calibri" w:cs="Calibri" w:eastAsia="Calibri" w:hAnsi="Calibri"/>
          <w:b/>
          <w:bCs/>
          <w:color w:val="1B2733"/>
          <w:sz w:val="21"/>
          <w:szCs w:val="21"/>
        </w:rPr>
        <w:t xml:space="preserve">no</w:t>
      </w:r>
      <w:r>
        <w:rPr>
          <w:rFonts w:ascii="Calibri" w:cs="Calibri" w:eastAsia="Calibri" w:hAnsi="Calibri"/>
          <w:color w:val="1B2733"/>
          <w:sz w:val="21"/>
          <w:szCs w:val="21"/>
        </w:rPr>
        <w:t xml:space="preserve"> significant difference between high- and low-function groups, a useful negative result that narrows the field </w:t>
      </w:r>
      <w:r>
        <w:rPr>
          <w:rFonts w:ascii="Calibri" w:cs="Calibri" w:eastAsia="Calibri" w:hAnsi="Calibri"/>
          <w:b/>
          <w:bCs/>
          <w:color w:val="1F6F8B"/>
          <w:sz w:val="18"/>
          <w:szCs w:val="18"/>
          <w:vertAlign w:val="superscript"/>
        </w:rPr>
        <w:t xml:space="preserve">[3]</w:t>
      </w:r>
      <w:r>
        <w:rPr>
          <w:rFonts w:ascii="Calibri" w:cs="Calibri" w:eastAsia="Calibri" w:hAnsi="Calibri"/>
          <w:color w:val="1B2733"/>
          <w:sz w:val="21"/>
          <w:szCs w:val="21"/>
        </w:rPr>
        <w:t xml:space="preserve">. Consistently, CYB5R3 activation rescues secondary failure to sulfonylurea without correcting β-cell dedifferentiation, dissociating the two processes </w:t>
      </w:r>
      <w:r>
        <w:rPr>
          <w:rFonts w:ascii="Calibri" w:cs="Calibri" w:eastAsia="Calibri" w:hAnsi="Calibri"/>
          <w:b/>
          <w:bCs/>
          <w:color w:val="1F6F8B"/>
          <w:sz w:val="18"/>
          <w:szCs w:val="18"/>
          <w:vertAlign w:val="superscript"/>
        </w:rPr>
        <w:t xml:space="preserve">[21]</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An important difference between the two leading targets is timing. ALDH1A3 activation is an </w:t>
      </w:r>
      <w:r>
        <w:rPr>
          <w:rFonts w:ascii="Calibri" w:cs="Calibri" w:eastAsia="Calibri" w:hAnsi="Calibri"/>
          <w:i/>
          <w:iCs/>
          <w:color w:val="1B2733"/>
          <w:sz w:val="21"/>
          <w:szCs w:val="21"/>
        </w:rPr>
        <w:t xml:space="preserve">early</w:t>
      </w:r>
      <w:r>
        <w:rPr>
          <w:rFonts w:ascii="Calibri" w:cs="Calibri" w:eastAsia="Calibri" w:hAnsi="Calibri"/>
          <w:color w:val="1B2733"/>
          <w:sz w:val="21"/>
          <w:szCs w:val="21"/>
        </w:rPr>
        <w:t xml:space="preserve"> event in the progression of β-cell failure, whereas BACH2 induction appears later; earlier targets permit earlier intervention </w:t>
      </w:r>
      <w:r>
        <w:rPr>
          <w:rFonts w:ascii="Calibri" w:cs="Calibri" w:eastAsia="Calibri" w:hAnsi="Calibri"/>
          <w:b/>
          <w:bCs/>
          <w:color w:val="1F6F8B"/>
          <w:sz w:val="18"/>
          <w:szCs w:val="18"/>
          <w:vertAlign w:val="superscript"/>
        </w:rPr>
        <w:t xml:space="preserve">[5]</w:t>
      </w:r>
      <w:r>
        <w:rPr>
          <w:rFonts w:ascii="Calibri" w:cs="Calibri" w:eastAsia="Calibri" w:hAnsi="Calibri"/>
          <w:color w:val="1B2733"/>
          <w:sz w:val="21"/>
          <w:szCs w:val="21"/>
        </w:rPr>
        <w:t xml:space="preserve">.</w:t>
      </w:r>
    </w:p>
    <w:p>
      <w:pPr>
        <w:pStyle w:val="Heading2"/>
        <w:spacing w:after="120" w:before="260"/>
      </w:pPr>
      <w:r>
        <w:rPr>
          <w:rFonts w:ascii="Calibri" w:cs="Calibri" w:eastAsia="Calibri" w:hAnsi="Calibri"/>
          <w:b/>
          <w:bCs/>
          <w:color w:val="1F6F8B"/>
          <w:sz w:val="24"/>
          <w:szCs w:val="24"/>
        </w:rPr>
        <w:t xml:space="preserve">4.4 Metabolic–epigenetic reprogramming</w:t>
      </w:r>
    </w:p>
    <w:p>
      <w:pPr>
        <w:pStyle w:val="Heading3"/>
        <w:spacing w:after="90" w:before="190"/>
      </w:pPr>
      <w:r>
        <w:rPr>
          <w:rFonts w:ascii="Calibri" w:cs="Calibri" w:eastAsia="Calibri" w:hAnsi="Calibri"/>
          <w:b/>
          <w:bCs/>
          <w:i/>
          <w:iCs/>
          <w:color w:val="1B2733"/>
          <w:sz w:val="22"/>
          <w:szCs w:val="22"/>
        </w:rPr>
        <w:t xml:space="preserve">Lactate dehydrogenase A and histone lactylation</w:t>
      </w:r>
    </w:p>
    <w:p>
      <w:pPr>
        <w:spacing w:after="140" w:line="276"/>
        <w:jc w:val="both"/>
      </w:pPr>
      <w:r>
        <w:rPr>
          <w:rFonts w:ascii="Calibri" w:cs="Calibri" w:eastAsia="Calibri" w:hAnsi="Calibri"/>
          <w:i/>
          <w:iCs/>
          <w:color w:val="1B2733"/>
          <w:sz w:val="21"/>
          <w:szCs w:val="21"/>
        </w:rPr>
        <w:t xml:space="preserve">LDHA</w:t>
      </w:r>
      <w:r>
        <w:rPr>
          <w:rFonts w:ascii="Calibri" w:cs="Calibri" w:eastAsia="Calibri" w:hAnsi="Calibri"/>
          <w:color w:val="1B2733"/>
          <w:sz w:val="21"/>
          <w:szCs w:val="21"/>
        </w:rPr>
        <w:t xml:space="preserve"> is a classic “disallowed gene” in β-cells — normally repressed because lactate production would decouple glycolytic flux from the ATP signal that triggers secretion. Li and colleagues found LDHA expression and activity elevated in islets from human donors with T2D, in db/db mice and in high-fat-diet mice. The mechanism they describe is a direct metabolic-to-epigenetic relay: LDHA activation markedly increased *</w:t>
      </w:r>
      <w:r>
        <w:rPr>
          <w:rFonts w:ascii="Calibri" w:cs="Calibri" w:eastAsia="Calibri" w:hAnsi="Calibri"/>
          <w:i/>
          <w:iCs/>
          <w:color w:val="1B2733"/>
          <w:sz w:val="21"/>
          <w:szCs w:val="21"/>
        </w:rPr>
        <w:t xml:space="preserve">histone H3 lysine 9 lactylation (H3K9la) at the promoters of </w:t>
      </w:r>
      <w:r>
        <w:rPr>
          <w:rFonts w:ascii="Calibri" w:cs="Calibri" w:eastAsia="Calibri" w:hAnsi="Calibri"/>
          <w:color w:val="1B2733"/>
          <w:sz w:val="21"/>
          <w:szCs w:val="21"/>
        </w:rPr>
        <w:t xml:space="preserve">Sox9</w:t>
      </w:r>
      <w:r>
        <w:rPr>
          <w:rFonts w:ascii="Calibri" w:cs="Calibri" w:eastAsia="Calibri" w:hAnsi="Calibri"/>
          <w:i/>
          <w:iCs/>
          <w:color w:val="1B2733"/>
          <w:sz w:val="21"/>
          <w:szCs w:val="21"/>
        </w:rPr>
        <w:t xml:space="preserve">, </w:t>
      </w:r>
      <w:r>
        <w:rPr>
          <w:rFonts w:ascii="Calibri" w:cs="Calibri" w:eastAsia="Calibri" w:hAnsi="Calibri"/>
          <w:color w:val="1B2733"/>
          <w:sz w:val="21"/>
          <w:szCs w:val="21"/>
        </w:rPr>
        <w:t xml:space="preserve">Hes1</w:t>
      </w:r>
      <w:r>
        <w:rPr>
          <w:rFonts w:ascii="Calibri" w:cs="Calibri" w:eastAsia="Calibri" w:hAnsi="Calibri"/>
          <w:i/>
          <w:iCs/>
          <w:color w:val="1B2733"/>
          <w:sz w:val="21"/>
          <w:szCs w:val="21"/>
        </w:rPr>
        <w:t xml:space="preserve"> and </w:t>
      </w:r>
      <w:r>
        <w:rPr>
          <w:rFonts w:ascii="Calibri" w:cs="Calibri" w:eastAsia="Calibri" w:hAnsi="Calibri"/>
          <w:color w:val="1B2733"/>
          <w:sz w:val="21"/>
          <w:szCs w:val="21"/>
        </w:rPr>
        <w:t xml:space="preserve">Aldh1a3***, facilitating their transcription and triggering dedifferentiation. Inhibiting LDHA preserved β-cell identity, delayed progression in models of impaired fasting glucose, and improved insulin output and glucose homeostasis in diabetic models </w:t>
      </w:r>
      <w:r>
        <w:rPr>
          <w:rFonts w:ascii="Calibri" w:cs="Calibri" w:eastAsia="Calibri" w:hAnsi="Calibri"/>
          <w:b/>
          <w:bCs/>
          <w:color w:val="1F6F8B"/>
          <w:sz w:val="18"/>
          <w:szCs w:val="18"/>
          <w:vertAlign w:val="superscript"/>
        </w:rPr>
        <w:t xml:space="preserve">[9]</w:t>
      </w:r>
      <w:r>
        <w:rPr>
          <w:rFonts w:ascii="Calibri" w:cs="Calibri" w:eastAsia="Calibri" w:hAnsi="Calibri"/>
          <w:color w:val="1B2733"/>
          <w:sz w:val="21"/>
          <w:szCs w:val="21"/>
        </w:rPr>
        <w:t xml:space="preserve">.</w:t>
      </w:r>
    </w:p>
    <w:p>
      <w:pPr>
        <w:pStyle w:val="Heading3"/>
        <w:spacing w:after="90" w:before="190"/>
      </w:pPr>
      <w:r>
        <w:rPr>
          <w:rFonts w:ascii="Calibri" w:cs="Calibri" w:eastAsia="Calibri" w:hAnsi="Calibri"/>
          <w:b/>
          <w:bCs/>
          <w:i/>
          <w:iCs/>
          <w:color w:val="1B2733"/>
          <w:sz w:val="22"/>
          <w:szCs w:val="22"/>
        </w:rPr>
        <w:t xml:space="preserve">Chromatin remodelling: BAF60A and ISL1</w:t>
      </w:r>
    </w:p>
    <w:p>
      <w:pPr>
        <w:spacing w:after="140" w:line="276"/>
        <w:jc w:val="both"/>
      </w:pPr>
      <w:r>
        <w:rPr>
          <w:rFonts w:ascii="Calibri" w:cs="Calibri" w:eastAsia="Calibri" w:hAnsi="Calibri"/>
          <w:color w:val="1B2733"/>
          <w:sz w:val="21"/>
          <w:szCs w:val="21"/>
        </w:rPr>
        <w:t xml:space="preserve">The SWI/SNF subunit BAF60A (encoded by </w:t>
      </w:r>
      <w:r>
        <w:rPr>
          <w:rFonts w:ascii="Calibri" w:cs="Calibri" w:eastAsia="Calibri" w:hAnsi="Calibri"/>
          <w:i/>
          <w:iCs/>
          <w:color w:val="1B2733"/>
          <w:sz w:val="21"/>
          <w:szCs w:val="21"/>
        </w:rPr>
        <w:t xml:space="preserve">Smarcd1</w:t>
      </w:r>
      <w:r>
        <w:rPr>
          <w:rFonts w:ascii="Calibri" w:cs="Calibri" w:eastAsia="Calibri" w:hAnsi="Calibri"/>
          <w:color w:val="1B2733"/>
          <w:sz w:val="21"/>
          <w:szCs w:val="21"/>
        </w:rPr>
        <w:t xml:space="preserve">) emerged in 2026 as a structural guardian of β-cell identity. BAF60A knockout mice showed glucose intolerance, impaired GSIS and pronounced loss of β-cell identity with acquisition of non-β endocrine features, confirmed by lineage tracing; inducible deletion in </w:t>
      </w:r>
      <w:r>
        <w:rPr>
          <w:rFonts w:ascii="Calibri" w:cs="Calibri" w:eastAsia="Calibri" w:hAnsi="Calibri"/>
          <w:i/>
          <w:iCs/>
          <w:color w:val="1B2733"/>
          <w:sz w:val="21"/>
          <w:szCs w:val="21"/>
        </w:rPr>
        <w:t xml:space="preserve">adult</w:t>
      </w:r>
      <w:r>
        <w:rPr>
          <w:rFonts w:ascii="Calibri" w:cs="Calibri" w:eastAsia="Calibri" w:hAnsi="Calibri"/>
          <w:color w:val="1B2733"/>
          <w:sz w:val="21"/>
          <w:szCs w:val="21"/>
        </w:rPr>
        <w:t xml:space="preserve"> β-cells reproduced the phenotype, excluding a purely developmental explanation. ATAC-seq showed reduced enhancer accessibility at β-cell identity genes. Mechanistically BAF60A interacts physically with ISL1, and adult β-cell </w:t>
      </w:r>
      <w:r>
        <w:rPr>
          <w:rFonts w:ascii="Calibri" w:cs="Calibri" w:eastAsia="Calibri" w:hAnsi="Calibri"/>
          <w:i/>
          <w:iCs/>
          <w:color w:val="1B2733"/>
          <w:sz w:val="21"/>
          <w:szCs w:val="21"/>
        </w:rPr>
        <w:t xml:space="preserve">Isl1</w:t>
      </w:r>
      <w:r>
        <w:rPr>
          <w:rFonts w:ascii="Calibri" w:cs="Calibri" w:eastAsia="Calibri" w:hAnsi="Calibri"/>
          <w:color w:val="1B2733"/>
          <w:sz w:val="21"/>
          <w:szCs w:val="21"/>
        </w:rPr>
        <w:t xml:space="preserve"> deletion recapitulated the phenotype and abolished the benefit of BAF60A overexpression. Conversely, AAV-mediated BAF60A overexpression markedly reduced dedifferentiation in BKS-db/db mice, and in human T2D islets BAF60A expression was reduced and </w:t>
      </w:r>
      <w:r>
        <w:rPr>
          <w:rFonts w:ascii="Calibri" w:cs="Calibri" w:eastAsia="Calibri" w:hAnsi="Calibri"/>
          <w:b/>
          <w:bCs/>
          <w:color w:val="1B2733"/>
          <w:sz w:val="21"/>
          <w:szCs w:val="21"/>
        </w:rPr>
        <w:t xml:space="preserve">inversely correlated with ALDH1A3</w:t>
      </w:r>
      <w:r>
        <w:rPr>
          <w:rFonts w:ascii="Calibri" w:cs="Calibri" w:eastAsia="Calibri" w:hAnsi="Calibri"/>
          <w:color w:val="1B2733"/>
          <w:sz w:val="21"/>
          <w:szCs w:val="21"/>
        </w:rPr>
        <w:t xml:space="preserve"> </w:t>
      </w:r>
      <w:r>
        <w:rPr>
          <w:rFonts w:ascii="Calibri" w:cs="Calibri" w:eastAsia="Calibri" w:hAnsi="Calibri"/>
          <w:b/>
          <w:bCs/>
          <w:color w:val="1F6F8B"/>
          <w:sz w:val="18"/>
          <w:szCs w:val="18"/>
          <w:vertAlign w:val="superscript"/>
        </w:rPr>
        <w:t xml:space="preserve">[10]</w:t>
      </w:r>
      <w:r>
        <w:rPr>
          <w:rFonts w:ascii="Calibri" w:cs="Calibri" w:eastAsia="Calibri" w:hAnsi="Calibri"/>
          <w:color w:val="1B2733"/>
          <w:sz w:val="21"/>
          <w:szCs w:val="21"/>
        </w:rPr>
        <w:t xml:space="preserve">.</w:t>
      </w:r>
    </w:p>
    <w:p>
      <w:pPr>
        <w:pStyle w:val="Heading2"/>
        <w:spacing w:after="120" w:before="260"/>
      </w:pPr>
      <w:r>
        <w:rPr>
          <w:rFonts w:ascii="Calibri" w:cs="Calibri" w:eastAsia="Calibri" w:hAnsi="Calibri"/>
          <w:b/>
          <w:bCs/>
          <w:color w:val="1F6F8B"/>
          <w:sz w:val="24"/>
          <w:szCs w:val="24"/>
        </w:rPr>
        <w:t xml:space="preserve">4.5 Endoplasmic reticulum stress and the unfolded protein response</w:t>
      </w:r>
    </w:p>
    <w:p>
      <w:pPr>
        <w:spacing w:after="140" w:line="276"/>
        <w:jc w:val="both"/>
      </w:pPr>
      <w:r>
        <w:rPr>
          <w:rFonts w:ascii="Calibri" w:cs="Calibri" w:eastAsia="Calibri" w:hAnsi="Calibri"/>
          <w:color w:val="1B2733"/>
          <w:sz w:val="21"/>
          <w:szCs w:val="21"/>
        </w:rPr>
        <w:t xml:space="preserve">β-cells synthesise insulin at an extreme rate and are correspondingly dependent on ER folding capacity. XBP1, the principal effector of the IRE1 arm of the unfolded protein response, is reduced in islets of people with T2D. Inducible </w:t>
      </w:r>
      <w:r>
        <w:rPr>
          <w:rFonts w:ascii="Calibri" w:cs="Calibri" w:eastAsia="Calibri" w:hAnsi="Calibri"/>
          <w:i/>
          <w:iCs/>
          <w:color w:val="1B2733"/>
          <w:sz w:val="21"/>
          <w:szCs w:val="21"/>
        </w:rPr>
        <w:t xml:space="preserve">Xbp1</w:t>
      </w:r>
      <w:r>
        <w:rPr>
          <w:rFonts w:ascii="Calibri" w:cs="Calibri" w:eastAsia="Calibri" w:hAnsi="Calibri"/>
          <w:color w:val="1B2733"/>
          <w:sz w:val="21"/>
          <w:szCs w:val="21"/>
        </w:rPr>
        <w:t xml:space="preserve"> deletion in adult murine β-cells caused loss of identity and β-to-α transdifferentiation and removed the capacity to compensate for insulin resistance, establishing XBP1 as actively required to </w:t>
      </w:r>
      <w:r>
        <w:rPr>
          <w:rFonts w:ascii="Calibri" w:cs="Calibri" w:eastAsia="Calibri" w:hAnsi="Calibri"/>
          <w:i/>
          <w:iCs/>
          <w:color w:val="1B2733"/>
          <w:sz w:val="21"/>
          <w:szCs w:val="21"/>
        </w:rPr>
        <w:t xml:space="preserve">repress</w:t>
      </w:r>
      <w:r>
        <w:rPr>
          <w:rFonts w:ascii="Calibri" w:cs="Calibri" w:eastAsia="Calibri" w:hAnsi="Calibri"/>
          <w:color w:val="1B2733"/>
          <w:sz w:val="21"/>
          <w:szCs w:val="21"/>
        </w:rPr>
        <w:t xml:space="preserve"> fate conversion rather than merely to support protein folding </w:t>
      </w:r>
      <w:r>
        <w:rPr>
          <w:rFonts w:ascii="Calibri" w:cs="Calibri" w:eastAsia="Calibri" w:hAnsi="Calibri"/>
          <w:b/>
          <w:bCs/>
          <w:color w:val="1F6F8B"/>
          <w:sz w:val="18"/>
          <w:szCs w:val="18"/>
          <w:vertAlign w:val="superscript"/>
        </w:rPr>
        <w:t xml:space="preserve">[12]</w:t>
      </w:r>
      <w:r>
        <w:rPr>
          <w:rFonts w:ascii="Calibri" w:cs="Calibri" w:eastAsia="Calibri" w:hAnsi="Calibri"/>
          <w:color w:val="1B2733"/>
          <w:sz w:val="21"/>
          <w:szCs w:val="21"/>
        </w:rPr>
        <w:t xml:space="preserve">. Defective adaptive UPR has separately been linked to β-cell dedifferentiation in elderly individuals without diabetes, suggesting a route to age-related β-cell failure distinct from classical glucotoxicity </w:t>
      </w:r>
      <w:r>
        <w:rPr>
          <w:rFonts w:ascii="Calibri" w:cs="Calibri" w:eastAsia="Calibri" w:hAnsi="Calibri"/>
          <w:b/>
          <w:bCs/>
          <w:color w:val="1F6F8B"/>
          <w:sz w:val="18"/>
          <w:szCs w:val="18"/>
          <w:vertAlign w:val="superscript"/>
        </w:rPr>
        <w:t xml:space="preserve">[3,4]</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This arm is pharmacologically approachable in principle. A systematic review and Bayesian meta-analysis of four preclinical studies of the chemical chaperones TUDCA and 4-PBA reported a pooled between-arm GSIS restoration ratio of </w:t>
      </w:r>
      <w:r>
        <w:rPr>
          <w:rFonts w:ascii="Calibri" w:cs="Calibri" w:eastAsia="Calibri" w:hAnsi="Calibri"/>
          <w:b/>
          <w:bCs/>
          <w:color w:val="1B2733"/>
          <w:sz w:val="21"/>
          <w:szCs w:val="21"/>
        </w:rPr>
        <w:t xml:space="preserve">1.85 (95% credible interval 1.38–2.43)</w:t>
      </w:r>
      <w:r>
        <w:rPr>
          <w:rFonts w:ascii="Calibri" w:cs="Calibri" w:eastAsia="Calibri" w:hAnsi="Calibri"/>
          <w:color w:val="1B2733"/>
          <w:sz w:val="21"/>
          <w:szCs w:val="21"/>
        </w:rPr>
        <w:t xml:space="preserve"> at stimulatory glucose, stable across prior specifications and leave-one-out analyses. The authors are explicit about the limits: only four eligible studies, no documented blinding of outcome assessment, and — when pooled on the registered within-arm stimulation-index scale — a non-significant 1.46 (0.73–2.58) with I² = 89.3%. The evidence supports restoration of absolute insulin output rather than of fold glucose responsiveness, and the pooled estimate should be read as an upper bound </w:t>
      </w:r>
      <w:r>
        <w:rPr>
          <w:rFonts w:ascii="Calibri" w:cs="Calibri" w:eastAsia="Calibri" w:hAnsi="Calibri"/>
          <w:b/>
          <w:bCs/>
          <w:color w:val="1F6F8B"/>
          <w:sz w:val="18"/>
          <w:szCs w:val="18"/>
          <w:vertAlign w:val="superscript"/>
        </w:rPr>
        <w:t xml:space="preserve">[30]</w:t>
      </w:r>
      <w:r>
        <w:rPr>
          <w:rFonts w:ascii="Calibri" w:cs="Calibri" w:eastAsia="Calibri" w:hAnsi="Calibri"/>
          <w:color w:val="1B2733"/>
          <w:sz w:val="21"/>
          <w:szCs w:val="21"/>
        </w:rPr>
        <w:t xml:space="preserve">.</w:t>
      </w:r>
    </w:p>
    <w:p>
      <w:pPr>
        <w:pStyle w:val="Heading2"/>
        <w:spacing w:after="120" w:before="260"/>
      </w:pPr>
      <w:r>
        <w:rPr>
          <w:rFonts w:ascii="Calibri" w:cs="Calibri" w:eastAsia="Calibri" w:hAnsi="Calibri"/>
          <w:b/>
          <w:bCs/>
          <w:color w:val="1F6F8B"/>
          <w:sz w:val="24"/>
          <w:szCs w:val="24"/>
        </w:rPr>
        <w:t xml:space="preserve">4.6 The islet microenvironment: fat, immune cells and inflammation</w:t>
      </w:r>
    </w:p>
    <w:p>
      <w:pPr>
        <w:spacing w:after="140" w:line="276"/>
        <w:jc w:val="both"/>
      </w:pPr>
      <w:r>
        <w:rPr>
          <w:rFonts w:ascii="Calibri" w:cs="Calibri" w:eastAsia="Calibri" w:hAnsi="Calibri"/>
          <w:color w:val="1B2733"/>
          <w:sz w:val="21"/>
          <w:szCs w:val="21"/>
        </w:rPr>
        <w:t xml:space="preserve">Dedifferentiation is not a cell-autonomous process. Histological analysis of 50 organ donors (15 with T2D) found pancreatic fat content substantially higher in T2D (10.24% [3.29–13.89] versus 0.74% [0.34–5.11], p &lt; 0.001), negatively correlated with estimated β-cell mass (r = −0.675, p = 0.006) and positively with the α-to-β cell ratio (r = 0.608, p = 0.016). Pancreatic fat content correlated positively with the percentage of ALDH1A3-positive β-cells within islets (r = 0.594, p = 0.020), and the number of T cells adjacent to adipocytes tracked both the adipocyte distribution pattern and the islet dedifferentiation phenotype — implicating a tripartite adipocyte–immune cell–β-cell interaction </w:t>
      </w:r>
      <w:r>
        <w:rPr>
          <w:rFonts w:ascii="Calibri" w:cs="Calibri" w:eastAsia="Calibri" w:hAnsi="Calibri"/>
          <w:b/>
          <w:bCs/>
          <w:color w:val="1F6F8B"/>
          <w:sz w:val="18"/>
          <w:szCs w:val="18"/>
          <w:vertAlign w:val="superscript"/>
        </w:rPr>
        <w:t xml:space="preserve">[11]</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The inflammatory contribution is supported by intervention data. Human T2D islets exposed to mesenchymal stem cells ex vivo showed reversal of β-cell dedifferentiation in an IL-1 receptor antagonist-mediated manner, with the MSCs responding to elevated pro-inflammatory cytokines in the diabetic islet </w:t>
      </w:r>
      <w:r>
        <w:rPr>
          <w:rFonts w:ascii="Calibri" w:cs="Calibri" w:eastAsia="Calibri" w:hAnsi="Calibri"/>
          <w:b/>
          <w:bCs/>
          <w:color w:val="1F6F8B"/>
          <w:sz w:val="18"/>
          <w:szCs w:val="18"/>
          <w:vertAlign w:val="superscript"/>
        </w:rPr>
        <w:t xml:space="preserve">[16]</w:t>
      </w:r>
      <w:r>
        <w:rPr>
          <w:rFonts w:ascii="Calibri" w:cs="Calibri" w:eastAsia="Calibri" w:hAnsi="Calibri"/>
          <w:color w:val="1B2733"/>
          <w:sz w:val="21"/>
          <w:szCs w:val="21"/>
        </w:rPr>
        <w:t xml:space="preserve">. Broader syntheses place these findings within an immunometabolic framework in which cytokines, lipid intermediates, adipose-derived factors, hepatokines, myokines and gut microbial metabolites jointly sustain the stress environment that destabilises identity </w:t>
      </w:r>
      <w:r>
        <w:rPr>
          <w:rFonts w:ascii="Calibri" w:cs="Calibri" w:eastAsia="Calibri" w:hAnsi="Calibri"/>
          <w:b/>
          <w:bCs/>
          <w:color w:val="1F6F8B"/>
          <w:sz w:val="18"/>
          <w:szCs w:val="18"/>
          <w:vertAlign w:val="superscript"/>
        </w:rPr>
        <w:t xml:space="preserve">[32]</w:t>
      </w:r>
      <w:r>
        <w:rPr>
          <w:rFonts w:ascii="Calibri" w:cs="Calibri" w:eastAsia="Calibri" w:hAnsi="Calibri"/>
          <w:color w:val="1B2733"/>
          <w:sz w:val="21"/>
          <w:szCs w:val="21"/>
        </w:rPr>
        <w:t xml:space="preserve">.</w:t>
      </w:r>
    </w:p>
    <w:p>
      <w:pPr>
        <w:pStyle w:val="Heading2"/>
        <w:spacing w:after="120" w:before="260"/>
      </w:pPr>
      <w:r>
        <w:rPr>
          <w:rFonts w:ascii="Calibri" w:cs="Calibri" w:eastAsia="Calibri" w:hAnsi="Calibri"/>
          <w:b/>
          <w:bCs/>
          <w:color w:val="1F6F8B"/>
          <w:sz w:val="24"/>
          <w:szCs w:val="24"/>
        </w:rPr>
        <w:t xml:space="preserve">4.7 An important complication: is some dedifferentiation protective?</w:t>
      </w:r>
    </w:p>
    <w:p>
      <w:pPr>
        <w:spacing w:after="140" w:line="276"/>
        <w:jc w:val="both"/>
      </w:pPr>
      <w:r>
        <w:rPr>
          <w:rFonts w:ascii="Calibri" w:cs="Calibri" w:eastAsia="Calibri" w:hAnsi="Calibri"/>
          <w:color w:val="1B2733"/>
          <w:sz w:val="21"/>
          <w:szCs w:val="21"/>
        </w:rPr>
        <w:t xml:space="preserve">A single-cell study of two obese mouse strains differing in diabetes susceptibility complicates the simple “dedifferentiation = pathology” narrative. After only two days of diabetogenic diet, islets of diabetes-</w:t>
      </w:r>
      <w:r>
        <w:rPr>
          <w:rFonts w:ascii="Calibri" w:cs="Calibri" w:eastAsia="Calibri" w:hAnsi="Calibri"/>
          <w:b/>
          <w:bCs/>
          <w:color w:val="1B2733"/>
          <w:sz w:val="21"/>
          <w:szCs w:val="21"/>
        </w:rPr>
        <w:t xml:space="preserve">resistant</w:t>
      </w:r>
      <w:r>
        <w:rPr>
          <w:rFonts w:ascii="Calibri" w:cs="Calibri" w:eastAsia="Calibri" w:hAnsi="Calibri"/>
          <w:color w:val="1B2733"/>
          <w:sz w:val="21"/>
          <w:szCs w:val="21"/>
        </w:rPr>
        <w:t xml:space="preserve"> mice developed a protective β-cell cluster showing </w:t>
      </w:r>
      <w:r>
        <w:rPr>
          <w:rFonts w:ascii="Calibri" w:cs="Calibri" w:eastAsia="Calibri" w:hAnsi="Calibri"/>
          <w:i/>
          <w:iCs/>
          <w:color w:val="1B2733"/>
          <w:sz w:val="21"/>
          <w:szCs w:val="21"/>
        </w:rPr>
        <w:t xml:space="preserve">indications of reduced β-cell identity</w:t>
      </w:r>
      <w:r>
        <w:rPr>
          <w:rFonts w:ascii="Calibri" w:cs="Calibri" w:eastAsia="Calibri" w:hAnsi="Calibri"/>
          <w:color w:val="1B2733"/>
          <w:sz w:val="21"/>
          <w:szCs w:val="21"/>
        </w:rPr>
        <w:t xml:space="preserve"> — downregulated GLUT2, GLP1R and MafA — while diabetes-prone mice instead moved toward stress and ER-stress clusters. Knockdown of GLUT2 in β-cells, mimicking the protective phenotype, decreased the stress response and apoptosis. The authors conclude that failure to adapt gene expression </w:t>
      </w:r>
      <w:r>
        <w:rPr>
          <w:rFonts w:ascii="Calibri" w:cs="Calibri" w:eastAsia="Calibri" w:hAnsi="Calibri"/>
          <w:i/>
          <w:iCs/>
          <w:color w:val="1B2733"/>
          <w:sz w:val="21"/>
          <w:szCs w:val="21"/>
        </w:rPr>
        <w:t xml:space="preserve">toward</w:t>
      </w:r>
      <w:r>
        <w:rPr>
          <w:rFonts w:ascii="Calibri" w:cs="Calibri" w:eastAsia="Calibri" w:hAnsi="Calibri"/>
          <w:color w:val="1B2733"/>
          <w:sz w:val="21"/>
          <w:szCs w:val="21"/>
        </w:rPr>
        <w:t xml:space="preserve"> a more dedifferentiated state is what leads to β-cell loss in the susceptible strain </w:t>
      </w:r>
      <w:r>
        <w:rPr>
          <w:rFonts w:ascii="Calibri" w:cs="Calibri" w:eastAsia="Calibri" w:hAnsi="Calibri"/>
          <w:b/>
          <w:bCs/>
          <w:color w:val="1F6F8B"/>
          <w:sz w:val="18"/>
          <w:szCs w:val="18"/>
          <w:vertAlign w:val="superscript"/>
        </w:rPr>
        <w:t xml:space="preserve">[18]</w:t>
      </w:r>
      <w:r>
        <w:rPr>
          <w:rFonts w:ascii="Calibri" w:cs="Calibri" w:eastAsia="Calibri" w:hAnsi="Calibri"/>
          <w:color w:val="1B2733"/>
          <w:sz w:val="21"/>
          <w:szCs w:val="21"/>
        </w:rPr>
        <w:t xml:space="preserve">. Partial, reversible identity downregulation may therefore be an adaptive rest state — a “β-cell rest” — that becomes pathological only when it is sustained or when it progresses to the full programme. Distinguishing adaptive from maladaptive identity loss is, in this reviewer's judgement, the most consequential unresolved question in the field.</w:t>
      </w:r>
    </w:p>
    <w:p>
      <w:r>
        <w:br w:type="page"/>
      </w:r>
    </w:p>
    <w:p>
      <w:pPr>
        <w:spacing w:after="80" w:before="170"/>
      </w:pPr>
      <w:r>
        <w:rPr>
          <w:rFonts w:ascii="Calibri" w:cs="Calibri" w:eastAsia="Calibri" w:hAnsi="Calibri"/>
          <w:b/>
          <w:bCs/>
          <w:color w:val="5B6770"/>
          <w:sz w:val="17"/>
          <w:szCs w:val="17"/>
        </w:rPr>
        <w:t xml:space="preserve">Table 2.</w:t>
      </w:r>
      <w:r>
        <w:rPr>
          <w:rFonts w:ascii="Calibri" w:cs="Calibri" w:eastAsia="Calibri" w:hAnsi="Calibri"/>
          <w:color w:val="5B6770"/>
          <w:sz w:val="17"/>
          <w:szCs w:val="17"/>
        </w:rPr>
        <w:t xml:space="preserve"> Principal molecular drivers of β-cell dedifferentiation, with the strongest supporting evidence.</w:t>
      </w:r>
    </w:p>
    <w:tbl>
      <w:tblPr>
        <w:tblW w:type="dxa" w:w="9360"/>
        <w:tblBorders>
          <w:top w:val="single" w:color="C9D1D6" w:sz="2"/>
          <w:left w:val="single" w:color="C9D1D6" w:sz="2"/>
          <w:bottom w:val="single" w:color="C9D1D6" w:sz="2"/>
          <w:right w:val="single" w:color="C9D1D6" w:sz="2"/>
          <w:insideH w:val="single" w:color="C9D1D6" w:sz="2"/>
          <w:insideV w:val="single" w:color="C9D1D6" w:sz="2"/>
        </w:tblBorders>
      </w:tblPr>
      <w:tblGrid>
        <w:gridCol w:w="1498"/>
        <w:gridCol w:w="1685"/>
        <w:gridCol w:w="3931"/>
        <w:gridCol w:w="2246"/>
      </w:tblGrid>
      <w:tr>
        <w:trPr>
          <w:tblHeader/>
        </w:trPr>
        <w:tc>
          <w:tcPr>
            <w:tcW w:type="dxa" w:w="1498"/>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Driver</w:t>
            </w:r>
          </w:p>
        </w:tc>
        <w:tc>
          <w:tcPr>
            <w:tcW w:type="dxa" w:w="1685"/>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System</w:t>
            </w:r>
          </w:p>
        </w:tc>
        <w:tc>
          <w:tcPr>
            <w:tcW w:type="dxa" w:w="3931"/>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Key finding</w:t>
            </w:r>
          </w:p>
        </w:tc>
        <w:tc>
          <w:tcPr>
            <w:tcW w:type="dxa" w:w="2246"/>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Reference</w:t>
            </w:r>
          </w:p>
        </w:tc>
      </w:tr>
      <w:tr>
        <w:trPr>
          <w:cantSplit/>
        </w:trPr>
        <w:tc>
          <w:tcPr>
            <w:tcW w:type="dxa" w:w="149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FOXO1 loss</w:t>
            </w:r>
          </w:p>
        </w:tc>
        <w:tc>
          <w:tcPr>
            <w:tcW w:type="dxa" w:w="1685"/>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Mouse β-cell KO</w:t>
            </w:r>
          </w:p>
        </w:tc>
        <w:tc>
          <w:tcPr>
            <w:tcW w:type="dxa" w:w="3931"/>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Dedifferentiation to NGN3/OCT4/NANOG-positive progenitor-like cells and α-cell conversion; not cell death</w:t>
            </w:r>
          </w:p>
        </w:tc>
        <w:tc>
          <w:tcPr>
            <w:tcW w:type="dxa" w:w="2246"/>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Talchai et al., Cell 2012 </w:t>
            </w:r>
            <w:r>
              <w:rPr>
                <w:rFonts w:ascii="Calibri" w:cs="Calibri" w:eastAsia="Calibri" w:hAnsi="Calibri"/>
                <w:b/>
                <w:bCs/>
                <w:color w:val="1F6F8B"/>
                <w:sz w:val="14"/>
                <w:szCs w:val="14"/>
                <w:vertAlign w:val="superscript"/>
              </w:rPr>
              <w:t xml:space="preserve">[1]</w:t>
            </w:r>
          </w:p>
        </w:tc>
      </w:tr>
      <w:tr>
        <w:trPr>
          <w:cantSplit/>
        </w:trPr>
        <w:tc>
          <w:tcPr>
            <w:tcW w:type="dxa" w:w="149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ALDH1A3 → retinoic acid</w:t>
            </w:r>
          </w:p>
        </w:tc>
        <w:tc>
          <w:tcPr>
            <w:tcW w:type="dxa" w:w="1685"/>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Mouse, human islets</w:t>
            </w:r>
          </w:p>
        </w:tc>
        <w:tc>
          <w:tcPr>
            <w:tcW w:type="dxa" w:w="3931"/>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Causal effector; genetic or pharmacological inhibition restores identity and secretion; atRA abolishes the benefit</w:t>
            </w:r>
          </w:p>
        </w:tc>
        <w:tc>
          <w:tcPr>
            <w:tcW w:type="dxa" w:w="2246"/>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Son et al., Nat Commun 2023 </w:t>
            </w:r>
            <w:r>
              <w:rPr>
                <w:rFonts w:ascii="Calibri" w:cs="Calibri" w:eastAsia="Calibri" w:hAnsi="Calibri"/>
                <w:b/>
                <w:bCs/>
                <w:color w:val="1F6F8B"/>
                <w:sz w:val="14"/>
                <w:szCs w:val="14"/>
                <w:vertAlign w:val="superscript"/>
              </w:rPr>
              <w:t xml:space="preserve">[5]</w:t>
            </w:r>
          </w:p>
        </w:tc>
      </w:tr>
      <w:tr>
        <w:trPr>
          <w:cantSplit/>
        </w:trPr>
        <w:tc>
          <w:tcPr>
            <w:tcW w:type="dxa" w:w="149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BACH2</w:t>
            </w:r>
          </w:p>
        </w:tc>
        <w:tc>
          <w:tcPr>
            <w:tcW w:type="dxa" w:w="1685"/>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Human islets, CRISPR</w:t>
            </w:r>
          </w:p>
        </w:tc>
        <w:tc>
          <w:tcPr>
            <w:tcW w:type="dxa" w:w="3931"/>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Master regulator of the T2D state; β-cell BACH2 correlates with dedifferentiation ratio in humans</w:t>
            </w:r>
          </w:p>
        </w:tc>
        <w:tc>
          <w:tcPr>
            <w:tcW w:type="dxa" w:w="2246"/>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Son et al. </w:t>
            </w:r>
            <w:r>
              <w:rPr>
                <w:rFonts w:ascii="Calibri" w:cs="Calibri" w:eastAsia="Calibri" w:hAnsi="Calibri"/>
                <w:b/>
                <w:bCs/>
                <w:color w:val="1F6F8B"/>
                <w:sz w:val="14"/>
                <w:szCs w:val="14"/>
                <w:vertAlign w:val="superscript"/>
              </w:rPr>
              <w:t xml:space="preserve">[5]</w:t>
            </w:r>
            <w:r>
              <w:rPr>
                <w:rFonts w:ascii="Calibri" w:cs="Calibri" w:eastAsia="Calibri" w:hAnsi="Calibri"/>
                <w:b w:val="false"/>
                <w:bCs w:val="false"/>
                <w:color w:val="1B2733"/>
                <w:sz w:val="17"/>
                <w:szCs w:val="17"/>
              </w:rPr>
              <w:t xml:space="preserve">; Kang F et al. </w:t>
            </w:r>
            <w:r>
              <w:rPr>
                <w:rFonts w:ascii="Calibri" w:cs="Calibri" w:eastAsia="Calibri" w:hAnsi="Calibri"/>
                <w:b/>
                <w:bCs/>
                <w:color w:val="1F6F8B"/>
                <w:sz w:val="14"/>
                <w:szCs w:val="14"/>
                <w:vertAlign w:val="superscript"/>
              </w:rPr>
              <w:t xml:space="preserve">[3]</w:t>
            </w:r>
          </w:p>
        </w:tc>
      </w:tr>
      <w:tr>
        <w:trPr>
          <w:cantSplit/>
        </w:trPr>
        <w:tc>
          <w:tcPr>
            <w:tcW w:type="dxa" w:w="149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LDHA → H3K9 lactylation</w:t>
            </w:r>
          </w:p>
        </w:tc>
        <w:tc>
          <w:tcPr>
            <w:tcW w:type="dxa" w:w="1685"/>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Human and mouse islets</w:t>
            </w:r>
          </w:p>
        </w:tc>
        <w:tc>
          <w:tcPr>
            <w:tcW w:type="dxa" w:w="3931"/>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Lactylation at Sox9, Hes1, Aldh1a3 promoters; LDHA inhibition preserves identity</w:t>
            </w:r>
          </w:p>
        </w:tc>
        <w:tc>
          <w:tcPr>
            <w:tcW w:type="dxa" w:w="2246"/>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Li et al., Diabetologia 2025 </w:t>
            </w:r>
            <w:r>
              <w:rPr>
                <w:rFonts w:ascii="Calibri" w:cs="Calibri" w:eastAsia="Calibri" w:hAnsi="Calibri"/>
                <w:b/>
                <w:bCs/>
                <w:color w:val="1F6F8B"/>
                <w:sz w:val="14"/>
                <w:szCs w:val="14"/>
                <w:vertAlign w:val="superscript"/>
              </w:rPr>
              <w:t xml:space="preserve">[9]</w:t>
            </w:r>
          </w:p>
        </w:tc>
      </w:tr>
      <w:tr>
        <w:trPr>
          <w:cantSplit/>
        </w:trPr>
        <w:tc>
          <w:tcPr>
            <w:tcW w:type="dxa" w:w="149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BAF60A–ISL1 chromatin remodelling</w:t>
            </w:r>
          </w:p>
        </w:tc>
        <w:tc>
          <w:tcPr>
            <w:tcW w:type="dxa" w:w="1685"/>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Mouse, human islets</w:t>
            </w:r>
          </w:p>
        </w:tc>
        <w:tc>
          <w:tcPr>
            <w:tcW w:type="dxa" w:w="3931"/>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Loss reduces enhancer accessibility at identity genes; BAF60A inversely correlates with ALDH1A3 in human T2D islets</w:t>
            </w:r>
          </w:p>
        </w:tc>
        <w:tc>
          <w:tcPr>
            <w:tcW w:type="dxa" w:w="2246"/>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Zhu et al., Diabetologia 2026 </w:t>
            </w:r>
            <w:r>
              <w:rPr>
                <w:rFonts w:ascii="Calibri" w:cs="Calibri" w:eastAsia="Calibri" w:hAnsi="Calibri"/>
                <w:b/>
                <w:bCs/>
                <w:color w:val="1F6F8B"/>
                <w:sz w:val="14"/>
                <w:szCs w:val="14"/>
                <w:vertAlign w:val="superscript"/>
              </w:rPr>
              <w:t xml:space="preserve">[10]</w:t>
            </w:r>
          </w:p>
        </w:tc>
      </w:tr>
      <w:tr>
        <w:trPr>
          <w:cantSplit/>
        </w:trPr>
        <w:tc>
          <w:tcPr>
            <w:tcW w:type="dxa" w:w="149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XBP1 loss (ER stress)</w:t>
            </w:r>
          </w:p>
        </w:tc>
        <w:tc>
          <w:tcPr>
            <w:tcW w:type="dxa" w:w="1685"/>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Adult mouse β-cells</w:t>
            </w:r>
          </w:p>
        </w:tc>
        <w:tc>
          <w:tcPr>
            <w:tcW w:type="dxa" w:w="3931"/>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Required to repress β-to-α transdifferentiation under metabolic stress</w:t>
            </w:r>
          </w:p>
        </w:tc>
        <w:tc>
          <w:tcPr>
            <w:tcW w:type="dxa" w:w="2246"/>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Lee et al., Diabetologia 2022 </w:t>
            </w:r>
            <w:r>
              <w:rPr>
                <w:rFonts w:ascii="Calibri" w:cs="Calibri" w:eastAsia="Calibri" w:hAnsi="Calibri"/>
                <w:b/>
                <w:bCs/>
                <w:color w:val="1F6F8B"/>
                <w:sz w:val="14"/>
                <w:szCs w:val="14"/>
                <w:vertAlign w:val="superscript"/>
              </w:rPr>
              <w:t xml:space="preserve">[12]</w:t>
            </w:r>
          </w:p>
        </w:tc>
      </w:tr>
      <w:tr>
        <w:trPr>
          <w:cantSplit/>
        </w:trPr>
        <w:tc>
          <w:tcPr>
            <w:tcW w:type="dxa" w:w="149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SMOC1</w:t>
            </w:r>
          </w:p>
        </w:tc>
        <w:tc>
          <w:tcPr>
            <w:tcW w:type="dxa" w:w="1685"/>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Human islets</w:t>
            </w:r>
          </w:p>
        </w:tc>
        <w:tc>
          <w:tcPr>
            <w:tcW w:type="dxa" w:w="3931"/>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Ectopic α-cell gene in T2D β-cells; sufficient to reduce insulin and raise dedifferentiation markers</w:t>
            </w:r>
          </w:p>
        </w:tc>
        <w:tc>
          <w:tcPr>
            <w:tcW w:type="dxa" w:w="2246"/>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Kang RB et al., Nat Commun 2025 </w:t>
            </w:r>
            <w:r>
              <w:rPr>
                <w:rFonts w:ascii="Calibri" w:cs="Calibri" w:eastAsia="Calibri" w:hAnsi="Calibri"/>
                <w:b/>
                <w:bCs/>
                <w:color w:val="1F6F8B"/>
                <w:sz w:val="14"/>
                <w:szCs w:val="14"/>
                <w:vertAlign w:val="superscript"/>
              </w:rPr>
              <w:t xml:space="preserve">[13]</w:t>
            </w:r>
          </w:p>
        </w:tc>
      </w:tr>
      <w:tr>
        <w:trPr>
          <w:cantSplit/>
        </w:trPr>
        <w:tc>
          <w:tcPr>
            <w:tcW w:type="dxa" w:w="149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Intrapancreatic adipocytes + T cells</w:t>
            </w:r>
          </w:p>
        </w:tc>
        <w:tc>
          <w:tcPr>
            <w:tcW w:type="dxa" w:w="1685"/>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Human pancreas (n = 50)</w:t>
            </w:r>
          </w:p>
        </w:tc>
        <w:tc>
          <w:tcPr>
            <w:tcW w:type="dxa" w:w="3931"/>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Pancreatic fat correlates with ALDH1A3-positive β-cells and with adjacent T-cell number</w:t>
            </w:r>
          </w:p>
        </w:tc>
        <w:tc>
          <w:tcPr>
            <w:tcW w:type="dxa" w:w="2246"/>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Zhang et al., Diabetologia 2025 </w:t>
            </w:r>
            <w:r>
              <w:rPr>
                <w:rFonts w:ascii="Calibri" w:cs="Calibri" w:eastAsia="Calibri" w:hAnsi="Calibri"/>
                <w:b/>
                <w:bCs/>
                <w:color w:val="1F6F8B"/>
                <w:sz w:val="14"/>
                <w:szCs w:val="14"/>
                <w:vertAlign w:val="superscript"/>
              </w:rPr>
              <w:t xml:space="preserve">[11]</w:t>
            </w:r>
          </w:p>
        </w:tc>
      </w:tr>
      <w:tr>
        <w:trPr>
          <w:cantSplit/>
        </w:trPr>
        <w:tc>
          <w:tcPr>
            <w:tcW w:type="dxa" w:w="149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miR-7 → Pdx1/Ovol2/Zeb2</w:t>
            </w:r>
          </w:p>
        </w:tc>
        <w:tc>
          <w:tcPr>
            <w:tcW w:type="dxa" w:w="1685"/>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Mouse islets</w:t>
            </w:r>
          </w:p>
        </w:tc>
        <w:tc>
          <w:tcPr>
            <w:tcW w:type="dxa" w:w="3931"/>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Drives an EMT-associated transcriptional programme in dedifferentiated β-cells</w:t>
            </w:r>
          </w:p>
        </w:tc>
        <w:tc>
          <w:tcPr>
            <w:tcW w:type="dxa" w:w="2246"/>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de Jesus et al., Mol Metab 2021 </w:t>
            </w:r>
            <w:r>
              <w:rPr>
                <w:rFonts w:ascii="Calibri" w:cs="Calibri" w:eastAsia="Calibri" w:hAnsi="Calibri"/>
                <w:b/>
                <w:bCs/>
                <w:color w:val="1F6F8B"/>
                <w:sz w:val="14"/>
                <w:szCs w:val="14"/>
                <w:vertAlign w:val="superscript"/>
              </w:rPr>
              <w:t xml:space="preserve">[14]</w:t>
            </w:r>
          </w:p>
        </w:tc>
      </w:tr>
      <w:tr>
        <w:trPr>
          <w:cantSplit/>
        </w:trPr>
        <w:tc>
          <w:tcPr>
            <w:tcW w:type="dxa" w:w="149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miR-195 → Mfn2</w:t>
            </w:r>
          </w:p>
        </w:tc>
        <w:tc>
          <w:tcPr>
            <w:tcW w:type="dxa" w:w="1685"/>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Mouse, MIN6</w:t>
            </w:r>
          </w:p>
        </w:tc>
        <w:tc>
          <w:tcPr>
            <w:tcW w:type="dxa" w:w="3931"/>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Lipotoxic dedifferentiation via impaired IRS-1/2–PI3K–Akt signalling</w:t>
            </w:r>
          </w:p>
        </w:tc>
        <w:tc>
          <w:tcPr>
            <w:tcW w:type="dxa" w:w="2246"/>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Xu et al., Obesity 2022 </w:t>
            </w:r>
            <w:r>
              <w:rPr>
                <w:rFonts w:ascii="Calibri" w:cs="Calibri" w:eastAsia="Calibri" w:hAnsi="Calibri"/>
                <w:b/>
                <w:bCs/>
                <w:color w:val="1F6F8B"/>
                <w:sz w:val="14"/>
                <w:szCs w:val="14"/>
                <w:vertAlign w:val="superscript"/>
              </w:rPr>
              <w:t xml:space="preserve">[15]</w:t>
            </w:r>
          </w:p>
        </w:tc>
      </w:tr>
      <w:tr>
        <w:trPr>
          <w:cantSplit/>
        </w:trPr>
        <w:tc>
          <w:tcPr>
            <w:tcW w:type="dxa" w:w="149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SIDT2 loss</w:t>
            </w:r>
          </w:p>
        </w:tc>
        <w:tc>
          <w:tcPr>
            <w:tcW w:type="dxa" w:w="1685"/>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Mouse, human</w:t>
            </w:r>
          </w:p>
        </w:tc>
        <w:tc>
          <w:tcPr>
            <w:tcW w:type="dxa" w:w="3931"/>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FOXO1-independent dedifferentiation secondary to a primary secretion defect</w:t>
            </w:r>
          </w:p>
        </w:tc>
        <w:tc>
          <w:tcPr>
            <w:tcW w:type="dxa" w:w="2246"/>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Gu et al., J Biol Chem 2025 </w:t>
            </w:r>
            <w:r>
              <w:rPr>
                <w:rFonts w:ascii="Calibri" w:cs="Calibri" w:eastAsia="Calibri" w:hAnsi="Calibri"/>
                <w:b/>
                <w:bCs/>
                <w:color w:val="1F6F8B"/>
                <w:sz w:val="14"/>
                <w:szCs w:val="14"/>
                <w:vertAlign w:val="superscript"/>
              </w:rPr>
              <w:t xml:space="preserve">[28]</w:t>
            </w:r>
          </w:p>
        </w:tc>
      </w:tr>
    </w:tbl>
    <w:p>
      <w:r>
        <w:br w:type="page"/>
      </w:r>
    </w:p>
    <w:p>
      <w:pPr>
        <w:pStyle w:val="Heading1"/>
        <w:spacing w:after="170" w:before="380"/>
      </w:pPr>
      <w:r>
        <w:rPr>
          <w:rFonts w:ascii="Calibri" w:cs="Calibri" w:eastAsia="Calibri" w:hAnsi="Calibri"/>
          <w:b/>
          <w:bCs/>
          <w:color w:val="1B2733"/>
          <w:sz w:val="29"/>
          <w:szCs w:val="29"/>
        </w:rPr>
        <w:t xml:space="preserve">5. Fate conversion, and what else β-cells can become</w:t>
      </w:r>
    </w:p>
    <w:p>
      <w:pPr>
        <w:spacing w:after="140" w:line="276"/>
        <w:jc w:val="both"/>
      </w:pPr>
      <w:r>
        <w:rPr>
          <w:rFonts w:ascii="Calibri" w:cs="Calibri" w:eastAsia="Calibri" w:hAnsi="Calibri"/>
          <w:color w:val="1B2733"/>
          <w:sz w:val="21"/>
          <w:szCs w:val="21"/>
        </w:rPr>
        <w:t xml:space="preserve">Dedifferentiation and transdifferentiation are related but distinct. The former denotes regression toward a progenitor-like state; the latter denotes acquisition of an alternative mature endocrine identity. In practice the two are sequential: in the original FOXO1 model, a subset of dedifferentiated cells went on to adopt the α-cell fate, producing measurable hyperglucagonaemia </w:t>
      </w:r>
      <w:r>
        <w:rPr>
          <w:rFonts w:ascii="Calibri" w:cs="Calibri" w:eastAsia="Calibri" w:hAnsi="Calibri"/>
          <w:b/>
          <w:bCs/>
          <w:color w:val="1F6F8B"/>
          <w:sz w:val="18"/>
          <w:szCs w:val="18"/>
          <w:vertAlign w:val="superscript"/>
        </w:rPr>
        <w:t xml:space="preserve">[1]</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Human data support the same sequence. Ectopic β-cell transcription factors appear in glucagon- and somatostatin-producing cells in diabetic pancreata — cells that look like α- or δ-cells but carry the molecular fingerprint of β-cell origin </w:t>
      </w:r>
      <w:r>
        <w:rPr>
          <w:rFonts w:ascii="Calibri" w:cs="Calibri" w:eastAsia="Calibri" w:hAnsi="Calibri"/>
          <w:b/>
          <w:bCs/>
          <w:color w:val="1F6F8B"/>
          <w:sz w:val="18"/>
          <w:szCs w:val="18"/>
          <w:vertAlign w:val="superscript"/>
        </w:rPr>
        <w:t xml:space="preserve">[2]</w:t>
      </w:r>
      <w:r>
        <w:rPr>
          <w:rFonts w:ascii="Calibri" w:cs="Calibri" w:eastAsia="Calibri" w:hAnsi="Calibri"/>
          <w:color w:val="1B2733"/>
          <w:sz w:val="21"/>
          <w:szCs w:val="21"/>
        </w:rPr>
        <w:t xml:space="preserve">. Single-cell trajectory inference shows unidirectional β-to-α trajectories in T2D islets where non-diabetic islets show bifurcating ones </w:t>
      </w:r>
      <w:r>
        <w:rPr>
          <w:rFonts w:ascii="Calibri" w:cs="Calibri" w:eastAsia="Calibri" w:hAnsi="Calibri"/>
          <w:b/>
          <w:bCs/>
          <w:color w:val="1F6F8B"/>
          <w:sz w:val="18"/>
          <w:szCs w:val="18"/>
          <w:vertAlign w:val="superscript"/>
        </w:rPr>
        <w:t xml:space="preserve">[13]</w:t>
      </w:r>
      <w:r>
        <w:rPr>
          <w:rFonts w:ascii="Calibri" w:cs="Calibri" w:eastAsia="Calibri" w:hAnsi="Calibri"/>
          <w:color w:val="1B2733"/>
          <w:sz w:val="21"/>
          <w:szCs w:val="21"/>
        </w:rPr>
        <w:t xml:space="preserve">. Bi-hormonal insulin/glucagon cells are the expected intermediate and have been documented in rodent recovery experiments </w:t>
      </w:r>
      <w:r>
        <w:rPr>
          <w:rFonts w:ascii="Calibri" w:cs="Calibri" w:eastAsia="Calibri" w:hAnsi="Calibri"/>
          <w:b/>
          <w:bCs/>
          <w:color w:val="1F6F8B"/>
          <w:sz w:val="18"/>
          <w:szCs w:val="18"/>
          <w:vertAlign w:val="superscript"/>
        </w:rPr>
        <w:t xml:space="preserve">[19,20]</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β-cells are not restricted to endocrine fates. Single-cell profiling of prediabetic and diabetic db/db islets identified trajectories comprising both dedifferentiation and transdifferentiation, with </w:t>
      </w:r>
      <w:r>
        <w:rPr>
          <w:rFonts w:ascii="Calibri" w:cs="Calibri" w:eastAsia="Calibri" w:hAnsi="Calibri"/>
          <w:b/>
          <w:bCs/>
          <w:color w:val="1B2733"/>
          <w:sz w:val="21"/>
          <w:szCs w:val="21"/>
        </w:rPr>
        <w:t xml:space="preserve">acinar-like</w:t>
      </w:r>
      <w:r>
        <w:rPr>
          <w:rFonts w:ascii="Calibri" w:cs="Calibri" w:eastAsia="Calibri" w:hAnsi="Calibri"/>
          <w:color w:val="1B2733"/>
          <w:sz w:val="21"/>
          <w:szCs w:val="21"/>
        </w:rPr>
        <w:t xml:space="preserve"> cells emerging in diabetic islets — an exocrine fate — alongside a Ca²⁺-dysregulated cluster marked by the novel prediabetic gene </w:t>
      </w:r>
      <w:r>
        <w:rPr>
          <w:rFonts w:ascii="Calibri" w:cs="Calibri" w:eastAsia="Calibri" w:hAnsi="Calibri"/>
          <w:i/>
          <w:iCs/>
          <w:color w:val="1B2733"/>
          <w:sz w:val="21"/>
          <w:szCs w:val="21"/>
        </w:rPr>
        <w:t xml:space="preserve">Anxa10</w:t>
      </w:r>
      <w:r>
        <w:rPr>
          <w:rFonts w:ascii="Calibri" w:cs="Calibri" w:eastAsia="Calibri" w:hAnsi="Calibri"/>
          <w:color w:val="1B2733"/>
          <w:sz w:val="21"/>
          <w:szCs w:val="21"/>
        </w:rPr>
        <w:t xml:space="preserve">, whose overexpression suppressed glucose-stimulated Ca²⁺ elevation and potassium-induced insulin secretion </w:t>
      </w:r>
      <w:r>
        <w:rPr>
          <w:rFonts w:ascii="Calibri" w:cs="Calibri" w:eastAsia="Calibri" w:hAnsi="Calibri"/>
          <w:b/>
          <w:bCs/>
          <w:color w:val="1F6F8B"/>
          <w:sz w:val="18"/>
          <w:szCs w:val="18"/>
          <w:vertAlign w:val="superscript"/>
        </w:rPr>
        <w:t xml:space="preserve">[24]</w:t>
      </w:r>
      <w:r>
        <w:rPr>
          <w:rFonts w:ascii="Calibri" w:cs="Calibri" w:eastAsia="Calibri" w:hAnsi="Calibri"/>
          <w:color w:val="1B2733"/>
          <w:sz w:val="21"/>
          <w:szCs w:val="21"/>
        </w:rPr>
        <w:t xml:space="preserve">. A partial epithelial-to-mesenchymal programme has also been described, with the Pdx1/Ovol2/Zeb2 axis dysregulated in dedifferentiated β-cells and EMT-associated genes induced </w:t>
      </w:r>
      <w:r>
        <w:rPr>
          <w:rFonts w:ascii="Calibri" w:cs="Calibri" w:eastAsia="Calibri" w:hAnsi="Calibri"/>
          <w:b/>
          <w:bCs/>
          <w:color w:val="1F6F8B"/>
          <w:sz w:val="18"/>
          <w:szCs w:val="18"/>
          <w:vertAlign w:val="superscript"/>
        </w:rPr>
        <w:t xml:space="preserve">[14]</w:t>
      </w:r>
      <w:r>
        <w:rPr>
          <w:rFonts w:ascii="Calibri" w:cs="Calibri" w:eastAsia="Calibri" w:hAnsi="Calibri"/>
          <w:color w:val="1B2733"/>
          <w:sz w:val="21"/>
          <w:szCs w:val="21"/>
        </w:rPr>
        <w:t xml:space="preserve">.</w:t>
      </w:r>
    </w:p>
    <w:p>
      <w:pPr>
        <w:pStyle w:val="Heading2"/>
        <w:spacing w:after="120" w:before="260"/>
      </w:pPr>
      <w:r>
        <w:rPr>
          <w:rFonts w:ascii="Calibri" w:cs="Calibri" w:eastAsia="Calibri" w:hAnsi="Calibri"/>
          <w:b/>
          <w:bCs/>
          <w:color w:val="1F6F8B"/>
          <w:sz w:val="24"/>
          <w:szCs w:val="24"/>
        </w:rPr>
        <w:t xml:space="preserve">5.1 Dedifferentiation versus senescence</w:t>
      </w:r>
    </w:p>
    <w:p>
      <w:pPr>
        <w:spacing w:after="140" w:line="276"/>
        <w:jc w:val="both"/>
      </w:pPr>
      <w:r>
        <w:rPr>
          <w:rFonts w:ascii="Calibri" w:cs="Calibri" w:eastAsia="Calibri" w:hAnsi="Calibri"/>
          <w:color w:val="1B2733"/>
          <w:sz w:val="21"/>
          <w:szCs w:val="21"/>
        </w:rPr>
        <w:t xml:space="preserve">A competing, and possibly complementary, account of β-cell functional decline invokes cellular senescence. Senescent β-cells accumulate with age and insulin resistance, and targeted removal of senescent cells improves glucose homeostasis in mouse models. Recent work using single-cell RNA-seq, flow cytometry and spatial transcriptomics identified distinct senescent β-cell subpopulations in mice and humans; the predominant one lacked glucose responsiveness, showed high basal insulin secretion, and transcribed canonical senescence-associated secretory phenotype (SASP) factors with non-cell-autonomous effects on neighbouring cells. Four SASP factors were sufficient to induce secondary senescence and β-cell dysfunction, and JAK1/2 and JAK1/3 inhibitors restored β-cell function in high-fat-diet mice and in human islets from donors with and without T2D </w:t>
      </w:r>
      <w:r>
        <w:rPr>
          <w:rFonts w:ascii="Calibri" w:cs="Calibri" w:eastAsia="Calibri" w:hAnsi="Calibri"/>
          <w:b/>
          <w:bCs/>
          <w:color w:val="1F6F8B"/>
          <w:sz w:val="18"/>
          <w:szCs w:val="18"/>
          <w:vertAlign w:val="superscript"/>
        </w:rPr>
        <w:t xml:space="preserve">[22]</w:t>
      </w:r>
      <w:r>
        <w:rPr>
          <w:rFonts w:ascii="Calibri" w:cs="Calibri" w:eastAsia="Calibri" w:hAnsi="Calibri"/>
          <w:color w:val="1B2733"/>
          <w:sz w:val="21"/>
          <w:szCs w:val="21"/>
        </w:rPr>
        <w:t xml:space="preserve">. (This report is a preprint and has not undergone peer review; it is cited here as such.) A candidate cell-surface marker, TM4SF1, has been proposed as more β-cell-selective than uPAR for senotherapeutic targeting </w:t>
      </w:r>
      <w:r>
        <w:rPr>
          <w:rFonts w:ascii="Calibri" w:cs="Calibri" w:eastAsia="Calibri" w:hAnsi="Calibri"/>
          <w:b/>
          <w:bCs/>
          <w:color w:val="1F6F8B"/>
          <w:sz w:val="18"/>
          <w:szCs w:val="18"/>
          <w:vertAlign w:val="superscript"/>
        </w:rPr>
        <w:t xml:space="preserve">[23]</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How senescence and dedifferentiation relate is unresolved. The phenotypes overlap — both feature loss of glucose responsiveness without cell death — but senescence is classically defined by irreversible growth arrest, whereas the defining property of dedifferentiation is its reversibility. Whether they are alternative fates of a stressed β-cell, sequential stages, or partially overlapping descriptions of one continuum is an open question with direct therapeutic consequences: senolytics remove cells, redifferentiation agents recover them.</w:t>
      </w:r>
    </w:p>
    <w:p>
      <w:pPr>
        <w:pStyle w:val="Heading1"/>
        <w:spacing w:after="170" w:before="380"/>
      </w:pPr>
      <w:r>
        <w:rPr>
          <w:rFonts w:ascii="Calibri" w:cs="Calibri" w:eastAsia="Calibri" w:hAnsi="Calibri"/>
          <w:b/>
          <w:bCs/>
          <w:color w:val="1B2733"/>
          <w:sz w:val="29"/>
          <w:szCs w:val="29"/>
        </w:rPr>
        <w:t xml:space="preserve">6. Reversibility and therapeutic implications</w:t>
      </w:r>
    </w:p>
    <w:p>
      <w:pPr>
        <w:pStyle w:val="Heading2"/>
        <w:spacing w:after="120" w:before="260"/>
      </w:pPr>
      <w:r>
        <w:rPr>
          <w:rFonts w:ascii="Calibri" w:cs="Calibri" w:eastAsia="Calibri" w:hAnsi="Calibri"/>
          <w:b/>
          <w:bCs/>
          <w:color w:val="1F6F8B"/>
          <w:sz w:val="24"/>
          <w:szCs w:val="24"/>
        </w:rPr>
        <w:t xml:space="preserve">6.1 Proof that the process reverses</w:t>
      </w:r>
    </w:p>
    <w:p>
      <w:pPr>
        <w:spacing w:after="140" w:line="276"/>
        <w:jc w:val="both"/>
      </w:pPr>
      <w:r>
        <w:rPr>
          <w:rFonts w:ascii="Calibri" w:cs="Calibri" w:eastAsia="Calibri" w:hAnsi="Calibri"/>
          <w:color w:val="1B2733"/>
          <w:sz w:val="21"/>
          <w:szCs w:val="21"/>
        </w:rPr>
        <w:t xml:space="preserve">The decisive experiment is the lineage-tracing study described in Section 4.2: in pair-fed db/db responders, YFP-labelled cells persisted at unchanged frequency while ~80% lost ALDH activity, with recovery of insulin content, PDX1 and secretion </w:t>
      </w:r>
      <w:r>
        <w:rPr>
          <w:rFonts w:ascii="Calibri" w:cs="Calibri" w:eastAsia="Calibri" w:hAnsi="Calibri"/>
          <w:b/>
          <w:bCs/>
          <w:color w:val="1F6F8B"/>
          <w:sz w:val="18"/>
          <w:szCs w:val="18"/>
          <w:vertAlign w:val="superscript"/>
        </w:rPr>
        <w:t xml:space="preserve">[5]</w:t>
      </w:r>
      <w:r>
        <w:rPr>
          <w:rFonts w:ascii="Calibri" w:cs="Calibri" w:eastAsia="Calibri" w:hAnsi="Calibri"/>
          <w:color w:val="1B2733"/>
          <w:sz w:val="21"/>
          <w:szCs w:val="21"/>
        </w:rPr>
        <w:t xml:space="preserve">. Cell death cannot account for the fall in ALDH1A3-positive cells; the cells redifferentiated.</w:t>
      </w:r>
    </w:p>
    <w:p>
      <w:pPr>
        <w:spacing w:after="140" w:line="276"/>
        <w:jc w:val="both"/>
      </w:pPr>
      <w:r>
        <w:rPr>
          <w:rFonts w:ascii="Calibri" w:cs="Calibri" w:eastAsia="Calibri" w:hAnsi="Calibri"/>
          <w:color w:val="1B2733"/>
          <w:sz w:val="21"/>
          <w:szCs w:val="21"/>
        </w:rPr>
        <w:t xml:space="preserve">In humans, the Diabetes Remission Clinical Trial (DiRECT) provides the functional counterpart. Detailed metabolic studies in a subgroup (intervention n = 64, control n = 26) showed that after weight loss, liver fat fell from 16.0 ± 1.3% to 3.1 ± 0.5% (p &lt; 0.0001), and that </w:t>
      </w:r>
      <w:r>
        <w:rPr>
          <w:rFonts w:ascii="Calibri" w:cs="Calibri" w:eastAsia="Calibri" w:hAnsi="Calibri"/>
          <w:b/>
          <w:bCs/>
          <w:color w:val="1B2733"/>
          <w:sz w:val="21"/>
          <w:szCs w:val="21"/>
        </w:rPr>
        <w:t xml:space="preserve">recovery of the first-phase insulin response</w:t>
      </w:r>
      <w:r>
        <w:rPr>
          <w:rFonts w:ascii="Calibri" w:cs="Calibri" w:eastAsia="Calibri" w:hAnsi="Calibri"/>
          <w:color w:val="1B2733"/>
          <w:sz w:val="21"/>
          <w:szCs w:val="21"/>
        </w:rPr>
        <w:t xml:space="preserve"> — from 0.04 [−0.05–0.32] to 0.11 [0.0005–0.51] nmol/min/m², p &lt; 0.0001 — was what distinguished those who returned to non-diabetic glucose control, a gain that was durable at 12 months. Responders differed from non-responders not in baseline characteristics but in </w:t>
      </w:r>
      <w:r>
        <w:rPr>
          <w:rFonts w:ascii="Calibri" w:cs="Calibri" w:eastAsia="Calibri" w:hAnsi="Calibri"/>
          <w:b/>
          <w:bCs/>
          <w:color w:val="1B2733"/>
          <w:sz w:val="21"/>
          <w:szCs w:val="21"/>
        </w:rPr>
        <w:t xml:space="preserve">diabetes duration</w:t>
      </w:r>
      <w:r>
        <w:rPr>
          <w:rFonts w:ascii="Calibri" w:cs="Calibri" w:eastAsia="Calibri" w:hAnsi="Calibri"/>
          <w:color w:val="1B2733"/>
          <w:sz w:val="21"/>
          <w:szCs w:val="21"/>
        </w:rPr>
        <w:t xml:space="preserve"> (2.7 ± 0.3 versus 3.8 ± 0.4 years, p = 0.02). The authors concluded that the capacity for long-term β-cell functional recovery persists after diagnosis, overturning the prior paradigm of irreversible loss </w:t>
      </w:r>
      <w:r>
        <w:rPr>
          <w:rFonts w:ascii="Calibri" w:cs="Calibri" w:eastAsia="Calibri" w:hAnsi="Calibri"/>
          <w:b/>
          <w:bCs/>
          <w:color w:val="1F6F8B"/>
          <w:sz w:val="18"/>
          <w:szCs w:val="18"/>
          <w:vertAlign w:val="superscript"/>
        </w:rPr>
        <w:t xml:space="preserve">[17]</w:t>
      </w:r>
      <w:r>
        <w:rPr>
          <w:rFonts w:ascii="Calibri" w:cs="Calibri" w:eastAsia="Calibri" w:hAnsi="Calibri"/>
          <w:color w:val="1B2733"/>
          <w:sz w:val="21"/>
          <w:szCs w:val="21"/>
        </w:rPr>
        <w:t xml:space="preserve">. DiRECT did not measure β-cell identity directly — no human study has — so the link between weight-loss-induced functional recovery and redifferentiation remains an inference, albeit a strongly supported one.</w:t>
      </w:r>
    </w:p>
    <w:p>
      <w:pPr>
        <w:pStyle w:val="Heading2"/>
        <w:spacing w:after="120" w:before="260"/>
      </w:pPr>
      <w:r>
        <w:rPr>
          <w:rFonts w:ascii="Calibri" w:cs="Calibri" w:eastAsia="Calibri" w:hAnsi="Calibri"/>
          <w:b/>
          <w:bCs/>
          <w:color w:val="1F6F8B"/>
          <w:sz w:val="24"/>
          <w:szCs w:val="24"/>
        </w:rPr>
        <w:t xml:space="preserve">6.2 What works, what does not, and what has not been tried</w:t>
      </w:r>
    </w:p>
    <w:p>
      <w:pPr>
        <w:spacing w:after="140" w:line="276"/>
        <w:jc w:val="both"/>
      </w:pPr>
      <w:r>
        <w:rPr>
          <w:rFonts w:ascii="Calibri" w:cs="Calibri" w:eastAsia="Calibri" w:hAnsi="Calibri"/>
          <w:color w:val="1B2733"/>
          <w:sz w:val="21"/>
          <w:szCs w:val="21"/>
        </w:rPr>
        <w:t xml:space="preserve">The intervention literature contains an instructive set of negative results. Pair-feeding db/db mice curtailed markers of dedifferentiation, but </w:t>
      </w:r>
      <w:r>
        <w:rPr>
          <w:rFonts w:ascii="Calibri" w:cs="Calibri" w:eastAsia="Calibri" w:hAnsi="Calibri"/>
          <w:b/>
          <w:bCs/>
          <w:color w:val="1B2733"/>
          <w:sz w:val="21"/>
          <w:szCs w:val="21"/>
        </w:rPr>
        <w:t xml:space="preserve">insulin, phloridzin (an SGLT inhibitor) and rosiglitazone did not</w:t>
      </w:r>
      <w:r>
        <w:rPr>
          <w:rFonts w:ascii="Calibri" w:cs="Calibri" w:eastAsia="Calibri" w:hAnsi="Calibri"/>
          <w:color w:val="1B2733"/>
          <w:sz w:val="21"/>
          <w:szCs w:val="21"/>
        </w:rPr>
        <w:t xml:space="preserve"> — despite lowering glucose </w:t>
      </w:r>
      <w:r>
        <w:rPr>
          <w:rFonts w:ascii="Calibri" w:cs="Calibri" w:eastAsia="Calibri" w:hAnsi="Calibri"/>
          <w:b/>
          <w:bCs/>
          <w:color w:val="1F6F8B"/>
          <w:sz w:val="18"/>
          <w:szCs w:val="18"/>
          <w:vertAlign w:val="superscript"/>
        </w:rPr>
        <w:t xml:space="preserve">[6]</w:t>
      </w:r>
      <w:r>
        <w:rPr>
          <w:rFonts w:ascii="Calibri" w:cs="Calibri" w:eastAsia="Calibri" w:hAnsi="Calibri"/>
          <w:color w:val="1B2733"/>
          <w:sz w:val="21"/>
          <w:szCs w:val="21"/>
        </w:rPr>
        <w:t xml:space="preserve">. More recently, four weeks of semaglutide or tirzepatide at weight-neutral doses produced comparable glucose lowering and increased insulin in db/db mice, yet </w:t>
      </w:r>
      <w:r>
        <w:rPr>
          <w:rFonts w:ascii="Calibri" w:cs="Calibri" w:eastAsia="Calibri" w:hAnsi="Calibri"/>
          <w:b/>
          <w:bCs/>
          <w:color w:val="1B2733"/>
          <w:sz w:val="21"/>
          <w:szCs w:val="21"/>
        </w:rPr>
        <w:t xml:space="preserve">failed to reverse dedifferentiation</w:t>
      </w:r>
      <w:r>
        <w:rPr>
          <w:rFonts w:ascii="Calibri" w:cs="Calibri" w:eastAsia="Calibri" w:hAnsi="Calibri"/>
          <w:color w:val="1B2733"/>
          <w:sz w:val="21"/>
          <w:szCs w:val="21"/>
        </w:rPr>
        <w:t xml:space="preserve"> by either ALDH1A3 positivity or FOXO1 translocation; indeed the number of β-cells with low PDX1 was </w:t>
      </w:r>
      <w:r>
        <w:rPr>
          <w:rFonts w:ascii="Calibri" w:cs="Calibri" w:eastAsia="Calibri" w:hAnsi="Calibri"/>
          <w:i/>
          <w:iCs/>
          <w:color w:val="1B2733"/>
          <w:sz w:val="21"/>
          <w:szCs w:val="21"/>
        </w:rPr>
        <w:t xml:space="preserve">higher</w:t>
      </w:r>
      <w:r>
        <w:rPr>
          <w:rFonts w:ascii="Calibri" w:cs="Calibri" w:eastAsia="Calibri" w:hAnsi="Calibri"/>
          <w:color w:val="1B2733"/>
          <w:sz w:val="21"/>
          <w:szCs w:val="21"/>
        </w:rPr>
        <w:t xml:space="preserve"> in both treatment groups than in controls, and islet transcriptional responses were muted with no obvious candidate target genes </w:t>
      </w:r>
      <w:r>
        <w:rPr>
          <w:rFonts w:ascii="Calibri" w:cs="Calibri" w:eastAsia="Calibri" w:hAnsi="Calibri"/>
          <w:b/>
          <w:bCs/>
          <w:color w:val="1F6F8B"/>
          <w:sz w:val="18"/>
          <w:szCs w:val="18"/>
          <w:vertAlign w:val="superscript"/>
        </w:rPr>
        <w:t xml:space="preserve">[7]</w:t>
      </w:r>
      <w:r>
        <w:rPr>
          <w:rFonts w:ascii="Calibri" w:cs="Calibri" w:eastAsia="Calibri" w:hAnsi="Calibri"/>
          <w:color w:val="1B2733"/>
          <w:sz w:val="21"/>
          <w:szCs w:val="21"/>
        </w:rPr>
        <w:t xml:space="preserve">. By contrast, pioglitazone reversed markers of islet β-cell dedifferentiation in db/db mice while modulating inflammation and browning genes in white adipose tissue </w:t>
      </w:r>
      <w:r>
        <w:rPr>
          <w:rFonts w:ascii="Calibri" w:cs="Calibri" w:eastAsia="Calibri" w:hAnsi="Calibri"/>
          <w:b/>
          <w:bCs/>
          <w:color w:val="1F6F8B"/>
          <w:sz w:val="18"/>
          <w:szCs w:val="18"/>
          <w:vertAlign w:val="superscript"/>
        </w:rPr>
        <w:t xml:space="preserve">[27]</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Two conclusions follow. First, </w:t>
      </w:r>
      <w:r>
        <w:rPr>
          <w:rFonts w:ascii="Calibri" w:cs="Calibri" w:eastAsia="Calibri" w:hAnsi="Calibri"/>
          <w:b/>
          <w:bCs/>
          <w:color w:val="1B2733"/>
          <w:sz w:val="21"/>
          <w:szCs w:val="21"/>
        </w:rPr>
        <w:t xml:space="preserve">glucose lowering and identity restoration are dissociable</w:t>
      </w:r>
      <w:r>
        <w:rPr>
          <w:rFonts w:ascii="Calibri" w:cs="Calibri" w:eastAsia="Calibri" w:hAnsi="Calibri"/>
          <w:color w:val="1B2733"/>
          <w:sz w:val="21"/>
          <w:szCs w:val="21"/>
        </w:rPr>
        <w:t xml:space="preserve">; a drug can do the former without the latter, and HbA₁c is therefore not a surrogate for β-cell identity. Second, the agents that do restore identity in these models act either by removing the metabolic load (caloric restriction, pair-feeding, weight loss) or by directly targeting the dedifferentiation programme (ALDH1A3 inhibition, LDHA inhibition, BAF60A restoration) — not by stimulating secretion. This is consistent with the long-standing clinical observation of secondary failure to sulfonylureas, which is itself associated with partial β-cell dedifferentiation </w:t>
      </w:r>
      <w:r>
        <w:rPr>
          <w:rFonts w:ascii="Calibri" w:cs="Calibri" w:eastAsia="Calibri" w:hAnsi="Calibri"/>
          <w:b/>
          <w:bCs/>
          <w:color w:val="1F6F8B"/>
          <w:sz w:val="18"/>
          <w:szCs w:val="18"/>
          <w:vertAlign w:val="superscript"/>
        </w:rPr>
        <w:t xml:space="preserve">[21]</w:t>
      </w:r>
      <w:r>
        <w:rPr>
          <w:rFonts w:ascii="Calibri" w:cs="Calibri" w:eastAsia="Calibri" w:hAnsi="Calibri"/>
          <w:color w:val="1B2733"/>
          <w:sz w:val="21"/>
          <w:szCs w:val="21"/>
        </w:rPr>
        <w:t xml:space="preserve">.</w:t>
      </w:r>
    </w:p>
    <w:p>
      <w:r>
        <w:br w:type="page"/>
      </w:r>
    </w:p>
    <w:p>
      <w:pPr>
        <w:spacing w:after="80" w:before="170"/>
      </w:pPr>
      <w:r>
        <w:rPr>
          <w:rFonts w:ascii="Calibri" w:cs="Calibri" w:eastAsia="Calibri" w:hAnsi="Calibri"/>
          <w:b/>
          <w:bCs/>
          <w:color w:val="5B6770"/>
          <w:sz w:val="17"/>
          <w:szCs w:val="17"/>
        </w:rPr>
        <w:t xml:space="preserve">Table 3.</w:t>
      </w:r>
      <w:r>
        <w:rPr>
          <w:rFonts w:ascii="Calibri" w:cs="Calibri" w:eastAsia="Calibri" w:hAnsi="Calibri"/>
          <w:color w:val="5B6770"/>
          <w:sz w:val="17"/>
          <w:szCs w:val="17"/>
        </w:rPr>
        <w:t xml:space="preserve"> Interventions tested against β-cell dedifferentiation, with reported outcome. “Identity restored” refers to the dedifferentiation markers assayed in that study, not to a uniform standard.</w:t>
      </w:r>
    </w:p>
    <w:tbl>
      <w:tblPr>
        <w:tblW w:type="dxa" w:w="9360"/>
        <w:tblBorders>
          <w:top w:val="single" w:color="C9D1D6" w:sz="2"/>
          <w:left w:val="single" w:color="C9D1D6" w:sz="2"/>
          <w:bottom w:val="single" w:color="C9D1D6" w:sz="2"/>
          <w:right w:val="single" w:color="C9D1D6" w:sz="2"/>
          <w:insideH w:val="single" w:color="C9D1D6" w:sz="2"/>
          <w:insideV w:val="single" w:color="C9D1D6" w:sz="2"/>
        </w:tblBorders>
      </w:tblPr>
      <w:tblGrid>
        <w:gridCol w:w="1872"/>
        <w:gridCol w:w="1591"/>
        <w:gridCol w:w="1498"/>
        <w:gridCol w:w="2808"/>
        <w:gridCol w:w="1591"/>
      </w:tblGrid>
      <w:tr>
        <w:trPr>
          <w:tblHeader/>
        </w:trPr>
        <w:tc>
          <w:tcPr>
            <w:tcW w:type="dxa" w:w="1872"/>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Intervention</w:t>
            </w:r>
          </w:p>
        </w:tc>
        <w:tc>
          <w:tcPr>
            <w:tcW w:type="dxa" w:w="1591"/>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Model</w:t>
            </w:r>
          </w:p>
        </w:tc>
        <w:tc>
          <w:tcPr>
            <w:tcW w:type="dxa" w:w="1498"/>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Glucose lowered</w:t>
            </w:r>
          </w:p>
        </w:tc>
        <w:tc>
          <w:tcPr>
            <w:tcW w:type="dxa" w:w="2808"/>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Effect on β-cell identity</w:t>
            </w:r>
          </w:p>
        </w:tc>
        <w:tc>
          <w:tcPr>
            <w:tcW w:type="dxa" w:w="1591"/>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Reference</w:t>
            </w:r>
          </w:p>
        </w:tc>
      </w:tr>
      <w:tr>
        <w:trPr>
          <w:cantSplit/>
        </w:trPr>
        <w:tc>
          <w:tcPr>
            <w:tcW w:type="dxa" w:w="1872"/>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Pair-feeding / caloric restriction</w:t>
            </w:r>
          </w:p>
        </w:tc>
        <w:tc>
          <w:tcPr>
            <w:tcW w:type="dxa" w:w="1591"/>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db/db mouse</w:t>
            </w:r>
          </w:p>
        </w:tc>
        <w:tc>
          <w:tcPr>
            <w:tcW w:type="dxa" w:w="149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Yes (~2/3 of animals)</w:t>
            </w:r>
          </w:p>
        </w:tc>
        <w:tc>
          <w:tcPr>
            <w:tcW w:type="dxa" w:w="280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Restored — ~80% of lineage-traced A⁺ cells lost ALDH activity; ↑ insulin, PDX1</w:t>
            </w:r>
          </w:p>
        </w:tc>
        <w:tc>
          <w:tcPr>
            <w:tcW w:type="dxa" w:w="1591"/>
            <w:shd w:fill="FFFFFF" w:color="auto" w:val="clear"/>
            <w:tcMar>
              <w:top w:type="dxa" w:w="70"/>
              <w:left w:type="dxa" w:w="100"/>
              <w:bottom w:type="dxa" w:w="70"/>
              <w:right w:type="dxa" w:w="100"/>
            </w:tcMar>
          </w:tcPr>
          <w:p>
            <w:pPr>
              <w:spacing w:after="0" w:line="250"/>
              <w:jc w:val="left"/>
            </w:pPr>
            <w:r>
              <w:rPr>
                <w:rFonts w:ascii="Calibri" w:cs="Calibri" w:eastAsia="Calibri" w:hAnsi="Calibri"/>
                <w:b/>
                <w:bCs/>
                <w:color w:val="1F6F8B"/>
                <w:sz w:val="14"/>
                <w:szCs w:val="14"/>
                <w:vertAlign w:val="superscript"/>
              </w:rPr>
              <w:t xml:space="preserve">[5,6]</w:t>
            </w:r>
          </w:p>
        </w:tc>
      </w:tr>
      <w:tr>
        <w:trPr>
          <w:cantSplit/>
        </w:trPr>
        <w:tc>
          <w:tcPr>
            <w:tcW w:type="dxa" w:w="1872"/>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Aldh1a3 β-cell knockout</w:t>
            </w:r>
          </w:p>
        </w:tc>
        <w:tc>
          <w:tcPr>
            <w:tcW w:type="dxa" w:w="1591"/>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db/db mouse</w:t>
            </w:r>
          </w:p>
        </w:tc>
        <w:tc>
          <w:tcPr>
            <w:tcW w:type="dxa" w:w="149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Yes</w:t>
            </w:r>
          </w:p>
        </w:tc>
        <w:tc>
          <w:tcPr>
            <w:tcW w:type="dxa" w:w="280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Restored — +50% GSIS at 16.8 mM glucose; ↑ PDX1, NKX6.1, MAFA</w:t>
            </w:r>
          </w:p>
        </w:tc>
        <w:tc>
          <w:tcPr>
            <w:tcW w:type="dxa" w:w="1591"/>
            <w:shd w:fill="F7F9FA" w:color="auto" w:val="clear"/>
            <w:tcMar>
              <w:top w:type="dxa" w:w="70"/>
              <w:left w:type="dxa" w:w="100"/>
              <w:bottom w:type="dxa" w:w="70"/>
              <w:right w:type="dxa" w:w="100"/>
            </w:tcMar>
          </w:tcPr>
          <w:p>
            <w:pPr>
              <w:spacing w:after="0" w:line="250"/>
              <w:jc w:val="left"/>
            </w:pPr>
            <w:r>
              <w:rPr>
                <w:rFonts w:ascii="Calibri" w:cs="Calibri" w:eastAsia="Calibri" w:hAnsi="Calibri"/>
                <w:b/>
                <w:bCs/>
                <w:color w:val="1F6F8B"/>
                <w:sz w:val="14"/>
                <w:szCs w:val="14"/>
                <w:vertAlign w:val="superscript"/>
              </w:rPr>
              <w:t xml:space="preserve">[5]</w:t>
            </w:r>
          </w:p>
        </w:tc>
      </w:tr>
      <w:tr>
        <w:trPr>
          <w:cantSplit/>
        </w:trPr>
        <w:tc>
          <w:tcPr>
            <w:tcW w:type="dxa" w:w="1872"/>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KOTX1 (ALDH1A3 inhibitor, 40 mg/kg/day)</w:t>
            </w:r>
          </w:p>
        </w:tc>
        <w:tc>
          <w:tcPr>
            <w:tcW w:type="dxa" w:w="1591"/>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db/db and DIO mouse; human T2D islets</w:t>
            </w:r>
          </w:p>
        </w:tc>
        <w:tc>
          <w:tcPr>
            <w:tcW w:type="dxa" w:w="149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Yes, without weight change; persisted ~3 weeks after withdrawal</w:t>
            </w:r>
          </w:p>
        </w:tc>
        <w:tc>
          <w:tcPr>
            <w:tcW w:type="dxa" w:w="280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Restored — GSIS +50–150%; ↑ PDX1, insulin; ↑ Ki67 without ↑ apoptosis</w:t>
            </w:r>
          </w:p>
        </w:tc>
        <w:tc>
          <w:tcPr>
            <w:tcW w:type="dxa" w:w="1591"/>
            <w:shd w:fill="FFFFFF" w:color="auto" w:val="clear"/>
            <w:tcMar>
              <w:top w:type="dxa" w:w="70"/>
              <w:left w:type="dxa" w:w="100"/>
              <w:bottom w:type="dxa" w:w="70"/>
              <w:right w:type="dxa" w:w="100"/>
            </w:tcMar>
          </w:tcPr>
          <w:p>
            <w:pPr>
              <w:spacing w:after="0" w:line="250"/>
              <w:jc w:val="left"/>
            </w:pPr>
            <w:r>
              <w:rPr>
                <w:rFonts w:ascii="Calibri" w:cs="Calibri" w:eastAsia="Calibri" w:hAnsi="Calibri"/>
                <w:b/>
                <w:bCs/>
                <w:color w:val="1F6F8B"/>
                <w:sz w:val="14"/>
                <w:szCs w:val="14"/>
                <w:vertAlign w:val="superscript"/>
              </w:rPr>
              <w:t xml:space="preserve">[5]</w:t>
            </w:r>
          </w:p>
        </w:tc>
      </w:tr>
      <w:tr>
        <w:trPr>
          <w:cantSplit/>
        </w:trPr>
        <w:tc>
          <w:tcPr>
            <w:tcW w:type="dxa" w:w="1872"/>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LDHA inhibition</w:t>
            </w:r>
          </w:p>
        </w:tc>
        <w:tc>
          <w:tcPr>
            <w:tcW w:type="dxa" w:w="1591"/>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db/db and HFD mouse</w:t>
            </w:r>
          </w:p>
        </w:tc>
        <w:tc>
          <w:tcPr>
            <w:tcW w:type="dxa" w:w="149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Yes</w:t>
            </w:r>
          </w:p>
        </w:tc>
        <w:tc>
          <w:tcPr>
            <w:tcW w:type="dxa" w:w="280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Preserved identity; delayed progression in impaired fasting glucose models</w:t>
            </w:r>
          </w:p>
        </w:tc>
        <w:tc>
          <w:tcPr>
            <w:tcW w:type="dxa" w:w="1591"/>
            <w:shd w:fill="F7F9FA" w:color="auto" w:val="clear"/>
            <w:tcMar>
              <w:top w:type="dxa" w:w="70"/>
              <w:left w:type="dxa" w:w="100"/>
              <w:bottom w:type="dxa" w:w="70"/>
              <w:right w:type="dxa" w:w="100"/>
            </w:tcMar>
          </w:tcPr>
          <w:p>
            <w:pPr>
              <w:spacing w:after="0" w:line="250"/>
              <w:jc w:val="left"/>
            </w:pPr>
            <w:r>
              <w:rPr>
                <w:rFonts w:ascii="Calibri" w:cs="Calibri" w:eastAsia="Calibri" w:hAnsi="Calibri"/>
                <w:b/>
                <w:bCs/>
                <w:color w:val="1F6F8B"/>
                <w:sz w:val="14"/>
                <w:szCs w:val="14"/>
                <w:vertAlign w:val="superscript"/>
              </w:rPr>
              <w:t xml:space="preserve">[9]</w:t>
            </w:r>
          </w:p>
        </w:tc>
      </w:tr>
      <w:tr>
        <w:trPr>
          <w:cantSplit/>
        </w:trPr>
        <w:tc>
          <w:tcPr>
            <w:tcW w:type="dxa" w:w="1872"/>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AAV–BAF60A overexpression</w:t>
            </w:r>
          </w:p>
        </w:tc>
        <w:tc>
          <w:tcPr>
            <w:tcW w:type="dxa" w:w="1591"/>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BKS-db/db mouse</w:t>
            </w:r>
          </w:p>
        </w:tc>
        <w:tc>
          <w:tcPr>
            <w:tcW w:type="dxa" w:w="149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Improved tolerance (overexpressing line)</w:t>
            </w:r>
          </w:p>
        </w:tc>
        <w:tc>
          <w:tcPr>
            <w:tcW w:type="dxa" w:w="280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Markedly reduced dedifferentiation</w:t>
            </w:r>
          </w:p>
        </w:tc>
        <w:tc>
          <w:tcPr>
            <w:tcW w:type="dxa" w:w="1591"/>
            <w:shd w:fill="FFFFFF" w:color="auto" w:val="clear"/>
            <w:tcMar>
              <w:top w:type="dxa" w:w="70"/>
              <w:left w:type="dxa" w:w="100"/>
              <w:bottom w:type="dxa" w:w="70"/>
              <w:right w:type="dxa" w:w="100"/>
            </w:tcMar>
          </w:tcPr>
          <w:p>
            <w:pPr>
              <w:spacing w:after="0" w:line="250"/>
              <w:jc w:val="left"/>
            </w:pPr>
            <w:r>
              <w:rPr>
                <w:rFonts w:ascii="Calibri" w:cs="Calibri" w:eastAsia="Calibri" w:hAnsi="Calibri"/>
                <w:b/>
                <w:bCs/>
                <w:color w:val="1F6F8B"/>
                <w:sz w:val="14"/>
                <w:szCs w:val="14"/>
                <w:vertAlign w:val="superscript"/>
              </w:rPr>
              <w:t xml:space="preserve">[10]</w:t>
            </w:r>
          </w:p>
        </w:tc>
      </w:tr>
      <w:tr>
        <w:trPr>
          <w:cantSplit/>
        </w:trPr>
        <w:tc>
          <w:tcPr>
            <w:tcW w:type="dxa" w:w="1872"/>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Pioglitazone</w:t>
            </w:r>
          </w:p>
        </w:tc>
        <w:tc>
          <w:tcPr>
            <w:tcW w:type="dxa" w:w="1591"/>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db/db mouse</w:t>
            </w:r>
          </w:p>
        </w:tc>
        <w:tc>
          <w:tcPr>
            <w:tcW w:type="dxa" w:w="149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Yes</w:t>
            </w:r>
          </w:p>
        </w:tc>
        <w:tc>
          <w:tcPr>
            <w:tcW w:type="dxa" w:w="280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Reversed markers of de-differentiation</w:t>
            </w:r>
          </w:p>
        </w:tc>
        <w:tc>
          <w:tcPr>
            <w:tcW w:type="dxa" w:w="1591"/>
            <w:shd w:fill="F7F9FA" w:color="auto" w:val="clear"/>
            <w:tcMar>
              <w:top w:type="dxa" w:w="70"/>
              <w:left w:type="dxa" w:w="100"/>
              <w:bottom w:type="dxa" w:w="70"/>
              <w:right w:type="dxa" w:w="100"/>
            </w:tcMar>
          </w:tcPr>
          <w:p>
            <w:pPr>
              <w:spacing w:after="0" w:line="250"/>
              <w:jc w:val="left"/>
            </w:pPr>
            <w:r>
              <w:rPr>
                <w:rFonts w:ascii="Calibri" w:cs="Calibri" w:eastAsia="Calibri" w:hAnsi="Calibri"/>
                <w:b/>
                <w:bCs/>
                <w:color w:val="1F6F8B"/>
                <w:sz w:val="14"/>
                <w:szCs w:val="14"/>
                <w:vertAlign w:val="superscript"/>
              </w:rPr>
              <w:t xml:space="preserve">[27]</w:t>
            </w:r>
          </w:p>
        </w:tc>
      </w:tr>
      <w:tr>
        <w:trPr>
          <w:cantSplit/>
        </w:trPr>
        <w:tc>
          <w:tcPr>
            <w:tcW w:type="dxa" w:w="1872"/>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Insulin, phloridzin, rosiglitazone</w:t>
            </w:r>
          </w:p>
        </w:tc>
        <w:tc>
          <w:tcPr>
            <w:tcW w:type="dxa" w:w="1591"/>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db/db mouse</w:t>
            </w:r>
          </w:p>
        </w:tc>
        <w:tc>
          <w:tcPr>
            <w:tcW w:type="dxa" w:w="149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Yes</w:t>
            </w:r>
          </w:p>
        </w:tc>
        <w:tc>
          <w:tcPr>
            <w:tcW w:type="dxa" w:w="280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No effect on dedifferentiation markers</w:t>
            </w:r>
          </w:p>
        </w:tc>
        <w:tc>
          <w:tcPr>
            <w:tcW w:type="dxa" w:w="1591"/>
            <w:shd w:fill="FFFFFF" w:color="auto" w:val="clear"/>
            <w:tcMar>
              <w:top w:type="dxa" w:w="70"/>
              <w:left w:type="dxa" w:w="100"/>
              <w:bottom w:type="dxa" w:w="70"/>
              <w:right w:type="dxa" w:w="100"/>
            </w:tcMar>
          </w:tcPr>
          <w:p>
            <w:pPr>
              <w:spacing w:after="0" w:line="250"/>
              <w:jc w:val="left"/>
            </w:pPr>
            <w:r>
              <w:rPr>
                <w:rFonts w:ascii="Calibri" w:cs="Calibri" w:eastAsia="Calibri" w:hAnsi="Calibri"/>
                <w:b/>
                <w:bCs/>
                <w:color w:val="1F6F8B"/>
                <w:sz w:val="14"/>
                <w:szCs w:val="14"/>
                <w:vertAlign w:val="superscript"/>
              </w:rPr>
              <w:t xml:space="preserve">[6]</w:t>
            </w:r>
          </w:p>
        </w:tc>
      </w:tr>
      <w:tr>
        <w:trPr>
          <w:cantSplit/>
        </w:trPr>
        <w:tc>
          <w:tcPr>
            <w:tcW w:type="dxa" w:w="1872"/>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Semaglutide or tirzepatide (weight-neutral dose, 4 weeks)</w:t>
            </w:r>
          </w:p>
        </w:tc>
        <w:tc>
          <w:tcPr>
            <w:tcW w:type="dxa" w:w="1591"/>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db/db mouse</w:t>
            </w:r>
          </w:p>
        </w:tc>
        <w:tc>
          <w:tcPr>
            <w:tcW w:type="dxa" w:w="149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Yes; ↑ insulin</w:t>
            </w:r>
          </w:p>
        </w:tc>
        <w:tc>
          <w:tcPr>
            <w:tcW w:type="dxa" w:w="280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Not reversed; ↑ proportion of PDX1-low β-cells</w:t>
            </w:r>
          </w:p>
        </w:tc>
        <w:tc>
          <w:tcPr>
            <w:tcW w:type="dxa" w:w="1591"/>
            <w:shd w:fill="F7F9FA" w:color="auto" w:val="clear"/>
            <w:tcMar>
              <w:top w:type="dxa" w:w="70"/>
              <w:left w:type="dxa" w:w="100"/>
              <w:bottom w:type="dxa" w:w="70"/>
              <w:right w:type="dxa" w:w="100"/>
            </w:tcMar>
          </w:tcPr>
          <w:p>
            <w:pPr>
              <w:spacing w:after="0" w:line="250"/>
              <w:jc w:val="left"/>
            </w:pPr>
            <w:r>
              <w:rPr>
                <w:rFonts w:ascii="Calibri" w:cs="Calibri" w:eastAsia="Calibri" w:hAnsi="Calibri"/>
                <w:b/>
                <w:bCs/>
                <w:color w:val="1F6F8B"/>
                <w:sz w:val="14"/>
                <w:szCs w:val="14"/>
                <w:vertAlign w:val="superscript"/>
              </w:rPr>
              <w:t xml:space="preserve">[7]</w:t>
            </w:r>
          </w:p>
        </w:tc>
      </w:tr>
      <w:tr>
        <w:trPr>
          <w:cantSplit/>
        </w:trPr>
        <w:tc>
          <w:tcPr>
            <w:tcW w:type="dxa" w:w="1872"/>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Mesenchymal stem cells</w:t>
            </w:r>
          </w:p>
        </w:tc>
        <w:tc>
          <w:tcPr>
            <w:tcW w:type="dxa" w:w="1591"/>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Human T2D islets ex vivo and in vivo</w:t>
            </w:r>
          </w:p>
        </w:tc>
        <w:tc>
          <w:tcPr>
            <w:tcW w:type="dxa" w:w="149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Improved function</w:t>
            </w:r>
          </w:p>
        </w:tc>
        <w:tc>
          <w:tcPr>
            <w:tcW w:type="dxa" w:w="280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Reversed dedifferentiation via IL-1Ra</w:t>
            </w:r>
          </w:p>
        </w:tc>
        <w:tc>
          <w:tcPr>
            <w:tcW w:type="dxa" w:w="1591"/>
            <w:shd w:fill="FFFFFF" w:color="auto" w:val="clear"/>
            <w:tcMar>
              <w:top w:type="dxa" w:w="70"/>
              <w:left w:type="dxa" w:w="100"/>
              <w:bottom w:type="dxa" w:w="70"/>
              <w:right w:type="dxa" w:w="100"/>
            </w:tcMar>
          </w:tcPr>
          <w:p>
            <w:pPr>
              <w:spacing w:after="0" w:line="250"/>
              <w:jc w:val="left"/>
            </w:pPr>
            <w:r>
              <w:rPr>
                <w:rFonts w:ascii="Calibri" w:cs="Calibri" w:eastAsia="Calibri" w:hAnsi="Calibri"/>
                <w:b/>
                <w:bCs/>
                <w:color w:val="1F6F8B"/>
                <w:sz w:val="14"/>
                <w:szCs w:val="14"/>
                <w:vertAlign w:val="superscript"/>
              </w:rPr>
              <w:t xml:space="preserve">[16]</w:t>
            </w:r>
          </w:p>
        </w:tc>
      </w:tr>
      <w:tr>
        <w:trPr>
          <w:cantSplit/>
        </w:trPr>
        <w:tc>
          <w:tcPr>
            <w:tcW w:type="dxa" w:w="1872"/>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TUDCA / 4-PBA (chemical chaperones)</w:t>
            </w:r>
          </w:p>
        </w:tc>
        <w:tc>
          <w:tcPr>
            <w:tcW w:type="dxa" w:w="1591"/>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Rodent and β-cell lines (meta-analysis, 4 studies)</w:t>
            </w:r>
          </w:p>
        </w:tc>
        <w:tc>
          <w:tcPr>
            <w:tcW w:type="dxa" w:w="149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n/a</w:t>
            </w:r>
          </w:p>
        </w:tc>
        <w:tc>
          <w:tcPr>
            <w:tcW w:type="dxa" w:w="280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Pooled GSIS restoration ratio 1.85 (95% CrI 1.38–2.43); upper-bound estimate, unblinded studies</w:t>
            </w:r>
          </w:p>
        </w:tc>
        <w:tc>
          <w:tcPr>
            <w:tcW w:type="dxa" w:w="1591"/>
            <w:shd w:fill="F7F9FA" w:color="auto" w:val="clear"/>
            <w:tcMar>
              <w:top w:type="dxa" w:w="70"/>
              <w:left w:type="dxa" w:w="100"/>
              <w:bottom w:type="dxa" w:w="70"/>
              <w:right w:type="dxa" w:w="100"/>
            </w:tcMar>
          </w:tcPr>
          <w:p>
            <w:pPr>
              <w:spacing w:after="0" w:line="250"/>
              <w:jc w:val="left"/>
            </w:pPr>
            <w:r>
              <w:rPr>
                <w:rFonts w:ascii="Calibri" w:cs="Calibri" w:eastAsia="Calibri" w:hAnsi="Calibri"/>
                <w:b/>
                <w:bCs/>
                <w:color w:val="1F6F8B"/>
                <w:sz w:val="14"/>
                <w:szCs w:val="14"/>
                <w:vertAlign w:val="superscript"/>
              </w:rPr>
              <w:t xml:space="preserve">[30]</w:t>
            </w:r>
          </w:p>
        </w:tc>
      </w:tr>
      <w:tr>
        <w:trPr>
          <w:cantSplit/>
        </w:trPr>
        <w:tc>
          <w:tcPr>
            <w:tcW w:type="dxa" w:w="1872"/>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Low-calorie diet with substantial weight loss</w:t>
            </w:r>
          </w:p>
        </w:tc>
        <w:tc>
          <w:tcPr>
            <w:tcW w:type="dxa" w:w="1591"/>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Humans (DiRECT metabolic substudy)</w:t>
            </w:r>
          </w:p>
        </w:tc>
        <w:tc>
          <w:tcPr>
            <w:tcW w:type="dxa" w:w="149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Yes — remission in responders</w:t>
            </w:r>
          </w:p>
        </w:tc>
        <w:tc>
          <w:tcPr>
            <w:tcW w:type="dxa" w:w="280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Identity not measured; first-phase insulin response recovered and durable at 12 months</w:t>
            </w:r>
          </w:p>
        </w:tc>
        <w:tc>
          <w:tcPr>
            <w:tcW w:type="dxa" w:w="1591"/>
            <w:shd w:fill="FFFFFF" w:color="auto" w:val="clear"/>
            <w:tcMar>
              <w:top w:type="dxa" w:w="70"/>
              <w:left w:type="dxa" w:w="100"/>
              <w:bottom w:type="dxa" w:w="70"/>
              <w:right w:type="dxa" w:w="100"/>
            </w:tcMar>
          </w:tcPr>
          <w:p>
            <w:pPr>
              <w:spacing w:after="0" w:line="250"/>
              <w:jc w:val="left"/>
            </w:pPr>
            <w:r>
              <w:rPr>
                <w:rFonts w:ascii="Calibri" w:cs="Calibri" w:eastAsia="Calibri" w:hAnsi="Calibri"/>
                <w:b/>
                <w:bCs/>
                <w:color w:val="1F6F8B"/>
                <w:sz w:val="14"/>
                <w:szCs w:val="14"/>
                <w:vertAlign w:val="superscript"/>
              </w:rPr>
              <w:t xml:space="preserve">[17]</w:t>
            </w:r>
          </w:p>
        </w:tc>
      </w:tr>
    </w:tbl>
    <w:p>
      <w:pPr>
        <w:pStyle w:val="Heading2"/>
        <w:spacing w:after="120" w:before="260"/>
      </w:pPr>
      <w:r>
        <w:rPr>
          <w:rFonts w:ascii="Calibri" w:cs="Calibri" w:eastAsia="Calibri" w:hAnsi="Calibri"/>
          <w:b/>
          <w:bCs/>
          <w:color w:val="1F6F8B"/>
          <w:sz w:val="24"/>
          <w:szCs w:val="24"/>
        </w:rPr>
        <w:t xml:space="preserve">6.3 The clinical translation gap</w:t>
      </w:r>
    </w:p>
    <w:p>
      <w:pPr>
        <w:spacing w:after="140" w:line="276"/>
        <w:jc w:val="both"/>
      </w:pPr>
      <w:r>
        <w:rPr>
          <w:rFonts w:ascii="Calibri" w:cs="Calibri" w:eastAsia="Calibri" w:hAnsi="Calibri"/>
          <w:color w:val="1B2733"/>
          <w:sz w:val="21"/>
          <w:szCs w:val="21"/>
        </w:rPr>
        <w:t xml:space="preserve">No registered clinical trial uses β-cell identity or dedifferentiation as an endpoint. A search of the ClinicalTrials.gov registry returns studies of β-cell </w:t>
      </w:r>
      <w:r>
        <w:rPr>
          <w:rFonts w:ascii="Calibri" w:cs="Calibri" w:eastAsia="Calibri" w:hAnsi="Calibri"/>
          <w:i/>
          <w:iCs/>
          <w:color w:val="1B2733"/>
          <w:sz w:val="21"/>
          <w:szCs w:val="21"/>
        </w:rPr>
        <w:t xml:space="preserve">function</w:t>
      </w:r>
      <w:r>
        <w:rPr>
          <w:rFonts w:ascii="Calibri" w:cs="Calibri" w:eastAsia="Calibri" w:hAnsi="Calibri"/>
          <w:color w:val="1B2733"/>
          <w:sz w:val="21"/>
          <w:szCs w:val="21"/>
        </w:rPr>
        <w:t xml:space="preserve"> — by HOMA-β, hyperglycaemic clamp, C-peptide or first-phase insulin response — under interventions ranging from incretin therapy to bariatric surgery to antioxidants, but none that assays identity markers (Table 4). This is partly technical: ALDH1A3 positivity and hormone-negative/CHGA-positive scoring require pancreatic tissue, which is not obtainable in a trial setting. Developing a circulating or imaging surrogate for β-cell identity is, accordingly, a prerequisite for translating any of the agents in Table 3 into humans — and arguably the field's highest-value methodological target.</w:t>
      </w:r>
    </w:p>
    <w:p>
      <w:r>
        <w:br w:type="page"/>
      </w:r>
    </w:p>
    <w:p>
      <w:pPr>
        <w:spacing w:after="80" w:before="170"/>
      </w:pPr>
      <w:r>
        <w:rPr>
          <w:rFonts w:ascii="Calibri" w:cs="Calibri" w:eastAsia="Calibri" w:hAnsi="Calibri"/>
          <w:b/>
          <w:bCs/>
          <w:color w:val="5B6770"/>
          <w:sz w:val="17"/>
          <w:szCs w:val="17"/>
        </w:rPr>
        <w:t xml:space="preserve">Table 4.</w:t>
      </w:r>
      <w:r>
        <w:rPr>
          <w:rFonts w:ascii="Calibri" w:cs="Calibri" w:eastAsia="Calibri" w:hAnsi="Calibri"/>
          <w:color w:val="5B6770"/>
          <w:sz w:val="17"/>
          <w:szCs w:val="17"/>
        </w:rPr>
        <w:t xml:space="preserve"> Representative registered studies of β-cell function in type 2 diabetes, retrieved from the ClinicalTrials.gov registry. None uses a β-cell identity or dedifferentiation marker as an endpoint; all rely on functional surrogates. Included to characterise the current trial landscape, not as evidence of efficacy.</w:t>
      </w:r>
    </w:p>
    <w:tbl>
      <w:tblPr>
        <w:tblW w:type="dxa" w:w="9360"/>
        <w:tblBorders>
          <w:top w:val="single" w:color="C9D1D6" w:sz="2"/>
          <w:left w:val="single" w:color="C9D1D6" w:sz="2"/>
          <w:bottom w:val="single" w:color="C9D1D6" w:sz="2"/>
          <w:right w:val="single" w:color="C9D1D6" w:sz="2"/>
          <w:insideH w:val="single" w:color="C9D1D6" w:sz="2"/>
          <w:insideV w:val="single" w:color="C9D1D6" w:sz="2"/>
        </w:tblBorders>
      </w:tblPr>
      <w:tblGrid>
        <w:gridCol w:w="1310"/>
        <w:gridCol w:w="3370"/>
        <w:gridCol w:w="1778"/>
        <w:gridCol w:w="1404"/>
        <w:gridCol w:w="1498"/>
      </w:tblGrid>
      <w:tr>
        <w:trPr>
          <w:tblHeader/>
        </w:trPr>
        <w:tc>
          <w:tcPr>
            <w:tcW w:type="dxa" w:w="1310"/>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NCT number</w:t>
            </w:r>
          </w:p>
        </w:tc>
        <w:tc>
          <w:tcPr>
            <w:tcW w:type="dxa" w:w="3370"/>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Study</w:t>
            </w:r>
          </w:p>
        </w:tc>
        <w:tc>
          <w:tcPr>
            <w:tcW w:type="dxa" w:w="1778"/>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Intervention</w:t>
            </w:r>
          </w:p>
        </w:tc>
        <w:tc>
          <w:tcPr>
            <w:tcW w:type="dxa" w:w="1404"/>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Study type</w:t>
            </w:r>
          </w:p>
        </w:tc>
        <w:tc>
          <w:tcPr>
            <w:tcW w:type="dxa" w:w="1498"/>
            <w:shd w:fill="EAF2F6" w:color="auto" w:val="clear"/>
            <w:tcMar>
              <w:top w:type="dxa" w:w="70"/>
              <w:left w:type="dxa" w:w="100"/>
              <w:bottom w:type="dxa" w:w="70"/>
              <w:right w:type="dxa" w:w="100"/>
            </w:tcMar>
          </w:tcPr>
          <w:p>
            <w:pPr>
              <w:spacing w:after="0" w:line="250"/>
              <w:jc w:val="left"/>
            </w:pPr>
            <w:r>
              <w:rPr>
                <w:rFonts w:ascii="Calibri" w:cs="Calibri" w:eastAsia="Calibri" w:hAnsi="Calibri"/>
                <w:b/>
                <w:bCs/>
                <w:color w:val="1B2733"/>
                <w:sz w:val="17"/>
                <w:szCs w:val="17"/>
              </w:rPr>
              <w:t xml:space="preserve">Status, n</w:t>
            </w:r>
          </w:p>
        </w:tc>
      </w:tr>
      <w:tr>
        <w:trPr>
          <w:cantSplit/>
        </w:trPr>
        <w:tc>
          <w:tcPr>
            <w:tcW w:type="dxa" w:w="1310"/>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NCT00775684</w:t>
            </w:r>
          </w:p>
        </w:tc>
        <w:tc>
          <w:tcPr>
            <w:tcW w:type="dxa" w:w="3370"/>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Effect of exenatide, sitagliptin or glimepiride on functional β-cell mass in impaired fasting glucose or early T2D</w:t>
            </w:r>
          </w:p>
        </w:tc>
        <w:tc>
          <w:tcPr>
            <w:tcW w:type="dxa" w:w="177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Exenatide; sitagliptin; glimepiride</w:t>
            </w:r>
          </w:p>
        </w:tc>
        <w:tc>
          <w:tcPr>
            <w:tcW w:type="dxa" w:w="1404"/>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Interventional</w:t>
            </w:r>
          </w:p>
        </w:tc>
        <w:tc>
          <w:tcPr>
            <w:tcW w:type="dxa" w:w="149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Completed, 47</w:t>
            </w:r>
          </w:p>
        </w:tc>
      </w:tr>
      <w:tr>
        <w:trPr>
          <w:cantSplit/>
        </w:trPr>
        <w:tc>
          <w:tcPr>
            <w:tcW w:type="dxa" w:w="1310"/>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NCT00845182</w:t>
            </w:r>
          </w:p>
        </w:tc>
        <w:tc>
          <w:tcPr>
            <w:tcW w:type="dxa" w:w="3370"/>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Pioglitazone with and without exenatide on body weight, fat topography, β-cell function and glycaemic control</w:t>
            </w:r>
          </w:p>
        </w:tc>
        <w:tc>
          <w:tcPr>
            <w:tcW w:type="dxa" w:w="177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Pioglitazone; exenatide</w:t>
            </w:r>
          </w:p>
        </w:tc>
        <w:tc>
          <w:tcPr>
            <w:tcW w:type="dxa" w:w="1404"/>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Phase 4</w:t>
            </w:r>
          </w:p>
        </w:tc>
        <w:tc>
          <w:tcPr>
            <w:tcW w:type="dxa" w:w="149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Completed, 43</w:t>
            </w:r>
          </w:p>
        </w:tc>
      </w:tr>
      <w:tr>
        <w:trPr>
          <w:cantSplit/>
        </w:trPr>
        <w:tc>
          <w:tcPr>
            <w:tcW w:type="dxa" w:w="1310"/>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NCT04782999</w:t>
            </w:r>
          </w:p>
        </w:tc>
        <w:tc>
          <w:tcPr>
            <w:tcW w:type="dxa" w:w="3370"/>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Effect of Roux-en-Y gastric bypass on α- and β-cell function and incretin sensitivity</w:t>
            </w:r>
          </w:p>
        </w:tc>
        <w:tc>
          <w:tcPr>
            <w:tcW w:type="dxa" w:w="177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OGTT; hyperglycaemic clamp with GLP-1 or GIP</w:t>
            </w:r>
          </w:p>
        </w:tc>
        <w:tc>
          <w:tcPr>
            <w:tcW w:type="dxa" w:w="1404"/>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Interventional</w:t>
            </w:r>
          </w:p>
        </w:tc>
        <w:tc>
          <w:tcPr>
            <w:tcW w:type="dxa" w:w="149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Completed, 9</w:t>
            </w:r>
          </w:p>
        </w:tc>
      </w:tr>
      <w:tr>
        <w:trPr>
          <w:cantSplit/>
        </w:trPr>
        <w:tc>
          <w:tcPr>
            <w:tcW w:type="dxa" w:w="1310"/>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NCT03038373</w:t>
            </w:r>
          </w:p>
        </w:tc>
        <w:tc>
          <w:tcPr>
            <w:tcW w:type="dxa" w:w="3370"/>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Mechanism of T2D remission after bariatric surgery — β-cell function and insulin sensitivity</w:t>
            </w:r>
          </w:p>
        </w:tc>
        <w:tc>
          <w:tcPr>
            <w:tcW w:type="dxa" w:w="177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Laparoscopic sleeve gastrectomy</w:t>
            </w:r>
          </w:p>
        </w:tc>
        <w:tc>
          <w:tcPr>
            <w:tcW w:type="dxa" w:w="1404"/>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Observational</w:t>
            </w:r>
          </w:p>
        </w:tc>
        <w:tc>
          <w:tcPr>
            <w:tcW w:type="dxa" w:w="149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Unknown, 80</w:t>
            </w:r>
          </w:p>
        </w:tc>
      </w:tr>
      <w:tr>
        <w:trPr>
          <w:cantSplit/>
        </w:trPr>
        <w:tc>
          <w:tcPr>
            <w:tcW w:type="dxa" w:w="1310"/>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NCT01394510</w:t>
            </w:r>
          </w:p>
        </w:tc>
        <w:tc>
          <w:tcPr>
            <w:tcW w:type="dxa" w:w="3370"/>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Effect of antioxidants on β-cell function in humans</w:t>
            </w:r>
          </w:p>
        </w:tc>
        <w:tc>
          <w:tcPr>
            <w:tcW w:type="dxa" w:w="177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N-acetylcysteine</w:t>
            </w:r>
          </w:p>
        </w:tc>
        <w:tc>
          <w:tcPr>
            <w:tcW w:type="dxa" w:w="1404"/>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Interventional</w:t>
            </w:r>
          </w:p>
        </w:tc>
        <w:tc>
          <w:tcPr>
            <w:tcW w:type="dxa" w:w="149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Completed, 13</w:t>
            </w:r>
          </w:p>
        </w:tc>
      </w:tr>
      <w:tr>
        <w:trPr>
          <w:cantSplit/>
        </w:trPr>
        <w:tc>
          <w:tcPr>
            <w:tcW w:type="dxa" w:w="1310"/>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NCT04135287</w:t>
            </w:r>
          </w:p>
        </w:tc>
        <w:tc>
          <w:tcPr>
            <w:tcW w:type="dxa" w:w="3370"/>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Relationship between improvement in insulin secretion and decrease in HbA₁c with GLP-1 receptor agonist therapy</w:t>
            </w:r>
          </w:p>
        </w:tc>
        <w:tc>
          <w:tcPr>
            <w:tcW w:type="dxa" w:w="177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GLP-1 receptor agonist</w:t>
            </w:r>
          </w:p>
        </w:tc>
        <w:tc>
          <w:tcPr>
            <w:tcW w:type="dxa" w:w="1404"/>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Phase 4</w:t>
            </w:r>
          </w:p>
        </w:tc>
        <w:tc>
          <w:tcPr>
            <w:tcW w:type="dxa" w:w="149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Unknown, 315</w:t>
            </w:r>
          </w:p>
        </w:tc>
      </w:tr>
      <w:tr>
        <w:trPr>
          <w:cantSplit/>
        </w:trPr>
        <w:tc>
          <w:tcPr>
            <w:tcW w:type="dxa" w:w="1310"/>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NCT07574138</w:t>
            </w:r>
          </w:p>
        </w:tc>
        <w:tc>
          <w:tcPr>
            <w:tcW w:type="dxa" w:w="3370"/>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Comparison of β-cell functional change in early-onset versus typical-onset T2D</w:t>
            </w:r>
          </w:p>
        </w:tc>
        <w:tc>
          <w:tcPr>
            <w:tcW w:type="dxa" w:w="177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Observation of clinical progression and β-cell function</w:t>
            </w:r>
          </w:p>
        </w:tc>
        <w:tc>
          <w:tcPr>
            <w:tcW w:type="dxa" w:w="1404"/>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Observational</w:t>
            </w:r>
          </w:p>
        </w:tc>
        <w:tc>
          <w:tcPr>
            <w:tcW w:type="dxa" w:w="1498"/>
            <w:shd w:fill="FFFFFF"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Recruiting, 296</w:t>
            </w:r>
          </w:p>
        </w:tc>
      </w:tr>
      <w:tr>
        <w:trPr>
          <w:cantSplit/>
        </w:trPr>
        <w:tc>
          <w:tcPr>
            <w:tcW w:type="dxa" w:w="1310"/>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NCT05295160</w:t>
            </w:r>
          </w:p>
        </w:tc>
        <w:tc>
          <w:tcPr>
            <w:tcW w:type="dxa" w:w="3370"/>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Fasting-associated immune-metabolic remission of type 2 diabetes</w:t>
            </w:r>
          </w:p>
        </w:tc>
        <w:tc>
          <w:tcPr>
            <w:tcW w:type="dxa" w:w="177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Very-low-energy diet varying in protein or carbohydrate</w:t>
            </w:r>
          </w:p>
        </w:tc>
        <w:tc>
          <w:tcPr>
            <w:tcW w:type="dxa" w:w="1404"/>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Interventional</w:t>
            </w:r>
          </w:p>
        </w:tc>
        <w:tc>
          <w:tcPr>
            <w:tcW w:type="dxa" w:w="1498"/>
            <w:shd w:fill="F7F9FA" w:color="auto" w:val="clear"/>
            <w:tcMar>
              <w:top w:type="dxa" w:w="70"/>
              <w:left w:type="dxa" w:w="100"/>
              <w:bottom w:type="dxa" w:w="70"/>
              <w:right w:type="dxa" w:w="100"/>
            </w:tcMar>
          </w:tcPr>
          <w:p>
            <w:pPr>
              <w:spacing w:after="0" w:line="250"/>
              <w:jc w:val="left"/>
            </w:pPr>
            <w:r>
              <w:rPr>
                <w:rFonts w:ascii="Calibri" w:cs="Calibri" w:eastAsia="Calibri" w:hAnsi="Calibri"/>
                <w:b w:val="false"/>
                <w:bCs w:val="false"/>
                <w:color w:val="1B2733"/>
                <w:sz w:val="17"/>
                <w:szCs w:val="17"/>
              </w:rPr>
              <w:t xml:space="preserve">Completed, 52</w:t>
            </w:r>
          </w:p>
        </w:tc>
      </w:tr>
    </w:tbl>
    <w:p>
      <w:r>
        <w:br w:type="page"/>
      </w:r>
    </w:p>
    <w:p>
      <w:pPr>
        <w:pStyle w:val="Heading1"/>
        <w:spacing w:after="170" w:before="380"/>
      </w:pPr>
      <w:r>
        <w:rPr>
          <w:rFonts w:ascii="Calibri" w:cs="Calibri" w:eastAsia="Calibri" w:hAnsi="Calibri"/>
          <w:b/>
          <w:bCs/>
          <w:color w:val="1B2733"/>
          <w:sz w:val="29"/>
          <w:szCs w:val="29"/>
        </w:rPr>
        <w:t xml:space="preserve">7. Open questions and limitations of the evidence</w:t>
      </w:r>
    </w:p>
    <w:p>
      <w:pPr>
        <w:pStyle w:val="Heading2"/>
        <w:spacing w:after="120" w:before="260"/>
      </w:pPr>
      <w:r>
        <w:rPr>
          <w:rFonts w:ascii="Calibri" w:cs="Calibri" w:eastAsia="Calibri" w:hAnsi="Calibri"/>
          <w:b/>
          <w:bCs/>
          <w:color w:val="1F6F8B"/>
          <w:sz w:val="24"/>
          <w:szCs w:val="24"/>
        </w:rPr>
        <w:t xml:space="preserve">7.1 Definitional and methodological</w:t>
      </w:r>
    </w:p>
    <w:p>
      <w:pPr>
        <w:pStyle w:val="ListParagraph"/>
        <w:numPr>
          <w:ilvl w:val="0"/>
          <w:numId w:val="2"/>
        </w:numPr>
        <w:spacing w:after="90" w:line="270"/>
      </w:pPr>
      <w:r>
        <w:rPr>
          <w:rFonts w:ascii="Calibri" w:cs="Calibri" w:eastAsia="Calibri" w:hAnsi="Calibri"/>
          <w:b/>
          <w:bCs/>
          <w:color w:val="1B2733"/>
          <w:sz w:val="21"/>
          <w:szCs w:val="21"/>
        </w:rPr>
        <w:t xml:space="preserve">No consensus definition.</w:t>
      </w:r>
      <w:r>
        <w:rPr>
          <w:rFonts w:ascii="Calibri" w:cs="Calibri" w:eastAsia="Calibri" w:hAnsi="Calibri"/>
          <w:color w:val="1B2733"/>
          <w:sz w:val="21"/>
          <w:szCs w:val="21"/>
        </w:rPr>
        <w:t xml:space="preserve"> Hormone-negative/CHGA-positive scoring, transcription factor loss and ALDH1A3 positivity identify overlapping but non-identical populations, and reported human dedifferentiation ratios in diabetic islets vary from roughly 10% to 25% depending on BMI, diabetes duration and antidiabetic drug use </w:t>
      </w:r>
      <w:r>
        <w:rPr>
          <w:rFonts w:ascii="Calibri" w:cs="Calibri" w:eastAsia="Calibri" w:hAnsi="Calibri"/>
          <w:b/>
          <w:bCs/>
          <w:color w:val="1F6F8B"/>
          <w:sz w:val="18"/>
          <w:szCs w:val="18"/>
          <w:vertAlign w:val="superscript"/>
        </w:rPr>
        <w:t xml:space="preserve">[3,4]</w:t>
      </w:r>
      <w:r>
        <w:rPr>
          <w:rFonts w:ascii="Calibri" w:cs="Calibri" w:eastAsia="Calibri" w:hAnsi="Calibri"/>
          <w:color w:val="1B2733"/>
          <w:sz w:val="21"/>
          <w:szCs w:val="21"/>
        </w:rPr>
        <w:t xml:space="preserve">. Cross-study comparison is correspondingly hazardous — a caution that applies to Figure 3 of this review.</w:t>
      </w:r>
    </w:p>
    <w:p>
      <w:pPr>
        <w:pStyle w:val="ListParagraph"/>
        <w:numPr>
          <w:ilvl w:val="0"/>
          <w:numId w:val="2"/>
        </w:numPr>
        <w:spacing w:after="90" w:line="270"/>
      </w:pPr>
      <w:r>
        <w:rPr>
          <w:rFonts w:ascii="Calibri" w:cs="Calibri" w:eastAsia="Calibri" w:hAnsi="Calibri"/>
          <w:b/>
          <w:bCs/>
          <w:color w:val="1B2733"/>
          <w:sz w:val="21"/>
          <w:szCs w:val="21"/>
        </w:rPr>
        <w:t xml:space="preserve">Cross-sectional human tissue.</w:t>
      </w:r>
      <w:r>
        <w:rPr>
          <w:rFonts w:ascii="Calibri" w:cs="Calibri" w:eastAsia="Calibri" w:hAnsi="Calibri"/>
          <w:color w:val="1B2733"/>
          <w:sz w:val="21"/>
          <w:szCs w:val="21"/>
        </w:rPr>
        <w:t xml:space="preserve"> All human histology is from organ donors or surgical specimens, giving a single time point per subject and no trajectory. The pancreatectomy design used by Kang and colleagues </w:t>
      </w:r>
      <w:r>
        <w:rPr>
          <w:rFonts w:ascii="Calibri" w:cs="Calibri" w:eastAsia="Calibri" w:hAnsi="Calibri"/>
          <w:b/>
          <w:bCs/>
          <w:color w:val="1F6F8B"/>
          <w:sz w:val="18"/>
          <w:szCs w:val="18"/>
          <w:vertAlign w:val="superscript"/>
        </w:rPr>
        <w:t xml:space="preserve">[3]</w:t>
      </w:r>
      <w:r>
        <w:rPr>
          <w:rFonts w:ascii="Calibri" w:cs="Calibri" w:eastAsia="Calibri" w:hAnsi="Calibri"/>
          <w:color w:val="1B2733"/>
          <w:sz w:val="21"/>
          <w:szCs w:val="21"/>
        </w:rPr>
        <w:t xml:space="preserve"> is an advance because living-subject physiology can be paired with tissue, but the subjects are not representative of typical T2D — they had pancreatic lesions, and none had diagnosed diabetes.</w:t>
      </w:r>
    </w:p>
    <w:p>
      <w:pPr>
        <w:pStyle w:val="ListParagraph"/>
        <w:numPr>
          <w:ilvl w:val="0"/>
          <w:numId w:val="2"/>
        </w:numPr>
        <w:spacing w:after="90" w:line="270"/>
      </w:pPr>
      <w:r>
        <w:rPr>
          <w:rFonts w:ascii="Calibri" w:cs="Calibri" w:eastAsia="Calibri" w:hAnsi="Calibri"/>
          <w:b/>
          <w:bCs/>
          <w:color w:val="1B2733"/>
          <w:sz w:val="21"/>
          <w:szCs w:val="21"/>
        </w:rPr>
        <w:t xml:space="preserve">Reliance on db/db.</w:t>
      </w:r>
      <w:r>
        <w:rPr>
          <w:rFonts w:ascii="Calibri" w:cs="Calibri" w:eastAsia="Calibri" w:hAnsi="Calibri"/>
          <w:color w:val="1B2733"/>
          <w:sz w:val="21"/>
          <w:szCs w:val="21"/>
        </w:rPr>
        <w:t xml:space="preserve"> A large share of the mechanistic and interventional literature rests on the leptin receptor-deficient db/db mouse, a severe monogenic model of insulin resistance that does not reproduce the polygenic, slowly progressive human disease. Diet-induced obesity models partially address this </w:t>
      </w:r>
      <w:r>
        <w:rPr>
          <w:rFonts w:ascii="Calibri" w:cs="Calibri" w:eastAsia="Calibri" w:hAnsi="Calibri"/>
          <w:b/>
          <w:bCs/>
          <w:color w:val="1F6F8B"/>
          <w:sz w:val="18"/>
          <w:szCs w:val="18"/>
          <w:vertAlign w:val="superscript"/>
        </w:rPr>
        <w:t xml:space="preserve">[5]</w:t>
      </w:r>
      <w:r>
        <w:rPr>
          <w:rFonts w:ascii="Calibri" w:cs="Calibri" w:eastAsia="Calibri" w:hAnsi="Calibri"/>
          <w:color w:val="1B2733"/>
          <w:sz w:val="21"/>
          <w:szCs w:val="21"/>
        </w:rPr>
        <w:t xml:space="preserve">, but the gap remains.</w:t>
      </w:r>
    </w:p>
    <w:p>
      <w:pPr>
        <w:pStyle w:val="ListParagraph"/>
        <w:numPr>
          <w:ilvl w:val="0"/>
          <w:numId w:val="2"/>
        </w:numPr>
        <w:spacing w:after="90" w:line="270"/>
      </w:pPr>
      <w:r>
        <w:rPr>
          <w:rFonts w:ascii="Calibri" w:cs="Calibri" w:eastAsia="Calibri" w:hAnsi="Calibri"/>
          <w:b/>
          <w:bCs/>
          <w:color w:val="1B2733"/>
          <w:sz w:val="21"/>
          <w:szCs w:val="21"/>
        </w:rPr>
        <w:t xml:space="preserve">Marker specificity.</w:t>
      </w:r>
      <w:r>
        <w:rPr>
          <w:rFonts w:ascii="Calibri" w:cs="Calibri" w:eastAsia="Calibri" w:hAnsi="Calibri"/>
          <w:color w:val="1B2733"/>
          <w:sz w:val="21"/>
          <w:szCs w:val="21"/>
        </w:rPr>
        <w:t xml:space="preserve"> ALDH1A3 is expressed in α-cells as well; in the human series, most ALDH1A3-positive islet cells were glucagon-positive, and only a portion were insulin-positive/glucagon-negative </w:t>
      </w:r>
      <w:r>
        <w:rPr>
          <w:rFonts w:ascii="Calibri" w:cs="Calibri" w:eastAsia="Calibri" w:hAnsi="Calibri"/>
          <w:b/>
          <w:bCs/>
          <w:color w:val="1F6F8B"/>
          <w:sz w:val="18"/>
          <w:szCs w:val="18"/>
          <w:vertAlign w:val="superscript"/>
        </w:rPr>
        <w:t xml:space="preserve">[3]</w:t>
      </w:r>
      <w:r>
        <w:rPr>
          <w:rFonts w:ascii="Calibri" w:cs="Calibri" w:eastAsia="Calibri" w:hAnsi="Calibri"/>
          <w:color w:val="1B2733"/>
          <w:sz w:val="21"/>
          <w:szCs w:val="21"/>
        </w:rPr>
        <w:t xml:space="preserve">. Scoring therefore depends on careful co-staining.</w:t>
      </w:r>
    </w:p>
    <w:p>
      <w:pPr>
        <w:pStyle w:val="Heading2"/>
        <w:spacing w:after="120" w:before="260"/>
      </w:pPr>
      <w:r>
        <w:rPr>
          <w:rFonts w:ascii="Calibri" w:cs="Calibri" w:eastAsia="Calibri" w:hAnsi="Calibri"/>
          <w:b/>
          <w:bCs/>
          <w:color w:val="1F6F8B"/>
          <w:sz w:val="24"/>
          <w:szCs w:val="24"/>
        </w:rPr>
        <w:t xml:space="preserve">7.2 Biological</w:t>
      </w:r>
    </w:p>
    <w:p>
      <w:pPr>
        <w:pStyle w:val="ListParagraph"/>
        <w:numPr>
          <w:ilvl w:val="0"/>
          <w:numId w:val="2"/>
        </w:numPr>
        <w:spacing w:after="90" w:line="270"/>
      </w:pPr>
      <w:r>
        <w:rPr>
          <w:rFonts w:ascii="Calibri" w:cs="Calibri" w:eastAsia="Calibri" w:hAnsi="Calibri"/>
          <w:b/>
          <w:bCs/>
          <w:color w:val="1B2733"/>
          <w:sz w:val="21"/>
          <w:szCs w:val="21"/>
        </w:rPr>
        <w:t xml:space="preserve">Adaptive versus maladaptive identity loss.</w:t>
      </w:r>
      <w:r>
        <w:rPr>
          <w:rFonts w:ascii="Calibri" w:cs="Calibri" w:eastAsia="Calibri" w:hAnsi="Calibri"/>
          <w:color w:val="1B2733"/>
          <w:sz w:val="21"/>
          <w:szCs w:val="21"/>
        </w:rPr>
        <w:t xml:space="preserve"> The protective, partially dedifferentiated cluster in diabetes-resistant mice </w:t>
      </w:r>
      <w:r>
        <w:rPr>
          <w:rFonts w:ascii="Calibri" w:cs="Calibri" w:eastAsia="Calibri" w:hAnsi="Calibri"/>
          <w:b/>
          <w:bCs/>
          <w:color w:val="1F6F8B"/>
          <w:sz w:val="18"/>
          <w:szCs w:val="18"/>
          <w:vertAlign w:val="superscript"/>
        </w:rPr>
        <w:t xml:space="preserve">[18]</w:t>
      </w:r>
      <w:r>
        <w:rPr>
          <w:rFonts w:ascii="Calibri" w:cs="Calibri" w:eastAsia="Calibri" w:hAnsi="Calibri"/>
          <w:color w:val="1B2733"/>
          <w:sz w:val="21"/>
          <w:szCs w:val="21"/>
        </w:rPr>
        <w:t xml:space="preserve"> suggests that some identity downregulation is a survival strategy. No marker currently distinguishes a β-cell that is resting from one that is failing.</w:t>
      </w:r>
    </w:p>
    <w:p>
      <w:pPr>
        <w:pStyle w:val="ListParagraph"/>
        <w:numPr>
          <w:ilvl w:val="0"/>
          <w:numId w:val="2"/>
        </w:numPr>
        <w:spacing w:after="90" w:line="270"/>
      </w:pPr>
      <w:r>
        <w:rPr>
          <w:rFonts w:ascii="Calibri" w:cs="Calibri" w:eastAsia="Calibri" w:hAnsi="Calibri"/>
          <w:b/>
          <w:bCs/>
          <w:color w:val="1B2733"/>
          <w:sz w:val="21"/>
          <w:szCs w:val="21"/>
        </w:rPr>
        <w:t xml:space="preserve">Is there a point of no return?</w:t>
      </w:r>
      <w:r>
        <w:rPr>
          <w:rFonts w:ascii="Calibri" w:cs="Calibri" w:eastAsia="Calibri" w:hAnsi="Calibri"/>
          <w:color w:val="1B2733"/>
          <w:sz w:val="21"/>
          <w:szCs w:val="21"/>
        </w:rPr>
        <w:t xml:space="preserve"> DiRECT found shorter diabetes duration in responders </w:t>
      </w:r>
      <w:r>
        <w:rPr>
          <w:rFonts w:ascii="Calibri" w:cs="Calibri" w:eastAsia="Calibri" w:hAnsi="Calibri"/>
          <w:b/>
          <w:bCs/>
          <w:color w:val="1F6F8B"/>
          <w:sz w:val="18"/>
          <w:szCs w:val="18"/>
          <w:vertAlign w:val="superscript"/>
        </w:rPr>
        <w:t xml:space="preserve">[17]</w:t>
      </w:r>
      <w:r>
        <w:rPr>
          <w:rFonts w:ascii="Calibri" w:cs="Calibri" w:eastAsia="Calibri" w:hAnsi="Calibri"/>
          <w:color w:val="1B2733"/>
          <w:sz w:val="21"/>
          <w:szCs w:val="21"/>
        </w:rPr>
        <w:t xml:space="preserve">, and the ~50% reduction in functional β-cell capacity already present at diagnosis in population studies implies a long pre-clinical phase </w:t>
      </w:r>
      <w:r>
        <w:rPr>
          <w:rFonts w:ascii="Calibri" w:cs="Calibri" w:eastAsia="Calibri" w:hAnsi="Calibri"/>
          <w:b/>
          <w:bCs/>
          <w:color w:val="1F6F8B"/>
          <w:sz w:val="18"/>
          <w:szCs w:val="18"/>
          <w:vertAlign w:val="superscript"/>
        </w:rPr>
        <w:t xml:space="preserve">[3]</w:t>
      </w:r>
      <w:r>
        <w:rPr>
          <w:rFonts w:ascii="Calibri" w:cs="Calibri" w:eastAsia="Calibri" w:hAnsi="Calibri"/>
          <w:color w:val="1B2733"/>
          <w:sz w:val="21"/>
          <w:szCs w:val="21"/>
        </w:rPr>
        <w:t xml:space="preserve">. Whether a threshold exists beyond which redifferentiation fails, and what defines it, is unknown.</w:t>
      </w:r>
    </w:p>
    <w:p>
      <w:pPr>
        <w:pStyle w:val="ListParagraph"/>
        <w:numPr>
          <w:ilvl w:val="0"/>
          <w:numId w:val="2"/>
        </w:numPr>
        <w:spacing w:after="90" w:line="270"/>
      </w:pPr>
      <w:r>
        <w:rPr>
          <w:rFonts w:ascii="Calibri" w:cs="Calibri" w:eastAsia="Calibri" w:hAnsi="Calibri"/>
          <w:b/>
          <w:bCs/>
          <w:color w:val="1B2733"/>
          <w:sz w:val="21"/>
          <w:szCs w:val="21"/>
        </w:rPr>
        <w:t xml:space="preserve">Relation to senescence.</w:t>
      </w:r>
      <w:r>
        <w:rPr>
          <w:rFonts w:ascii="Calibri" w:cs="Calibri" w:eastAsia="Calibri" w:hAnsi="Calibri"/>
          <w:color w:val="1B2733"/>
          <w:sz w:val="21"/>
          <w:szCs w:val="21"/>
        </w:rPr>
        <w:t xml:space="preserve"> Reversible dedifferentiation and irreversible senescence imply opposite therapeutic strategies (recovery versus removal), and the two phenotypes have not been resolved in the same cells </w:t>
      </w:r>
      <w:r>
        <w:rPr>
          <w:rFonts w:ascii="Calibri" w:cs="Calibri" w:eastAsia="Calibri" w:hAnsi="Calibri"/>
          <w:b/>
          <w:bCs/>
          <w:color w:val="1F6F8B"/>
          <w:sz w:val="18"/>
          <w:szCs w:val="18"/>
          <w:vertAlign w:val="superscript"/>
        </w:rPr>
        <w:t xml:space="preserve">[22,23]</w:t>
      </w:r>
      <w:r>
        <w:rPr>
          <w:rFonts w:ascii="Calibri" w:cs="Calibri" w:eastAsia="Calibri" w:hAnsi="Calibri"/>
          <w:color w:val="1B2733"/>
          <w:sz w:val="21"/>
          <w:szCs w:val="21"/>
        </w:rPr>
        <w:t xml:space="preserve">.</w:t>
      </w:r>
    </w:p>
    <w:p>
      <w:pPr>
        <w:pStyle w:val="ListParagraph"/>
        <w:numPr>
          <w:ilvl w:val="0"/>
          <w:numId w:val="2"/>
        </w:numPr>
        <w:spacing w:after="90" w:line="270"/>
      </w:pPr>
      <w:r>
        <w:rPr>
          <w:rFonts w:ascii="Calibri" w:cs="Calibri" w:eastAsia="Calibri" w:hAnsi="Calibri"/>
          <w:b/>
          <w:bCs/>
          <w:color w:val="1B2733"/>
          <w:sz w:val="21"/>
          <w:szCs w:val="21"/>
        </w:rPr>
        <w:t xml:space="preserve">Mechanism of ALDH1A3 beyond retinoic acid.</w:t>
      </w:r>
      <w:r>
        <w:rPr>
          <w:rFonts w:ascii="Calibri" w:cs="Calibri" w:eastAsia="Calibri" w:hAnsi="Calibri"/>
          <w:color w:val="1B2733"/>
          <w:sz w:val="21"/>
          <w:szCs w:val="21"/>
        </w:rPr>
        <w:t xml:space="preserve"> The authors of the KOTX1 study explicitly note that non-canonical ALDH1A3 functions, including a role in glycolysis that could alter pyruvate supply to mitochondria, cannot be excluded </w:t>
      </w:r>
      <w:r>
        <w:rPr>
          <w:rFonts w:ascii="Calibri" w:cs="Calibri" w:eastAsia="Calibri" w:hAnsi="Calibri"/>
          <w:b/>
          <w:bCs/>
          <w:color w:val="1F6F8B"/>
          <w:sz w:val="18"/>
          <w:szCs w:val="18"/>
          <w:vertAlign w:val="superscript"/>
        </w:rPr>
        <w:t xml:space="preserve">[5]</w:t>
      </w:r>
      <w:r>
        <w:rPr>
          <w:rFonts w:ascii="Calibri" w:cs="Calibri" w:eastAsia="Calibri" w:hAnsi="Calibri"/>
          <w:color w:val="1B2733"/>
          <w:sz w:val="21"/>
          <w:szCs w:val="21"/>
        </w:rPr>
        <w:t xml:space="preserve">.</w:t>
      </w:r>
    </w:p>
    <w:p>
      <w:pPr>
        <w:pStyle w:val="ListParagraph"/>
        <w:numPr>
          <w:ilvl w:val="0"/>
          <w:numId w:val="2"/>
        </w:numPr>
        <w:spacing w:after="90" w:line="270"/>
      </w:pPr>
      <w:r>
        <w:rPr>
          <w:rFonts w:ascii="Calibri" w:cs="Calibri" w:eastAsia="Calibri" w:hAnsi="Calibri"/>
          <w:b/>
          <w:bCs/>
          <w:color w:val="1B2733"/>
          <w:sz w:val="21"/>
          <w:szCs w:val="21"/>
        </w:rPr>
        <w:t xml:space="preserve">Why incretins fail to restore identity.</w:t>
      </w:r>
      <w:r>
        <w:rPr>
          <w:rFonts w:ascii="Calibri" w:cs="Calibri" w:eastAsia="Calibri" w:hAnsi="Calibri"/>
          <w:color w:val="1B2733"/>
          <w:sz w:val="21"/>
          <w:szCs w:val="21"/>
        </w:rPr>
        <w:t xml:space="preserve"> The dissociation between potent glucose lowering and absent identity recovery with semaglutide and tirzepatide at weight-neutral doses </w:t>
      </w:r>
      <w:r>
        <w:rPr>
          <w:rFonts w:ascii="Calibri" w:cs="Calibri" w:eastAsia="Calibri" w:hAnsi="Calibri"/>
          <w:b/>
          <w:bCs/>
          <w:color w:val="1F6F8B"/>
          <w:sz w:val="18"/>
          <w:szCs w:val="18"/>
          <w:vertAlign w:val="superscript"/>
        </w:rPr>
        <w:t xml:space="preserve">[7]</w:t>
      </w:r>
      <w:r>
        <w:rPr>
          <w:rFonts w:ascii="Calibri" w:cs="Calibri" w:eastAsia="Calibri" w:hAnsi="Calibri"/>
          <w:color w:val="1B2733"/>
          <w:sz w:val="21"/>
          <w:szCs w:val="21"/>
        </w:rPr>
        <w:t xml:space="preserve"> is unexplained, and it raises the question of whether the clinical benefit of these agents on β-cell function in humans is mediated primarily by weight loss — that is, by load removal rather than by a direct islet action.</w:t>
      </w:r>
    </w:p>
    <w:p>
      <w:pPr>
        <w:pStyle w:val="Heading2"/>
        <w:spacing w:after="120" w:before="260"/>
      </w:pPr>
      <w:r>
        <w:rPr>
          <w:rFonts w:ascii="Calibri" w:cs="Calibri" w:eastAsia="Calibri" w:hAnsi="Calibri"/>
          <w:b/>
          <w:bCs/>
          <w:color w:val="1F6F8B"/>
          <w:sz w:val="24"/>
          <w:szCs w:val="24"/>
        </w:rPr>
        <w:t xml:space="preserve">7.3 Translational</w:t>
      </w:r>
    </w:p>
    <w:p>
      <w:pPr>
        <w:pStyle w:val="ListParagraph"/>
        <w:numPr>
          <w:ilvl w:val="0"/>
          <w:numId w:val="2"/>
        </w:numPr>
        <w:spacing w:after="90" w:line="270"/>
      </w:pPr>
      <w:r>
        <w:rPr>
          <w:rFonts w:ascii="Calibri" w:cs="Calibri" w:eastAsia="Calibri" w:hAnsi="Calibri"/>
          <w:b/>
          <w:bCs/>
          <w:color w:val="1B2733"/>
          <w:sz w:val="21"/>
          <w:szCs w:val="21"/>
        </w:rPr>
        <w:t xml:space="preserve">No identity biomarker.</w:t>
      </w:r>
      <w:r>
        <w:rPr>
          <w:rFonts w:ascii="Calibri" w:cs="Calibri" w:eastAsia="Calibri" w:hAnsi="Calibri"/>
          <w:color w:val="1B2733"/>
          <w:sz w:val="21"/>
          <w:szCs w:val="21"/>
        </w:rPr>
        <w:t xml:space="preserve"> Nothing measurable in blood or by imaging currently reports β-cell identity. Without one, the interventions in Table 3 cannot be tested for their proposed mechanism in humans.</w:t>
      </w:r>
    </w:p>
    <w:p>
      <w:pPr>
        <w:pStyle w:val="ListParagraph"/>
        <w:numPr>
          <w:ilvl w:val="0"/>
          <w:numId w:val="2"/>
        </w:numPr>
        <w:spacing w:after="90" w:line="270"/>
      </w:pPr>
      <w:r>
        <w:rPr>
          <w:rFonts w:ascii="Calibri" w:cs="Calibri" w:eastAsia="Calibri" w:hAnsi="Calibri"/>
          <w:b/>
          <w:bCs/>
          <w:color w:val="1B2733"/>
          <w:sz w:val="21"/>
          <w:szCs w:val="21"/>
        </w:rPr>
        <w:t xml:space="preserve">No clinical trial.</w:t>
      </w:r>
      <w:r>
        <w:rPr>
          <w:rFonts w:ascii="Calibri" w:cs="Calibri" w:eastAsia="Calibri" w:hAnsi="Calibri"/>
          <w:color w:val="1B2733"/>
          <w:sz w:val="21"/>
          <w:szCs w:val="21"/>
        </w:rPr>
        <w:t xml:space="preserve"> As Table 4 shows, the registry contains no study of a redifferentiation agent. KOTX1 and the LDHA and BACH2 strategies remain preclinical </w:t>
      </w:r>
      <w:r>
        <w:rPr>
          <w:rFonts w:ascii="Calibri" w:cs="Calibri" w:eastAsia="Calibri" w:hAnsi="Calibri"/>
          <w:b/>
          <w:bCs/>
          <w:color w:val="1F6F8B"/>
          <w:sz w:val="18"/>
          <w:szCs w:val="18"/>
          <w:vertAlign w:val="superscript"/>
        </w:rPr>
        <w:t xml:space="preserve">[5,8,9]</w:t>
      </w:r>
      <w:r>
        <w:rPr>
          <w:rFonts w:ascii="Calibri" w:cs="Calibri" w:eastAsia="Calibri" w:hAnsi="Calibri"/>
          <w:color w:val="1B2733"/>
          <w:sz w:val="21"/>
          <w:szCs w:val="21"/>
        </w:rPr>
        <w:t xml:space="preserve">.</w:t>
      </w:r>
    </w:p>
    <w:p>
      <w:pPr>
        <w:pStyle w:val="ListParagraph"/>
        <w:numPr>
          <w:ilvl w:val="0"/>
          <w:numId w:val="2"/>
        </w:numPr>
        <w:spacing w:after="90" w:line="270"/>
      </w:pPr>
      <w:r>
        <w:rPr>
          <w:rFonts w:ascii="Calibri" w:cs="Calibri" w:eastAsia="Calibri" w:hAnsi="Calibri"/>
          <w:b/>
          <w:bCs/>
          <w:color w:val="1B2733"/>
          <w:sz w:val="21"/>
          <w:szCs w:val="21"/>
        </w:rPr>
        <w:t xml:space="preserve">Durability.</w:t>
      </w:r>
      <w:r>
        <w:rPr>
          <w:rFonts w:ascii="Calibri" w:cs="Calibri" w:eastAsia="Calibri" w:hAnsi="Calibri"/>
          <w:color w:val="1B2733"/>
          <w:sz w:val="21"/>
          <w:szCs w:val="21"/>
        </w:rPr>
        <w:t xml:space="preserve"> The persistence of KOTX1's effect for approximately three weeks after withdrawal </w:t>
      </w:r>
      <w:r>
        <w:rPr>
          <w:rFonts w:ascii="Calibri" w:cs="Calibri" w:eastAsia="Calibri" w:hAnsi="Calibri"/>
          <w:b/>
          <w:bCs/>
          <w:color w:val="1F6F8B"/>
          <w:sz w:val="18"/>
          <w:szCs w:val="18"/>
          <w:vertAlign w:val="superscript"/>
        </w:rPr>
        <w:t xml:space="preserve">[5]</w:t>
      </w:r>
      <w:r>
        <w:rPr>
          <w:rFonts w:ascii="Calibri" w:cs="Calibri" w:eastAsia="Calibri" w:hAnsi="Calibri"/>
          <w:color w:val="1B2733"/>
          <w:sz w:val="21"/>
          <w:szCs w:val="21"/>
        </w:rPr>
        <w:t xml:space="preserve"> is encouraging but far short of what a chronic disease requires, and no long-term redifferentiation data exist.</w:t>
      </w:r>
    </w:p>
    <w:p>
      <w:pPr>
        <w:pStyle w:val="Heading1"/>
        <w:spacing w:after="170" w:before="380"/>
      </w:pPr>
      <w:r>
        <w:rPr>
          <w:rFonts w:ascii="Calibri" w:cs="Calibri" w:eastAsia="Calibri" w:hAnsi="Calibri"/>
          <w:b/>
          <w:bCs/>
          <w:color w:val="1B2733"/>
          <w:sz w:val="29"/>
          <w:szCs w:val="29"/>
        </w:rPr>
        <w:t xml:space="preserve">8. Conclusion</w:t>
      </w:r>
    </w:p>
    <w:p>
      <w:pPr>
        <w:spacing w:after="140" w:line="276"/>
        <w:jc w:val="both"/>
      </w:pPr>
      <w:r>
        <w:rPr>
          <w:rFonts w:ascii="Calibri" w:cs="Calibri" w:eastAsia="Calibri" w:hAnsi="Calibri"/>
          <w:color w:val="1B2733"/>
          <w:sz w:val="21"/>
          <w:szCs w:val="21"/>
        </w:rPr>
        <w:t xml:space="preserve">The replacement of “β-cell death” with “β-cell dedifferentiation” as the central mechanism of insulin-secretory failure in type 2 diabetes is one of the more consequential conceptual revisions in recent endocrinology. The evidence is now multi-layered: lineage tracing in mice showing that disappearing β-cells persist in an identity-stripped form </w:t>
      </w:r>
      <w:r>
        <w:rPr>
          <w:rFonts w:ascii="Calibri" w:cs="Calibri" w:eastAsia="Calibri" w:hAnsi="Calibri"/>
          <w:b/>
          <w:bCs/>
          <w:color w:val="1F6F8B"/>
          <w:sz w:val="18"/>
          <w:szCs w:val="18"/>
          <w:vertAlign w:val="superscript"/>
        </w:rPr>
        <w:t xml:space="preserve">[1]</w:t>
      </w:r>
      <w:r>
        <w:rPr>
          <w:rFonts w:ascii="Calibri" w:cs="Calibri" w:eastAsia="Calibri" w:hAnsi="Calibri"/>
          <w:color w:val="1B2733"/>
          <w:sz w:val="21"/>
          <w:szCs w:val="21"/>
        </w:rPr>
        <w:t xml:space="preserve">; human histology showing a three- to four-fold excess of dedifferentiated cells in diabetic pancreata </w:t>
      </w:r>
      <w:r>
        <w:rPr>
          <w:rFonts w:ascii="Calibri" w:cs="Calibri" w:eastAsia="Calibri" w:hAnsi="Calibri"/>
          <w:b/>
          <w:bCs/>
          <w:color w:val="1F6F8B"/>
          <w:sz w:val="18"/>
          <w:szCs w:val="18"/>
          <w:vertAlign w:val="superscript"/>
        </w:rPr>
        <w:t xml:space="preserve">[2]</w:t>
      </w:r>
      <w:r>
        <w:rPr>
          <w:rFonts w:ascii="Calibri" w:cs="Calibri" w:eastAsia="Calibri" w:hAnsi="Calibri"/>
          <w:color w:val="1B2733"/>
          <w:sz w:val="21"/>
          <w:szCs w:val="21"/>
        </w:rPr>
        <w:t xml:space="preserve">; quantitative human data linking that excess directly to measured insulin-secretory capacity before diabetes is even diagnosed </w:t>
      </w:r>
      <w:r>
        <w:rPr>
          <w:rFonts w:ascii="Calibri" w:cs="Calibri" w:eastAsia="Calibri" w:hAnsi="Calibri"/>
          <w:b/>
          <w:bCs/>
          <w:color w:val="1F6F8B"/>
          <w:sz w:val="18"/>
          <w:szCs w:val="18"/>
          <w:vertAlign w:val="superscript"/>
        </w:rPr>
        <w:t xml:space="preserve">[3]</w:t>
      </w:r>
      <w:r>
        <w:rPr>
          <w:rFonts w:ascii="Calibri" w:cs="Calibri" w:eastAsia="Calibri" w:hAnsi="Calibri"/>
          <w:color w:val="1B2733"/>
          <w:sz w:val="21"/>
          <w:szCs w:val="21"/>
        </w:rPr>
        <w:t xml:space="preserve">; single-cell trajectories showing unidirectional β-to-α conversion in diabetic islets </w:t>
      </w:r>
      <w:r>
        <w:rPr>
          <w:rFonts w:ascii="Calibri" w:cs="Calibri" w:eastAsia="Calibri" w:hAnsi="Calibri"/>
          <w:b/>
          <w:bCs/>
          <w:color w:val="1F6F8B"/>
          <w:sz w:val="18"/>
          <w:szCs w:val="18"/>
          <w:vertAlign w:val="superscript"/>
        </w:rPr>
        <w:t xml:space="preserve">[13]</w:t>
      </w:r>
      <w:r>
        <w:rPr>
          <w:rFonts w:ascii="Calibri" w:cs="Calibri" w:eastAsia="Calibri" w:hAnsi="Calibri"/>
          <w:color w:val="1B2733"/>
          <w:sz w:val="21"/>
          <w:szCs w:val="21"/>
        </w:rPr>
        <w:t xml:space="preserve">; and a coherent mechanistic chain from metabolic stress through FOXO1 and metabolic–epigenetic reprogramming to an ALDH1A3- and BACH2-driven effector programme </w:t>
      </w:r>
      <w:r>
        <w:rPr>
          <w:rFonts w:ascii="Calibri" w:cs="Calibri" w:eastAsia="Calibri" w:hAnsi="Calibri"/>
          <w:b/>
          <w:bCs/>
          <w:color w:val="1F6F8B"/>
          <w:sz w:val="18"/>
          <w:szCs w:val="18"/>
          <w:vertAlign w:val="superscript"/>
        </w:rPr>
        <w:t xml:space="preserve">[5,9,10]</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What makes the model therapeutically rather than merely descriptively interesting is reversibility, and this is now demonstrated rather than assumed: lineage-traced ALDH1A3-positive cells convert back to functional β-cells after caloric restriction, and a selective ALDH1A3 inhibitor reproduces the effect in mice and in human diabetic islets </w:t>
      </w:r>
      <w:r>
        <w:rPr>
          <w:rFonts w:ascii="Calibri" w:cs="Calibri" w:eastAsia="Calibri" w:hAnsi="Calibri"/>
          <w:b/>
          <w:bCs/>
          <w:color w:val="1F6F8B"/>
          <w:sz w:val="18"/>
          <w:szCs w:val="18"/>
          <w:vertAlign w:val="superscript"/>
        </w:rPr>
        <w:t xml:space="preserve">[5]</w:t>
      </w:r>
      <w:r>
        <w:rPr>
          <w:rFonts w:ascii="Calibri" w:cs="Calibri" w:eastAsia="Calibri" w:hAnsi="Calibri"/>
          <w:color w:val="1B2733"/>
          <w:sz w:val="21"/>
          <w:szCs w:val="21"/>
        </w:rPr>
        <w:t xml:space="preserve">. The human counterpart — durable recovery of first-phase insulin secretion after substantial weight loss, predicted by shorter diabetes duration — indicates that the reserve persists for years after diagnosis </w:t>
      </w:r>
      <w:r>
        <w:rPr>
          <w:rFonts w:ascii="Calibri" w:cs="Calibri" w:eastAsia="Calibri" w:hAnsi="Calibri"/>
          <w:b/>
          <w:bCs/>
          <w:color w:val="1F6F8B"/>
          <w:sz w:val="18"/>
          <w:szCs w:val="18"/>
          <w:vertAlign w:val="superscript"/>
        </w:rPr>
        <w:t xml:space="preserve">[17]</w:t>
      </w:r>
      <w:r>
        <w:rPr>
          <w:rFonts w:ascii="Calibri" w:cs="Calibri" w:eastAsia="Calibri" w:hAnsi="Calibri"/>
          <w:color w:val="1B2733"/>
          <w:sz w:val="21"/>
          <w:szCs w:val="21"/>
        </w:rPr>
        <w:t xml:space="preserve">.</w:t>
      </w:r>
    </w:p>
    <w:p>
      <w:pPr>
        <w:spacing w:after="140" w:line="276"/>
        <w:jc w:val="both"/>
      </w:pPr>
      <w:r>
        <w:rPr>
          <w:rFonts w:ascii="Calibri" w:cs="Calibri" w:eastAsia="Calibri" w:hAnsi="Calibri"/>
          <w:color w:val="1B2733"/>
          <w:sz w:val="21"/>
          <w:szCs w:val="21"/>
        </w:rPr>
        <w:t xml:space="preserve">Against this, the field's limitations are not minor. There is no agreed definition of a dedifferentiated cell, no human biomarker, no clinical trial, and an unexplained dissociation between the drugs that lower glucose best and the drugs that restore identity </w:t>
      </w:r>
      <w:r>
        <w:rPr>
          <w:rFonts w:ascii="Calibri" w:cs="Calibri" w:eastAsia="Calibri" w:hAnsi="Calibri"/>
          <w:b/>
          <w:bCs/>
          <w:color w:val="1F6F8B"/>
          <w:sz w:val="18"/>
          <w:szCs w:val="18"/>
          <w:vertAlign w:val="superscript"/>
        </w:rPr>
        <w:t xml:space="preserve">[6,7]</w:t>
      </w:r>
      <w:r>
        <w:rPr>
          <w:rFonts w:ascii="Calibri" w:cs="Calibri" w:eastAsia="Calibri" w:hAnsi="Calibri"/>
          <w:color w:val="1B2733"/>
          <w:sz w:val="21"/>
          <w:szCs w:val="21"/>
        </w:rPr>
        <w:t xml:space="preserve">. The most actionable near-term priorities are a measurable surrogate for β-cell identity in living subjects, markers that separate adaptive β-cell rest from maladaptive failure, and a first-in-human study of a redifferentiation agent. If those are delivered, the practical implication is substantial: a therapeutic goal of recovering the β-cells a patient still has, rather than replacing the ones assumed to be lost.</w:t>
      </w:r>
    </w:p>
    <w:p>
      <w:r>
        <w:br w:type="page"/>
      </w:r>
    </w:p>
    <w:p>
      <w:pPr>
        <w:pStyle w:val="Heading1"/>
        <w:spacing w:after="170" w:before="380"/>
      </w:pPr>
      <w:r>
        <w:rPr>
          <w:rFonts w:ascii="Calibri" w:cs="Calibri" w:eastAsia="Calibri" w:hAnsi="Calibri"/>
          <w:b/>
          <w:bCs/>
          <w:color w:val="1B2733"/>
          <w:sz w:val="29"/>
          <w:szCs w:val="29"/>
        </w:rPr>
        <w:t xml:space="preserve">References</w:t>
      </w:r>
    </w:p>
    <w:p>
      <w:pPr>
        <w:spacing w:after="110" w:line="250"/>
        <w:ind w:left="400" w:hanging="400"/>
      </w:pPr>
      <w:r>
        <w:rPr>
          <w:rFonts w:ascii="Calibri" w:cs="Calibri" w:eastAsia="Calibri" w:hAnsi="Calibri"/>
          <w:b/>
          <w:bCs/>
          <w:color w:val="1F6F8B"/>
          <w:sz w:val="18"/>
          <w:szCs w:val="18"/>
        </w:rPr>
        <w:t xml:space="preserve">1. </w:t>
      </w:r>
      <w:r>
        <w:rPr>
          <w:rFonts w:ascii="Calibri" w:cs="Calibri" w:eastAsia="Calibri" w:hAnsi="Calibri"/>
          <w:color w:val="1B2733"/>
          <w:sz w:val="18"/>
          <w:szCs w:val="18"/>
        </w:rPr>
        <w:t xml:space="preserve">Talchai C, Xuan S, Lin HV, Sussel L, Accili D. </w:t>
      </w:r>
      <w:r>
        <w:rPr>
          <w:rFonts w:ascii="Calibri" w:cs="Calibri" w:eastAsia="Calibri" w:hAnsi="Calibri"/>
          <w:color w:val="1B2733"/>
          <w:sz w:val="18"/>
          <w:szCs w:val="18"/>
        </w:rPr>
        <w:t xml:space="preserve">Pancreatic β cell dedifferentiation as a mechanism of diabetic β cell failure. </w:t>
      </w:r>
      <w:r>
        <w:rPr>
          <w:rFonts w:ascii="Calibri" w:cs="Calibri" w:eastAsia="Calibri" w:hAnsi="Calibri"/>
          <w:i/>
          <w:iCs/>
          <w:color w:val="1B2733"/>
          <w:sz w:val="18"/>
          <w:szCs w:val="18"/>
        </w:rPr>
        <w:t xml:space="preserve">Cell. 2012;150(6):1223–34. </w:t>
      </w:r>
      <w:r>
        <w:rPr>
          <w:rFonts w:ascii="Calibri" w:cs="Calibri" w:eastAsia="Calibri" w:hAnsi="Calibri"/>
          <w:color w:val="1F6F8B"/>
          <w:sz w:val="18"/>
          <w:szCs w:val="18"/>
        </w:rPr>
        <w:t xml:space="preserve">doi:10.1016/j.cell.2012.07.029</w:t>
      </w:r>
      <w:r>
        <w:rPr>
          <w:rFonts w:ascii="Calibri" w:cs="Calibri" w:eastAsia="Calibri" w:hAnsi="Calibri"/>
          <w:color w:val="5B6770"/>
          <w:sz w:val="18"/>
          <w:szCs w:val="18"/>
        </w:rPr>
        <w:t xml:space="preserve">  ·  PMID 22980982</w:t>
      </w:r>
    </w:p>
    <w:p>
      <w:pPr>
        <w:spacing w:after="110" w:line="250"/>
        <w:ind w:left="400" w:hanging="400"/>
      </w:pPr>
      <w:r>
        <w:rPr>
          <w:rFonts w:ascii="Calibri" w:cs="Calibri" w:eastAsia="Calibri" w:hAnsi="Calibri"/>
          <w:b/>
          <w:bCs/>
          <w:color w:val="1F6F8B"/>
          <w:sz w:val="18"/>
          <w:szCs w:val="18"/>
        </w:rPr>
        <w:t xml:space="preserve">2. </w:t>
      </w:r>
      <w:r>
        <w:rPr>
          <w:rFonts w:ascii="Calibri" w:cs="Calibri" w:eastAsia="Calibri" w:hAnsi="Calibri"/>
          <w:color w:val="1B2733"/>
          <w:sz w:val="18"/>
          <w:szCs w:val="18"/>
        </w:rPr>
        <w:t xml:space="preserve">Cinti F, Bouchi R, Kim-Muller JY, et al. </w:t>
      </w:r>
      <w:r>
        <w:rPr>
          <w:rFonts w:ascii="Calibri" w:cs="Calibri" w:eastAsia="Calibri" w:hAnsi="Calibri"/>
          <w:color w:val="1B2733"/>
          <w:sz w:val="18"/>
          <w:szCs w:val="18"/>
        </w:rPr>
        <w:t xml:space="preserve">Evidence of β-cell dedifferentiation in human type 2 diabetes. </w:t>
      </w:r>
      <w:r>
        <w:rPr>
          <w:rFonts w:ascii="Calibri" w:cs="Calibri" w:eastAsia="Calibri" w:hAnsi="Calibri"/>
          <w:i/>
          <w:iCs/>
          <w:color w:val="1B2733"/>
          <w:sz w:val="18"/>
          <w:szCs w:val="18"/>
        </w:rPr>
        <w:t xml:space="preserve">J Clin Endocrinol Metab. 2016;101(3):1044–54. </w:t>
      </w:r>
      <w:r>
        <w:rPr>
          <w:rFonts w:ascii="Calibri" w:cs="Calibri" w:eastAsia="Calibri" w:hAnsi="Calibri"/>
          <w:color w:val="1F6F8B"/>
          <w:sz w:val="18"/>
          <w:szCs w:val="18"/>
        </w:rPr>
        <w:t xml:space="preserve">doi:10.1210/jc.2015-2860</w:t>
      </w:r>
      <w:r>
        <w:rPr>
          <w:rFonts w:ascii="Calibri" w:cs="Calibri" w:eastAsia="Calibri" w:hAnsi="Calibri"/>
          <w:color w:val="5B6770"/>
          <w:sz w:val="18"/>
          <w:szCs w:val="18"/>
        </w:rPr>
        <w:t xml:space="preserve">  ·  PMID 26713822</w:t>
      </w:r>
    </w:p>
    <w:p>
      <w:pPr>
        <w:spacing w:after="110" w:line="250"/>
        <w:ind w:left="400" w:hanging="400"/>
      </w:pPr>
      <w:r>
        <w:rPr>
          <w:rFonts w:ascii="Calibri" w:cs="Calibri" w:eastAsia="Calibri" w:hAnsi="Calibri"/>
          <w:b/>
          <w:bCs/>
          <w:color w:val="1F6F8B"/>
          <w:sz w:val="18"/>
          <w:szCs w:val="18"/>
        </w:rPr>
        <w:t xml:space="preserve">3. </w:t>
      </w:r>
      <w:r>
        <w:rPr>
          <w:rFonts w:ascii="Calibri" w:cs="Calibri" w:eastAsia="Calibri" w:hAnsi="Calibri"/>
          <w:color w:val="1B2733"/>
          <w:sz w:val="18"/>
          <w:szCs w:val="18"/>
        </w:rPr>
        <w:t xml:space="preserve">Kang F, Zhang Z, Fu H, et al. </w:t>
      </w:r>
      <w:r>
        <w:rPr>
          <w:rFonts w:ascii="Calibri" w:cs="Calibri" w:eastAsia="Calibri" w:hAnsi="Calibri"/>
          <w:color w:val="1B2733"/>
          <w:sz w:val="18"/>
          <w:szCs w:val="18"/>
        </w:rPr>
        <w:t xml:space="preserve">β-Cell dedifferentiation in HOMA-β low and HOMA-β high subjects. </w:t>
      </w:r>
      <w:r>
        <w:rPr>
          <w:rFonts w:ascii="Calibri" w:cs="Calibri" w:eastAsia="Calibri" w:hAnsi="Calibri"/>
          <w:i/>
          <w:iCs/>
          <w:color w:val="1B2733"/>
          <w:sz w:val="18"/>
          <w:szCs w:val="18"/>
        </w:rPr>
        <w:t xml:space="preserve">J Clin Endocrinol Metab. 2025;110(5):e1430–e1438. </w:t>
      </w:r>
      <w:r>
        <w:rPr>
          <w:rFonts w:ascii="Calibri" w:cs="Calibri" w:eastAsia="Calibri" w:hAnsi="Calibri"/>
          <w:color w:val="1F6F8B"/>
          <w:sz w:val="18"/>
          <w:szCs w:val="18"/>
        </w:rPr>
        <w:t xml:space="preserve">doi:10.1210/clinem/dgae538</w:t>
      </w:r>
      <w:r>
        <w:rPr>
          <w:rFonts w:ascii="Calibri" w:cs="Calibri" w:eastAsia="Calibri" w:hAnsi="Calibri"/>
          <w:color w:val="5B6770"/>
          <w:sz w:val="18"/>
          <w:szCs w:val="18"/>
        </w:rPr>
        <w:t xml:space="preserve">  ·  PMID 39133811</w:t>
      </w:r>
    </w:p>
    <w:p>
      <w:pPr>
        <w:spacing w:after="110" w:line="250"/>
        <w:ind w:left="400" w:hanging="400"/>
      </w:pPr>
      <w:r>
        <w:rPr>
          <w:rFonts w:ascii="Calibri" w:cs="Calibri" w:eastAsia="Calibri" w:hAnsi="Calibri"/>
          <w:b/>
          <w:bCs/>
          <w:color w:val="1F6F8B"/>
          <w:sz w:val="18"/>
          <w:szCs w:val="18"/>
        </w:rPr>
        <w:t xml:space="preserve">4. </w:t>
      </w:r>
      <w:r>
        <w:rPr>
          <w:rFonts w:ascii="Calibri" w:cs="Calibri" w:eastAsia="Calibri" w:hAnsi="Calibri"/>
          <w:color w:val="1B2733"/>
          <w:sz w:val="18"/>
          <w:szCs w:val="18"/>
        </w:rPr>
        <w:t xml:space="preserve">Sun J, Son J, Wang Q. </w:t>
      </w:r>
      <w:r>
        <w:rPr>
          <w:rFonts w:ascii="Calibri" w:cs="Calibri" w:eastAsia="Calibri" w:hAnsi="Calibri"/>
          <w:color w:val="1B2733"/>
          <w:sz w:val="18"/>
          <w:szCs w:val="18"/>
        </w:rPr>
        <w:t xml:space="preserve">Human β-cell dedifferentiation and diabetes. </w:t>
      </w:r>
      <w:r>
        <w:rPr>
          <w:rFonts w:ascii="Calibri" w:cs="Calibri" w:eastAsia="Calibri" w:hAnsi="Calibri"/>
          <w:i/>
          <w:iCs/>
          <w:color w:val="1B2733"/>
          <w:sz w:val="18"/>
          <w:szCs w:val="18"/>
        </w:rPr>
        <w:t xml:space="preserve">J Diabetes. 2026;18(10):e70280. </w:t>
      </w:r>
      <w:r>
        <w:rPr>
          <w:rFonts w:ascii="Calibri" w:cs="Calibri" w:eastAsia="Calibri" w:hAnsi="Calibri"/>
          <w:color w:val="1F6F8B"/>
          <w:sz w:val="18"/>
          <w:szCs w:val="18"/>
        </w:rPr>
        <w:t xml:space="preserve">doi:10.1111/1753-0407.70280</w:t>
      </w:r>
      <w:r>
        <w:rPr>
          <w:rFonts w:ascii="Calibri" w:cs="Calibri" w:eastAsia="Calibri" w:hAnsi="Calibri"/>
          <w:color w:val="5B6770"/>
          <w:sz w:val="18"/>
          <w:szCs w:val="18"/>
        </w:rPr>
        <w:t xml:space="preserve">  ·  PMID 42860317</w:t>
      </w:r>
    </w:p>
    <w:p>
      <w:pPr>
        <w:spacing w:after="110" w:line="250"/>
        <w:ind w:left="400" w:hanging="400"/>
      </w:pPr>
      <w:r>
        <w:rPr>
          <w:rFonts w:ascii="Calibri" w:cs="Calibri" w:eastAsia="Calibri" w:hAnsi="Calibri"/>
          <w:b/>
          <w:bCs/>
          <w:color w:val="1F6F8B"/>
          <w:sz w:val="18"/>
          <w:szCs w:val="18"/>
        </w:rPr>
        <w:t xml:space="preserve">5. </w:t>
      </w:r>
      <w:r>
        <w:rPr>
          <w:rFonts w:ascii="Calibri" w:cs="Calibri" w:eastAsia="Calibri" w:hAnsi="Calibri"/>
          <w:color w:val="1B2733"/>
          <w:sz w:val="18"/>
          <w:szCs w:val="18"/>
        </w:rPr>
        <w:t xml:space="preserve">Son J, Du W, Esposito M, Shariati K, Ding H, Kang Y, Accili D. </w:t>
      </w:r>
      <w:r>
        <w:rPr>
          <w:rFonts w:ascii="Calibri" w:cs="Calibri" w:eastAsia="Calibri" w:hAnsi="Calibri"/>
          <w:color w:val="1B2733"/>
          <w:sz w:val="18"/>
          <w:szCs w:val="18"/>
        </w:rPr>
        <w:t xml:space="preserve">Genetic and pharmacologic inhibition of ALDH1A3 as a treatment of β-cell failure. </w:t>
      </w:r>
      <w:r>
        <w:rPr>
          <w:rFonts w:ascii="Calibri" w:cs="Calibri" w:eastAsia="Calibri" w:hAnsi="Calibri"/>
          <w:i/>
          <w:iCs/>
          <w:color w:val="1B2733"/>
          <w:sz w:val="18"/>
          <w:szCs w:val="18"/>
        </w:rPr>
        <w:t xml:space="preserve">Nat Commun. 2023;14(1):558. </w:t>
      </w:r>
      <w:r>
        <w:rPr>
          <w:rFonts w:ascii="Calibri" w:cs="Calibri" w:eastAsia="Calibri" w:hAnsi="Calibri"/>
          <w:color w:val="1F6F8B"/>
          <w:sz w:val="18"/>
          <w:szCs w:val="18"/>
        </w:rPr>
        <w:t xml:space="preserve">doi:10.1038/s41467-023-36315-4</w:t>
      </w:r>
      <w:r>
        <w:rPr>
          <w:rFonts w:ascii="Calibri" w:cs="Calibri" w:eastAsia="Calibri" w:hAnsi="Calibri"/>
          <w:color w:val="5B6770"/>
          <w:sz w:val="18"/>
          <w:szCs w:val="18"/>
        </w:rPr>
        <w:t xml:space="preserve">  ·  PMID 36732513</w:t>
      </w:r>
    </w:p>
    <w:p>
      <w:pPr>
        <w:spacing w:after="110" w:line="250"/>
        <w:ind w:left="400" w:hanging="400"/>
      </w:pPr>
      <w:r>
        <w:rPr>
          <w:rFonts w:ascii="Calibri" w:cs="Calibri" w:eastAsia="Calibri" w:hAnsi="Calibri"/>
          <w:b/>
          <w:bCs/>
          <w:color w:val="1F6F8B"/>
          <w:sz w:val="18"/>
          <w:szCs w:val="18"/>
        </w:rPr>
        <w:t xml:space="preserve">6. </w:t>
      </w:r>
      <w:r>
        <w:rPr>
          <w:rFonts w:ascii="Calibri" w:cs="Calibri" w:eastAsia="Calibri" w:hAnsi="Calibri"/>
          <w:color w:val="1B2733"/>
          <w:sz w:val="18"/>
          <w:szCs w:val="18"/>
        </w:rPr>
        <w:t xml:space="preserve">Ishida E, Kim-Muller JY, Accili D. </w:t>
      </w:r>
      <w:r>
        <w:rPr>
          <w:rFonts w:ascii="Calibri" w:cs="Calibri" w:eastAsia="Calibri" w:hAnsi="Calibri"/>
          <w:color w:val="1B2733"/>
          <w:sz w:val="18"/>
          <w:szCs w:val="18"/>
        </w:rPr>
        <w:t xml:space="preserve">Pair feeding, but not insulin, phloridzin, or rosiglitazone treatment, curtails markers of β-cell dedifferentiation in db/db mice. </w:t>
      </w:r>
      <w:r>
        <w:rPr>
          <w:rFonts w:ascii="Calibri" w:cs="Calibri" w:eastAsia="Calibri" w:hAnsi="Calibri"/>
          <w:i/>
          <w:iCs/>
          <w:color w:val="1B2733"/>
          <w:sz w:val="18"/>
          <w:szCs w:val="18"/>
        </w:rPr>
        <w:t xml:space="preserve">Diabetes. 2017;66(8):2092–101. </w:t>
      </w:r>
      <w:r>
        <w:rPr>
          <w:rFonts w:ascii="Calibri" w:cs="Calibri" w:eastAsia="Calibri" w:hAnsi="Calibri"/>
          <w:color w:val="1F6F8B"/>
          <w:sz w:val="18"/>
          <w:szCs w:val="18"/>
        </w:rPr>
        <w:t xml:space="preserve">doi:10.2337/db16-1213</w:t>
      </w:r>
      <w:r>
        <w:rPr>
          <w:rFonts w:ascii="Calibri" w:cs="Calibri" w:eastAsia="Calibri" w:hAnsi="Calibri"/>
          <w:color w:val="5B6770"/>
          <w:sz w:val="18"/>
          <w:szCs w:val="18"/>
        </w:rPr>
        <w:t xml:space="preserve">  ·  PMID 28506962</w:t>
      </w:r>
    </w:p>
    <w:p>
      <w:pPr>
        <w:spacing w:after="110" w:line="250"/>
        <w:ind w:left="400" w:hanging="400"/>
      </w:pPr>
      <w:r>
        <w:rPr>
          <w:rFonts w:ascii="Calibri" w:cs="Calibri" w:eastAsia="Calibri" w:hAnsi="Calibri"/>
          <w:b/>
          <w:bCs/>
          <w:color w:val="1F6F8B"/>
          <w:sz w:val="18"/>
          <w:szCs w:val="18"/>
        </w:rPr>
        <w:t xml:space="preserve">7. </w:t>
      </w:r>
      <w:r>
        <w:rPr>
          <w:rFonts w:ascii="Calibri" w:cs="Calibri" w:eastAsia="Calibri" w:hAnsi="Calibri"/>
          <w:color w:val="1B2733"/>
          <w:sz w:val="18"/>
          <w:szCs w:val="18"/>
        </w:rPr>
        <w:t xml:space="preserve">Deng Z, Zheng D, Son J, et al. </w:t>
      </w:r>
      <w:r>
        <w:rPr>
          <w:rFonts w:ascii="Calibri" w:cs="Calibri" w:eastAsia="Calibri" w:hAnsi="Calibri"/>
          <w:color w:val="1B2733"/>
          <w:sz w:val="18"/>
          <w:szCs w:val="18"/>
        </w:rPr>
        <w:t xml:space="preserve">Effect of weight-neutral treatment with semaglutide or tirzepatide on β-cell identity in db/db mice. </w:t>
      </w:r>
      <w:r>
        <w:rPr>
          <w:rFonts w:ascii="Calibri" w:cs="Calibri" w:eastAsia="Calibri" w:hAnsi="Calibri"/>
          <w:i/>
          <w:iCs/>
          <w:color w:val="1B2733"/>
          <w:sz w:val="18"/>
          <w:szCs w:val="18"/>
        </w:rPr>
        <w:t xml:space="preserve">Acta Physiol (Oxf). 2026;242(1):e70141. </w:t>
      </w:r>
      <w:r>
        <w:rPr>
          <w:rFonts w:ascii="Calibri" w:cs="Calibri" w:eastAsia="Calibri" w:hAnsi="Calibri"/>
          <w:color w:val="1F6F8B"/>
          <w:sz w:val="18"/>
          <w:szCs w:val="18"/>
        </w:rPr>
        <w:t xml:space="preserve">doi:10.1111/apha.70141</w:t>
      </w:r>
      <w:r>
        <w:rPr>
          <w:rFonts w:ascii="Calibri" w:cs="Calibri" w:eastAsia="Calibri" w:hAnsi="Calibri"/>
          <w:color w:val="5B6770"/>
          <w:sz w:val="18"/>
          <w:szCs w:val="18"/>
        </w:rPr>
        <w:t xml:space="preserve">  ·  PMID 41354136</w:t>
      </w:r>
    </w:p>
    <w:p>
      <w:pPr>
        <w:spacing w:after="110" w:line="250"/>
        <w:ind w:left="400" w:hanging="400"/>
      </w:pPr>
      <w:r>
        <w:rPr>
          <w:rFonts w:ascii="Calibri" w:cs="Calibri" w:eastAsia="Calibri" w:hAnsi="Calibri"/>
          <w:b/>
          <w:bCs/>
          <w:color w:val="1F6F8B"/>
          <w:sz w:val="18"/>
          <w:szCs w:val="18"/>
        </w:rPr>
        <w:t xml:space="preserve">8. </w:t>
      </w:r>
      <w:r>
        <w:rPr>
          <w:rFonts w:ascii="Calibri" w:cs="Calibri" w:eastAsia="Calibri" w:hAnsi="Calibri"/>
          <w:color w:val="1B2733"/>
          <w:sz w:val="18"/>
          <w:szCs w:val="18"/>
        </w:rPr>
        <w:t xml:space="preserve">Accili D, Du W, Kitamoto T, et al. </w:t>
      </w:r>
      <w:r>
        <w:rPr>
          <w:rFonts w:ascii="Calibri" w:cs="Calibri" w:eastAsia="Calibri" w:hAnsi="Calibri"/>
          <w:color w:val="1B2733"/>
          <w:sz w:val="18"/>
          <w:szCs w:val="18"/>
        </w:rPr>
        <w:t xml:space="preserve">Investigational treatments of β-cell failure and replacement. </w:t>
      </w:r>
      <w:r>
        <w:rPr>
          <w:rFonts w:ascii="Calibri" w:cs="Calibri" w:eastAsia="Calibri" w:hAnsi="Calibri"/>
          <w:i/>
          <w:iCs/>
          <w:color w:val="1B2733"/>
          <w:sz w:val="18"/>
          <w:szCs w:val="18"/>
        </w:rPr>
        <w:t xml:space="preserve">Diabetol Int. 2026;17(2):25. </w:t>
      </w:r>
      <w:r>
        <w:rPr>
          <w:rFonts w:ascii="Calibri" w:cs="Calibri" w:eastAsia="Calibri" w:hAnsi="Calibri"/>
          <w:color w:val="1F6F8B"/>
          <w:sz w:val="18"/>
          <w:szCs w:val="18"/>
        </w:rPr>
        <w:t xml:space="preserve">doi:10.1007/s13340-026-00878-6</w:t>
      </w:r>
      <w:r>
        <w:rPr>
          <w:rFonts w:ascii="Calibri" w:cs="Calibri" w:eastAsia="Calibri" w:hAnsi="Calibri"/>
          <w:color w:val="5B6770"/>
          <w:sz w:val="18"/>
          <w:szCs w:val="18"/>
        </w:rPr>
        <w:t xml:space="preserve">  ·  PMID 41716816</w:t>
      </w:r>
    </w:p>
    <w:p>
      <w:pPr>
        <w:spacing w:after="110" w:line="250"/>
        <w:ind w:left="400" w:hanging="400"/>
      </w:pPr>
      <w:r>
        <w:rPr>
          <w:rFonts w:ascii="Calibri" w:cs="Calibri" w:eastAsia="Calibri" w:hAnsi="Calibri"/>
          <w:b/>
          <w:bCs/>
          <w:color w:val="1F6F8B"/>
          <w:sz w:val="18"/>
          <w:szCs w:val="18"/>
        </w:rPr>
        <w:t xml:space="preserve">9. </w:t>
      </w:r>
      <w:r>
        <w:rPr>
          <w:rFonts w:ascii="Calibri" w:cs="Calibri" w:eastAsia="Calibri" w:hAnsi="Calibri"/>
          <w:color w:val="1B2733"/>
          <w:sz w:val="18"/>
          <w:szCs w:val="18"/>
        </w:rPr>
        <w:t xml:space="preserve">Li X, Gong H, Xiong C, et al. </w:t>
      </w:r>
      <w:r>
        <w:rPr>
          <w:rFonts w:ascii="Calibri" w:cs="Calibri" w:eastAsia="Calibri" w:hAnsi="Calibri"/>
          <w:color w:val="1B2733"/>
          <w:sz w:val="18"/>
          <w:szCs w:val="18"/>
        </w:rPr>
        <w:t xml:space="preserve">LDHA induces beta cell dedifferentiation in diabetes through metabolic and epigenetic reprogramming. </w:t>
      </w:r>
      <w:r>
        <w:rPr>
          <w:rFonts w:ascii="Calibri" w:cs="Calibri" w:eastAsia="Calibri" w:hAnsi="Calibri"/>
          <w:i/>
          <w:iCs/>
          <w:color w:val="1B2733"/>
          <w:sz w:val="18"/>
          <w:szCs w:val="18"/>
        </w:rPr>
        <w:t xml:space="preserve">Diabetologia. 2025;69(3):689–709. </w:t>
      </w:r>
      <w:r>
        <w:rPr>
          <w:rFonts w:ascii="Calibri" w:cs="Calibri" w:eastAsia="Calibri" w:hAnsi="Calibri"/>
          <w:color w:val="1F6F8B"/>
          <w:sz w:val="18"/>
          <w:szCs w:val="18"/>
        </w:rPr>
        <w:t xml:space="preserve">doi:10.1007/s00125-025-06626-w</w:t>
      </w:r>
      <w:r>
        <w:rPr>
          <w:rFonts w:ascii="Calibri" w:cs="Calibri" w:eastAsia="Calibri" w:hAnsi="Calibri"/>
          <w:color w:val="5B6770"/>
          <w:sz w:val="18"/>
          <w:szCs w:val="18"/>
        </w:rPr>
        <w:t xml:space="preserve">  ·  PMID 41381887</w:t>
      </w:r>
    </w:p>
    <w:p>
      <w:pPr>
        <w:spacing w:after="110" w:line="250"/>
        <w:ind w:left="400" w:hanging="400"/>
      </w:pPr>
      <w:r>
        <w:rPr>
          <w:rFonts w:ascii="Calibri" w:cs="Calibri" w:eastAsia="Calibri" w:hAnsi="Calibri"/>
          <w:b/>
          <w:bCs/>
          <w:color w:val="1F6F8B"/>
          <w:sz w:val="18"/>
          <w:szCs w:val="18"/>
        </w:rPr>
        <w:t xml:space="preserve">10. </w:t>
      </w:r>
      <w:r>
        <w:rPr>
          <w:rFonts w:ascii="Calibri" w:cs="Calibri" w:eastAsia="Calibri" w:hAnsi="Calibri"/>
          <w:color w:val="1B2733"/>
          <w:sz w:val="18"/>
          <w:szCs w:val="18"/>
        </w:rPr>
        <w:t xml:space="preserve">Zhu S, Zhang Z, Wang RR, et al. </w:t>
      </w:r>
      <w:r>
        <w:rPr>
          <w:rFonts w:ascii="Calibri" w:cs="Calibri" w:eastAsia="Calibri" w:hAnsi="Calibri"/>
          <w:color w:val="1B2733"/>
          <w:sz w:val="18"/>
          <w:szCs w:val="18"/>
        </w:rPr>
        <w:t xml:space="preserve">BAF60A governs beta cell identity to control systemic glucose homeostasis. </w:t>
      </w:r>
      <w:r>
        <w:rPr>
          <w:rFonts w:ascii="Calibri" w:cs="Calibri" w:eastAsia="Calibri" w:hAnsi="Calibri"/>
          <w:i/>
          <w:iCs/>
          <w:color w:val="1B2733"/>
          <w:sz w:val="18"/>
          <w:szCs w:val="18"/>
        </w:rPr>
        <w:t xml:space="preserve">Diabetologia. 2026;online ahead of print. </w:t>
      </w:r>
      <w:r>
        <w:rPr>
          <w:rFonts w:ascii="Calibri" w:cs="Calibri" w:eastAsia="Calibri" w:hAnsi="Calibri"/>
          <w:color w:val="1F6F8B"/>
          <w:sz w:val="18"/>
          <w:szCs w:val="18"/>
        </w:rPr>
        <w:t xml:space="preserve">doi:10.1007/s00125-026-06884-2</w:t>
      </w:r>
      <w:r>
        <w:rPr>
          <w:rFonts w:ascii="Calibri" w:cs="Calibri" w:eastAsia="Calibri" w:hAnsi="Calibri"/>
          <w:color w:val="5B6770"/>
          <w:sz w:val="18"/>
          <w:szCs w:val="18"/>
        </w:rPr>
        <w:t xml:space="preserve">  ·  PMID 42829354</w:t>
      </w:r>
    </w:p>
    <w:p>
      <w:pPr>
        <w:spacing w:after="110" w:line="250"/>
        <w:ind w:left="400" w:hanging="400"/>
      </w:pPr>
      <w:r>
        <w:rPr>
          <w:rFonts w:ascii="Calibri" w:cs="Calibri" w:eastAsia="Calibri" w:hAnsi="Calibri"/>
          <w:b/>
          <w:bCs/>
          <w:color w:val="1F6F8B"/>
          <w:sz w:val="18"/>
          <w:szCs w:val="18"/>
        </w:rPr>
        <w:t xml:space="preserve">11. </w:t>
      </w:r>
      <w:r>
        <w:rPr>
          <w:rFonts w:ascii="Calibri" w:cs="Calibri" w:eastAsia="Calibri" w:hAnsi="Calibri"/>
          <w:color w:val="1B2733"/>
          <w:sz w:val="18"/>
          <w:szCs w:val="18"/>
        </w:rPr>
        <w:t xml:space="preserve">Zhang N, Sun Q, Zhang J, et al. </w:t>
      </w:r>
      <w:r>
        <w:rPr>
          <w:rFonts w:ascii="Calibri" w:cs="Calibri" w:eastAsia="Calibri" w:hAnsi="Calibri"/>
          <w:color w:val="1B2733"/>
          <w:sz w:val="18"/>
          <w:szCs w:val="18"/>
        </w:rPr>
        <w:t xml:space="preserve">Intrapancreatic adipocytes and beta cell dedifferentiation in human type 2 diabetes. </w:t>
      </w:r>
      <w:r>
        <w:rPr>
          <w:rFonts w:ascii="Calibri" w:cs="Calibri" w:eastAsia="Calibri" w:hAnsi="Calibri"/>
          <w:i/>
          <w:iCs/>
          <w:color w:val="1B2733"/>
          <w:sz w:val="18"/>
          <w:szCs w:val="18"/>
        </w:rPr>
        <w:t xml:space="preserve">Diabetologia. 2025;68(6):1242–60. </w:t>
      </w:r>
      <w:r>
        <w:rPr>
          <w:rFonts w:ascii="Calibri" w:cs="Calibri" w:eastAsia="Calibri" w:hAnsi="Calibri"/>
          <w:color w:val="1F6F8B"/>
          <w:sz w:val="18"/>
          <w:szCs w:val="18"/>
        </w:rPr>
        <w:t xml:space="preserve">doi:10.1007/s00125-025-06392-9</w:t>
      </w:r>
      <w:r>
        <w:rPr>
          <w:rFonts w:ascii="Calibri" w:cs="Calibri" w:eastAsia="Calibri" w:hAnsi="Calibri"/>
          <w:color w:val="5B6770"/>
          <w:sz w:val="18"/>
          <w:szCs w:val="18"/>
        </w:rPr>
        <w:t xml:space="preserve">  ·  PMID 40072535</w:t>
      </w:r>
    </w:p>
    <w:p>
      <w:pPr>
        <w:spacing w:after="110" w:line="250"/>
        <w:ind w:left="400" w:hanging="400"/>
      </w:pPr>
      <w:r>
        <w:rPr>
          <w:rFonts w:ascii="Calibri" w:cs="Calibri" w:eastAsia="Calibri" w:hAnsi="Calibri"/>
          <w:b/>
          <w:bCs/>
          <w:color w:val="1F6F8B"/>
          <w:sz w:val="18"/>
          <w:szCs w:val="18"/>
        </w:rPr>
        <w:t xml:space="preserve">12. </w:t>
      </w:r>
      <w:r>
        <w:rPr>
          <w:rFonts w:ascii="Calibri" w:cs="Calibri" w:eastAsia="Calibri" w:hAnsi="Calibri"/>
          <w:color w:val="1B2733"/>
          <w:sz w:val="18"/>
          <w:szCs w:val="18"/>
        </w:rPr>
        <w:t xml:space="preserve">Lee K, Chan JY, Liang C, et al. </w:t>
      </w:r>
      <w:r>
        <w:rPr>
          <w:rFonts w:ascii="Calibri" w:cs="Calibri" w:eastAsia="Calibri" w:hAnsi="Calibri"/>
          <w:color w:val="1B2733"/>
          <w:sz w:val="18"/>
          <w:szCs w:val="18"/>
        </w:rPr>
        <w:t xml:space="preserve">XBP1 maintains beta cell identity, represses beta-to-alpha cell transdifferentiation and protects against diabetic beta cell failure during metabolic stress in mice. </w:t>
      </w:r>
      <w:r>
        <w:rPr>
          <w:rFonts w:ascii="Calibri" w:cs="Calibri" w:eastAsia="Calibri" w:hAnsi="Calibri"/>
          <w:i/>
          <w:iCs/>
          <w:color w:val="1B2733"/>
          <w:sz w:val="18"/>
          <w:szCs w:val="18"/>
        </w:rPr>
        <w:t xml:space="preserve">Diabetologia. 2022;65(6):984–96. </w:t>
      </w:r>
      <w:r>
        <w:rPr>
          <w:rFonts w:ascii="Calibri" w:cs="Calibri" w:eastAsia="Calibri" w:hAnsi="Calibri"/>
          <w:color w:val="1F6F8B"/>
          <w:sz w:val="18"/>
          <w:szCs w:val="18"/>
        </w:rPr>
        <w:t xml:space="preserve">doi:10.1007/s00125-022-05669-7</w:t>
      </w:r>
      <w:r>
        <w:rPr>
          <w:rFonts w:ascii="Calibri" w:cs="Calibri" w:eastAsia="Calibri" w:hAnsi="Calibri"/>
          <w:color w:val="5B6770"/>
          <w:sz w:val="18"/>
          <w:szCs w:val="18"/>
        </w:rPr>
        <w:t xml:space="preserve">  ·  PMID 35316840</w:t>
      </w:r>
    </w:p>
    <w:p>
      <w:pPr>
        <w:spacing w:after="110" w:line="250"/>
        <w:ind w:left="400" w:hanging="400"/>
      </w:pPr>
      <w:r>
        <w:rPr>
          <w:rFonts w:ascii="Calibri" w:cs="Calibri" w:eastAsia="Calibri" w:hAnsi="Calibri"/>
          <w:b/>
          <w:bCs/>
          <w:color w:val="1F6F8B"/>
          <w:sz w:val="18"/>
          <w:szCs w:val="18"/>
        </w:rPr>
        <w:t xml:space="preserve">13. </w:t>
      </w:r>
      <w:r>
        <w:rPr>
          <w:rFonts w:ascii="Calibri" w:cs="Calibri" w:eastAsia="Calibri" w:hAnsi="Calibri"/>
          <w:color w:val="1B2733"/>
          <w:sz w:val="18"/>
          <w:szCs w:val="18"/>
        </w:rPr>
        <w:t xml:space="preserve">Kang RB, Varela M, Oh E, et al. </w:t>
      </w:r>
      <w:r>
        <w:rPr>
          <w:rFonts w:ascii="Calibri" w:cs="Calibri" w:eastAsia="Calibri" w:hAnsi="Calibri"/>
          <w:color w:val="1B2733"/>
          <w:sz w:val="18"/>
          <w:szCs w:val="18"/>
        </w:rPr>
        <w:t xml:space="preserve">Human pancreatic α-cell heterogeneity and trajectory inference analyses reveal SMOC1 as a β-cell dedifferentiation gene. </w:t>
      </w:r>
      <w:r>
        <w:rPr>
          <w:rFonts w:ascii="Calibri" w:cs="Calibri" w:eastAsia="Calibri" w:hAnsi="Calibri"/>
          <w:i/>
          <w:iCs/>
          <w:color w:val="1B2733"/>
          <w:sz w:val="18"/>
          <w:szCs w:val="18"/>
        </w:rPr>
        <w:t xml:space="preserve">Nat Commun. 2025;16(1):8434. </w:t>
      </w:r>
      <w:r>
        <w:rPr>
          <w:rFonts w:ascii="Calibri" w:cs="Calibri" w:eastAsia="Calibri" w:hAnsi="Calibri"/>
          <w:color w:val="1F6F8B"/>
          <w:sz w:val="18"/>
          <w:szCs w:val="18"/>
        </w:rPr>
        <w:t xml:space="preserve">doi:10.1038/s41467-025-62670-5</w:t>
      </w:r>
      <w:r>
        <w:rPr>
          <w:rFonts w:ascii="Calibri" w:cs="Calibri" w:eastAsia="Calibri" w:hAnsi="Calibri"/>
          <w:color w:val="5B6770"/>
          <w:sz w:val="18"/>
          <w:szCs w:val="18"/>
        </w:rPr>
        <w:t xml:space="preserve">  ·  PMID 41057332</w:t>
      </w:r>
    </w:p>
    <w:p>
      <w:pPr>
        <w:spacing w:after="110" w:line="250"/>
        <w:ind w:left="400" w:hanging="400"/>
      </w:pPr>
      <w:r>
        <w:rPr>
          <w:rFonts w:ascii="Calibri" w:cs="Calibri" w:eastAsia="Calibri" w:hAnsi="Calibri"/>
          <w:b/>
          <w:bCs/>
          <w:color w:val="1F6F8B"/>
          <w:sz w:val="18"/>
          <w:szCs w:val="18"/>
        </w:rPr>
        <w:t xml:space="preserve">14. </w:t>
      </w:r>
      <w:r>
        <w:rPr>
          <w:rFonts w:ascii="Calibri" w:cs="Calibri" w:eastAsia="Calibri" w:hAnsi="Calibri"/>
          <w:color w:val="1B2733"/>
          <w:sz w:val="18"/>
          <w:szCs w:val="18"/>
        </w:rPr>
        <w:t xml:space="preserve">de Jesus DS, Mak TCS, Wang YF, et al. </w:t>
      </w:r>
      <w:r>
        <w:rPr>
          <w:rFonts w:ascii="Calibri" w:cs="Calibri" w:eastAsia="Calibri" w:hAnsi="Calibri"/>
          <w:color w:val="1B2733"/>
          <w:sz w:val="18"/>
          <w:szCs w:val="18"/>
        </w:rPr>
        <w:t xml:space="preserve">Dysregulation of the Pdx1/Ovol2/Zeb2 axis in dedifferentiated β-cells triggers the induction of genes associated with epithelial-mesenchymal transition in diabetes. </w:t>
      </w:r>
      <w:r>
        <w:rPr>
          <w:rFonts w:ascii="Calibri" w:cs="Calibri" w:eastAsia="Calibri" w:hAnsi="Calibri"/>
          <w:i/>
          <w:iCs/>
          <w:color w:val="1B2733"/>
          <w:sz w:val="18"/>
          <w:szCs w:val="18"/>
        </w:rPr>
        <w:t xml:space="preserve">Mol Metab. 2021;53:101248. </w:t>
      </w:r>
      <w:r>
        <w:rPr>
          <w:rFonts w:ascii="Calibri" w:cs="Calibri" w:eastAsia="Calibri" w:hAnsi="Calibri"/>
          <w:color w:val="1F6F8B"/>
          <w:sz w:val="18"/>
          <w:szCs w:val="18"/>
        </w:rPr>
        <w:t xml:space="preserve">doi:10.1016/j.molmet.2021.101248</w:t>
      </w:r>
      <w:r>
        <w:rPr>
          <w:rFonts w:ascii="Calibri" w:cs="Calibri" w:eastAsia="Calibri" w:hAnsi="Calibri"/>
          <w:color w:val="5B6770"/>
          <w:sz w:val="18"/>
          <w:szCs w:val="18"/>
        </w:rPr>
        <w:t xml:space="preserve">  ·  PMID 33989778</w:t>
      </w:r>
    </w:p>
    <w:p>
      <w:pPr>
        <w:spacing w:after="110" w:line="250"/>
        <w:ind w:left="400" w:hanging="400"/>
      </w:pPr>
      <w:r>
        <w:rPr>
          <w:rFonts w:ascii="Calibri" w:cs="Calibri" w:eastAsia="Calibri" w:hAnsi="Calibri"/>
          <w:b/>
          <w:bCs/>
          <w:color w:val="1F6F8B"/>
          <w:sz w:val="18"/>
          <w:szCs w:val="18"/>
        </w:rPr>
        <w:t xml:space="preserve">15. </w:t>
      </w:r>
      <w:r>
        <w:rPr>
          <w:rFonts w:ascii="Calibri" w:cs="Calibri" w:eastAsia="Calibri" w:hAnsi="Calibri"/>
          <w:color w:val="1B2733"/>
          <w:sz w:val="18"/>
          <w:szCs w:val="18"/>
        </w:rPr>
        <w:t xml:space="preserve">Xu Y, Tang Z, Dai H, et al. </w:t>
      </w:r>
      <w:r>
        <w:rPr>
          <w:rFonts w:ascii="Calibri" w:cs="Calibri" w:eastAsia="Calibri" w:hAnsi="Calibri"/>
          <w:color w:val="1B2733"/>
          <w:sz w:val="18"/>
          <w:szCs w:val="18"/>
        </w:rPr>
        <w:t xml:space="preserve">MiR-195 promotes pancreatic β-cell dedifferentiation by targeting Mfn2 and impairing Pi3k/Akt signaling in type 2 diabetes. </w:t>
      </w:r>
      <w:r>
        <w:rPr>
          <w:rFonts w:ascii="Calibri" w:cs="Calibri" w:eastAsia="Calibri" w:hAnsi="Calibri"/>
          <w:i/>
          <w:iCs/>
          <w:color w:val="1B2733"/>
          <w:sz w:val="18"/>
          <w:szCs w:val="18"/>
        </w:rPr>
        <w:t xml:space="preserve">Obesity (Silver Spring). 2022;30(2):447–59. </w:t>
      </w:r>
      <w:r>
        <w:rPr>
          <w:rFonts w:ascii="Calibri" w:cs="Calibri" w:eastAsia="Calibri" w:hAnsi="Calibri"/>
          <w:color w:val="1F6F8B"/>
          <w:sz w:val="18"/>
          <w:szCs w:val="18"/>
        </w:rPr>
        <w:t xml:space="preserve">doi:10.1002/oby.23360</w:t>
      </w:r>
      <w:r>
        <w:rPr>
          <w:rFonts w:ascii="Calibri" w:cs="Calibri" w:eastAsia="Calibri" w:hAnsi="Calibri"/>
          <w:color w:val="5B6770"/>
          <w:sz w:val="18"/>
          <w:szCs w:val="18"/>
        </w:rPr>
        <w:t xml:space="preserve">  ·  PMID 35088561</w:t>
      </w:r>
    </w:p>
    <w:p>
      <w:pPr>
        <w:spacing w:after="110" w:line="250"/>
        <w:ind w:left="400" w:hanging="400"/>
      </w:pPr>
      <w:r>
        <w:rPr>
          <w:rFonts w:ascii="Calibri" w:cs="Calibri" w:eastAsia="Calibri" w:hAnsi="Calibri"/>
          <w:b/>
          <w:bCs/>
          <w:color w:val="1F6F8B"/>
          <w:sz w:val="18"/>
          <w:szCs w:val="18"/>
        </w:rPr>
        <w:t xml:space="preserve">16. </w:t>
      </w:r>
      <w:r>
        <w:rPr>
          <w:rFonts w:ascii="Calibri" w:cs="Calibri" w:eastAsia="Calibri" w:hAnsi="Calibri"/>
          <w:color w:val="1B2733"/>
          <w:sz w:val="18"/>
          <w:szCs w:val="18"/>
        </w:rPr>
        <w:t xml:space="preserve">Wang L, Liu T, Liang R, et al. </w:t>
      </w:r>
      <w:r>
        <w:rPr>
          <w:rFonts w:ascii="Calibri" w:cs="Calibri" w:eastAsia="Calibri" w:hAnsi="Calibri"/>
          <w:color w:val="1B2733"/>
          <w:sz w:val="18"/>
          <w:szCs w:val="18"/>
        </w:rPr>
        <w:t xml:space="preserve">Mesenchymal stem cells ameliorate β cell dysfunction of human type 2 diabetic islets by reversing β cell dedifferentiation. </w:t>
      </w:r>
      <w:r>
        <w:rPr>
          <w:rFonts w:ascii="Calibri" w:cs="Calibri" w:eastAsia="Calibri" w:hAnsi="Calibri"/>
          <w:i/>
          <w:iCs/>
          <w:color w:val="1B2733"/>
          <w:sz w:val="18"/>
          <w:szCs w:val="18"/>
        </w:rPr>
        <w:t xml:space="preserve">EBioMedicine. 2020;51:102615. </w:t>
      </w:r>
      <w:r>
        <w:rPr>
          <w:rFonts w:ascii="Calibri" w:cs="Calibri" w:eastAsia="Calibri" w:hAnsi="Calibri"/>
          <w:color w:val="1F6F8B"/>
          <w:sz w:val="18"/>
          <w:szCs w:val="18"/>
        </w:rPr>
        <w:t xml:space="preserve">doi:10.1016/j.ebiom.2019.102615</w:t>
      </w:r>
      <w:r>
        <w:rPr>
          <w:rFonts w:ascii="Calibri" w:cs="Calibri" w:eastAsia="Calibri" w:hAnsi="Calibri"/>
          <w:color w:val="5B6770"/>
          <w:sz w:val="18"/>
          <w:szCs w:val="18"/>
        </w:rPr>
        <w:t xml:space="preserve">  ·  PMID 31918404</w:t>
      </w:r>
    </w:p>
    <w:p>
      <w:pPr>
        <w:spacing w:after="110" w:line="250"/>
        <w:ind w:left="400" w:hanging="400"/>
      </w:pPr>
      <w:r>
        <w:rPr>
          <w:rFonts w:ascii="Calibri" w:cs="Calibri" w:eastAsia="Calibri" w:hAnsi="Calibri"/>
          <w:b/>
          <w:bCs/>
          <w:color w:val="1F6F8B"/>
          <w:sz w:val="18"/>
          <w:szCs w:val="18"/>
        </w:rPr>
        <w:t xml:space="preserve">17. </w:t>
      </w:r>
      <w:r>
        <w:rPr>
          <w:rFonts w:ascii="Calibri" w:cs="Calibri" w:eastAsia="Calibri" w:hAnsi="Calibri"/>
          <w:color w:val="1B2733"/>
          <w:sz w:val="18"/>
          <w:szCs w:val="18"/>
        </w:rPr>
        <w:t xml:space="preserve">Taylor R, Al-Mrabeh A, Zhyzhneuskaya S, et al. </w:t>
      </w:r>
      <w:r>
        <w:rPr>
          <w:rFonts w:ascii="Calibri" w:cs="Calibri" w:eastAsia="Calibri" w:hAnsi="Calibri"/>
          <w:color w:val="1B2733"/>
          <w:sz w:val="18"/>
          <w:szCs w:val="18"/>
        </w:rPr>
        <w:t xml:space="preserve">Remission of human type 2 diabetes requires decrease in liver and pancreas fat content but is dependent upon capacity for β cell recovery. </w:t>
      </w:r>
      <w:r>
        <w:rPr>
          <w:rFonts w:ascii="Calibri" w:cs="Calibri" w:eastAsia="Calibri" w:hAnsi="Calibri"/>
          <w:i/>
          <w:iCs/>
          <w:color w:val="1B2733"/>
          <w:sz w:val="18"/>
          <w:szCs w:val="18"/>
        </w:rPr>
        <w:t xml:space="preserve">Cell Metab. 2018;28(4):547–556.e3. </w:t>
      </w:r>
      <w:r>
        <w:rPr>
          <w:rFonts w:ascii="Calibri" w:cs="Calibri" w:eastAsia="Calibri" w:hAnsi="Calibri"/>
          <w:color w:val="1F6F8B"/>
          <w:sz w:val="18"/>
          <w:szCs w:val="18"/>
        </w:rPr>
        <w:t xml:space="preserve">doi:10.1016/j.cmet.2018.07.003</w:t>
      </w:r>
      <w:r>
        <w:rPr>
          <w:rFonts w:ascii="Calibri" w:cs="Calibri" w:eastAsia="Calibri" w:hAnsi="Calibri"/>
          <w:color w:val="5B6770"/>
          <w:sz w:val="18"/>
          <w:szCs w:val="18"/>
        </w:rPr>
        <w:t xml:space="preserve">  ·  PMID 30078554</w:t>
      </w:r>
    </w:p>
    <w:p>
      <w:pPr>
        <w:spacing w:after="110" w:line="250"/>
        <w:ind w:left="400" w:hanging="400"/>
      </w:pPr>
      <w:r>
        <w:rPr>
          <w:rFonts w:ascii="Calibri" w:cs="Calibri" w:eastAsia="Calibri" w:hAnsi="Calibri"/>
          <w:b/>
          <w:bCs/>
          <w:color w:val="1F6F8B"/>
          <w:sz w:val="18"/>
          <w:szCs w:val="18"/>
        </w:rPr>
        <w:t xml:space="preserve">18. </w:t>
      </w:r>
      <w:r>
        <w:rPr>
          <w:rFonts w:ascii="Calibri" w:cs="Calibri" w:eastAsia="Calibri" w:hAnsi="Calibri"/>
          <w:color w:val="1B2733"/>
          <w:sz w:val="18"/>
          <w:szCs w:val="18"/>
        </w:rPr>
        <w:t xml:space="preserve">Gottmann P, Speckmann T, Stadion M, et al. </w:t>
      </w:r>
      <w:r>
        <w:rPr>
          <w:rFonts w:ascii="Calibri" w:cs="Calibri" w:eastAsia="Calibri" w:hAnsi="Calibri"/>
          <w:color w:val="1B2733"/>
          <w:sz w:val="18"/>
          <w:szCs w:val="18"/>
        </w:rPr>
        <w:t xml:space="preserve">Heterogeneous development of β-cell populations in diabetes-resistant and -susceptible mice. </w:t>
      </w:r>
      <w:r>
        <w:rPr>
          <w:rFonts w:ascii="Calibri" w:cs="Calibri" w:eastAsia="Calibri" w:hAnsi="Calibri"/>
          <w:i/>
          <w:iCs/>
          <w:color w:val="1B2733"/>
          <w:sz w:val="18"/>
          <w:szCs w:val="18"/>
        </w:rPr>
        <w:t xml:space="preserve">Diabetes. 2022;71(9):1962–78. </w:t>
      </w:r>
      <w:r>
        <w:rPr>
          <w:rFonts w:ascii="Calibri" w:cs="Calibri" w:eastAsia="Calibri" w:hAnsi="Calibri"/>
          <w:color w:val="1F6F8B"/>
          <w:sz w:val="18"/>
          <w:szCs w:val="18"/>
        </w:rPr>
        <w:t xml:space="preserve">doi:10.2337/db21-1030</w:t>
      </w:r>
      <w:r>
        <w:rPr>
          <w:rFonts w:ascii="Calibri" w:cs="Calibri" w:eastAsia="Calibri" w:hAnsi="Calibri"/>
          <w:color w:val="5B6770"/>
          <w:sz w:val="18"/>
          <w:szCs w:val="18"/>
        </w:rPr>
        <w:t xml:space="preserve">  ·  PMID 35771990</w:t>
      </w:r>
    </w:p>
    <w:p>
      <w:pPr>
        <w:spacing w:after="110" w:line="250"/>
        <w:ind w:left="400" w:hanging="400"/>
      </w:pPr>
      <w:r>
        <w:rPr>
          <w:rFonts w:ascii="Calibri" w:cs="Calibri" w:eastAsia="Calibri" w:hAnsi="Calibri"/>
          <w:b/>
          <w:bCs/>
          <w:color w:val="1F6F8B"/>
          <w:sz w:val="18"/>
          <w:szCs w:val="18"/>
        </w:rPr>
        <w:t xml:space="preserve">19. </w:t>
      </w:r>
      <w:r>
        <w:rPr>
          <w:rFonts w:ascii="Calibri" w:cs="Calibri" w:eastAsia="Calibri" w:hAnsi="Calibri"/>
          <w:color w:val="1B2733"/>
          <w:sz w:val="18"/>
          <w:szCs w:val="18"/>
        </w:rPr>
        <w:t xml:space="preserve">Hunter CS, Stein RW. </w:t>
      </w:r>
      <w:r>
        <w:rPr>
          <w:rFonts w:ascii="Calibri" w:cs="Calibri" w:eastAsia="Calibri" w:hAnsi="Calibri"/>
          <w:color w:val="1B2733"/>
          <w:sz w:val="18"/>
          <w:szCs w:val="18"/>
        </w:rPr>
        <w:t xml:space="preserve">Evidence for loss in identity, de-differentiation, and trans-differentiation of islet β-cells in type 2 diabetes. </w:t>
      </w:r>
      <w:r>
        <w:rPr>
          <w:rFonts w:ascii="Calibri" w:cs="Calibri" w:eastAsia="Calibri" w:hAnsi="Calibri"/>
          <w:i/>
          <w:iCs/>
          <w:color w:val="1B2733"/>
          <w:sz w:val="18"/>
          <w:szCs w:val="18"/>
        </w:rPr>
        <w:t xml:space="preserve">Front Genet. 2017;8:35. </w:t>
      </w:r>
      <w:r>
        <w:rPr>
          <w:rFonts w:ascii="Calibri" w:cs="Calibri" w:eastAsia="Calibri" w:hAnsi="Calibri"/>
          <w:color w:val="1F6F8B"/>
          <w:sz w:val="18"/>
          <w:szCs w:val="18"/>
        </w:rPr>
        <w:t xml:space="preserve">doi:10.3389/fgene.2017.00035</w:t>
      </w:r>
      <w:r>
        <w:rPr>
          <w:rFonts w:ascii="Calibri" w:cs="Calibri" w:eastAsia="Calibri" w:hAnsi="Calibri"/>
          <w:color w:val="5B6770"/>
          <w:sz w:val="18"/>
          <w:szCs w:val="18"/>
        </w:rPr>
        <w:t xml:space="preserve">  ·  PMID 28424732</w:t>
      </w:r>
    </w:p>
    <w:p>
      <w:pPr>
        <w:spacing w:after="110" w:line="250"/>
        <w:ind w:left="400" w:hanging="400"/>
      </w:pPr>
      <w:r>
        <w:rPr>
          <w:rFonts w:ascii="Calibri" w:cs="Calibri" w:eastAsia="Calibri" w:hAnsi="Calibri"/>
          <w:b/>
          <w:bCs/>
          <w:color w:val="1F6F8B"/>
          <w:sz w:val="18"/>
          <w:szCs w:val="18"/>
        </w:rPr>
        <w:t xml:space="preserve">20. </w:t>
      </w:r>
      <w:r>
        <w:rPr>
          <w:rFonts w:ascii="Calibri" w:cs="Calibri" w:eastAsia="Calibri" w:hAnsi="Calibri"/>
          <w:color w:val="1B2733"/>
          <w:sz w:val="18"/>
          <w:szCs w:val="18"/>
        </w:rPr>
        <w:t xml:space="preserve">Remedi MS, Emfinger C. </w:t>
      </w:r>
      <w:r>
        <w:rPr>
          <w:rFonts w:ascii="Calibri" w:cs="Calibri" w:eastAsia="Calibri" w:hAnsi="Calibri"/>
          <w:color w:val="1B2733"/>
          <w:sz w:val="18"/>
          <w:szCs w:val="18"/>
        </w:rPr>
        <w:t xml:space="preserve">Pancreatic β-cell identity in diabetes. </w:t>
      </w:r>
      <w:r>
        <w:rPr>
          <w:rFonts w:ascii="Calibri" w:cs="Calibri" w:eastAsia="Calibri" w:hAnsi="Calibri"/>
          <w:i/>
          <w:iCs/>
          <w:color w:val="1B2733"/>
          <w:sz w:val="18"/>
          <w:szCs w:val="18"/>
        </w:rPr>
        <w:t xml:space="preserve">Diabetes Obes Metab. 2016;18 Suppl 1:110–6. </w:t>
      </w:r>
      <w:r>
        <w:rPr>
          <w:rFonts w:ascii="Calibri" w:cs="Calibri" w:eastAsia="Calibri" w:hAnsi="Calibri"/>
          <w:color w:val="1F6F8B"/>
          <w:sz w:val="18"/>
          <w:szCs w:val="18"/>
        </w:rPr>
        <w:t xml:space="preserve">doi:10.1111/dom.12727</w:t>
      </w:r>
      <w:r>
        <w:rPr>
          <w:rFonts w:ascii="Calibri" w:cs="Calibri" w:eastAsia="Calibri" w:hAnsi="Calibri"/>
          <w:color w:val="5B6770"/>
          <w:sz w:val="18"/>
          <w:szCs w:val="18"/>
        </w:rPr>
        <w:t xml:space="preserve">  ·  PMID 27615139</w:t>
      </w:r>
    </w:p>
    <w:p>
      <w:pPr>
        <w:spacing w:after="110" w:line="250"/>
        <w:ind w:left="400" w:hanging="400"/>
      </w:pPr>
      <w:r>
        <w:rPr>
          <w:rFonts w:ascii="Calibri" w:cs="Calibri" w:eastAsia="Calibri" w:hAnsi="Calibri"/>
          <w:b/>
          <w:bCs/>
          <w:color w:val="1F6F8B"/>
          <w:sz w:val="18"/>
          <w:szCs w:val="18"/>
        </w:rPr>
        <w:t xml:space="preserve">21. </w:t>
      </w:r>
      <w:r>
        <w:rPr>
          <w:rFonts w:ascii="Calibri" w:cs="Calibri" w:eastAsia="Calibri" w:hAnsi="Calibri"/>
          <w:color w:val="1B2733"/>
          <w:sz w:val="18"/>
          <w:szCs w:val="18"/>
        </w:rPr>
        <w:t xml:space="preserve">Watanabe H, Asahara SI, Son J, et al. </w:t>
      </w:r>
      <w:r>
        <w:rPr>
          <w:rFonts w:ascii="Calibri" w:cs="Calibri" w:eastAsia="Calibri" w:hAnsi="Calibri"/>
          <w:color w:val="1B2733"/>
          <w:sz w:val="18"/>
          <w:szCs w:val="18"/>
        </w:rPr>
        <w:t xml:space="preserve">Cyb5r3 activation rescues secondary failure to sulfonylurea but not β-cell dedifferentiation. </w:t>
      </w:r>
      <w:r>
        <w:rPr>
          <w:rFonts w:ascii="Calibri" w:cs="Calibri" w:eastAsia="Calibri" w:hAnsi="Calibri"/>
          <w:i/>
          <w:iCs/>
          <w:color w:val="1B2733"/>
          <w:sz w:val="18"/>
          <w:szCs w:val="18"/>
        </w:rPr>
        <w:t xml:space="preserve">PLoS One. 2024;19(2):e0297555. </w:t>
      </w:r>
      <w:r>
        <w:rPr>
          <w:rFonts w:ascii="Calibri" w:cs="Calibri" w:eastAsia="Calibri" w:hAnsi="Calibri"/>
          <w:color w:val="1F6F8B"/>
          <w:sz w:val="18"/>
          <w:szCs w:val="18"/>
        </w:rPr>
        <w:t xml:space="preserve">doi:10.1371/journal.pone.0297555</w:t>
      </w:r>
      <w:r>
        <w:rPr>
          <w:rFonts w:ascii="Calibri" w:cs="Calibri" w:eastAsia="Calibri" w:hAnsi="Calibri"/>
          <w:color w:val="5B6770"/>
          <w:sz w:val="18"/>
          <w:szCs w:val="18"/>
        </w:rPr>
        <w:t xml:space="preserve">  ·  PMID 38335173</w:t>
      </w:r>
    </w:p>
    <w:p>
      <w:pPr>
        <w:spacing w:after="110" w:line="250"/>
        <w:ind w:left="400" w:hanging="400"/>
      </w:pPr>
      <w:r>
        <w:rPr>
          <w:rFonts w:ascii="Calibri" w:cs="Calibri" w:eastAsia="Calibri" w:hAnsi="Calibri"/>
          <w:b/>
          <w:bCs/>
          <w:color w:val="1F6F8B"/>
          <w:sz w:val="18"/>
          <w:szCs w:val="18"/>
        </w:rPr>
        <w:t xml:space="preserve">22. </w:t>
      </w:r>
      <w:r>
        <w:rPr>
          <w:rFonts w:ascii="Calibri" w:cs="Calibri" w:eastAsia="Calibri" w:hAnsi="Calibri"/>
          <w:color w:val="1B2733"/>
          <w:sz w:val="18"/>
          <w:szCs w:val="18"/>
        </w:rPr>
        <w:t xml:space="preserve">Iwasaki K, Carapeto P, Abarca C, et al. </w:t>
      </w:r>
      <w:r>
        <w:rPr>
          <w:rFonts w:ascii="Calibri" w:cs="Calibri" w:eastAsia="Calibri" w:hAnsi="Calibri"/>
          <w:color w:val="1B2733"/>
          <w:sz w:val="18"/>
          <w:szCs w:val="18"/>
        </w:rPr>
        <w:t xml:space="preserve">A human and mouse subpopulation of senescent β-cells induces pathologic dysfunction through targetable paracrine signaling. </w:t>
      </w:r>
      <w:r>
        <w:rPr>
          <w:rFonts w:ascii="Calibri" w:cs="Calibri" w:eastAsia="Calibri" w:hAnsi="Calibri"/>
          <w:i/>
          <w:iCs/>
          <w:color w:val="1B2733"/>
          <w:sz w:val="18"/>
          <w:szCs w:val="18"/>
        </w:rPr>
        <w:t xml:space="preserve">bioRxiv [preprint, not peer reviewed]. 2025;2025.05.07.648438. </w:t>
      </w:r>
      <w:r>
        <w:rPr>
          <w:rFonts w:ascii="Calibri" w:cs="Calibri" w:eastAsia="Calibri" w:hAnsi="Calibri"/>
          <w:color w:val="1F6F8B"/>
          <w:sz w:val="18"/>
          <w:szCs w:val="18"/>
        </w:rPr>
        <w:t xml:space="preserve">doi:10.1101/2025.05.07.648438</w:t>
      </w:r>
      <w:r>
        <w:rPr>
          <w:rFonts w:ascii="Calibri" w:cs="Calibri" w:eastAsia="Calibri" w:hAnsi="Calibri"/>
          <w:color w:val="5B6770"/>
          <w:sz w:val="18"/>
          <w:szCs w:val="18"/>
        </w:rPr>
        <w:t xml:space="preserve">  ·  PMID 40654723</w:t>
      </w:r>
    </w:p>
    <w:p>
      <w:pPr>
        <w:spacing w:after="110" w:line="250"/>
        <w:ind w:left="400" w:hanging="400"/>
      </w:pPr>
      <w:r>
        <w:rPr>
          <w:rFonts w:ascii="Calibri" w:cs="Calibri" w:eastAsia="Calibri" w:hAnsi="Calibri"/>
          <w:b/>
          <w:bCs/>
          <w:color w:val="1F6F8B"/>
          <w:sz w:val="18"/>
          <w:szCs w:val="18"/>
        </w:rPr>
        <w:t xml:space="preserve">23. </w:t>
      </w:r>
      <w:r>
        <w:rPr>
          <w:rFonts w:ascii="Calibri" w:cs="Calibri" w:eastAsia="Calibri" w:hAnsi="Calibri"/>
          <w:color w:val="1B2733"/>
          <w:sz w:val="18"/>
          <w:szCs w:val="18"/>
        </w:rPr>
        <w:t xml:space="preserve">Lorente ABL, Vazquez S, Iwasaki K, et al. </w:t>
      </w:r>
      <w:r>
        <w:rPr>
          <w:rFonts w:ascii="Calibri" w:cs="Calibri" w:eastAsia="Calibri" w:hAnsi="Calibri"/>
          <w:color w:val="1B2733"/>
          <w:sz w:val="18"/>
          <w:szCs w:val="18"/>
        </w:rPr>
        <w:t xml:space="preserve">TM4SF1 is a surface marker of senescent pancreatic β-cells. </w:t>
      </w:r>
      <w:r>
        <w:rPr>
          <w:rFonts w:ascii="Calibri" w:cs="Calibri" w:eastAsia="Calibri" w:hAnsi="Calibri"/>
          <w:i/>
          <w:iCs/>
          <w:color w:val="1B2733"/>
          <w:sz w:val="18"/>
          <w:szCs w:val="18"/>
        </w:rPr>
        <w:t xml:space="preserve">Aging (Albany NY). 2026;18(1):815–32. </w:t>
      </w:r>
      <w:r>
        <w:rPr>
          <w:rFonts w:ascii="Calibri" w:cs="Calibri" w:eastAsia="Calibri" w:hAnsi="Calibri"/>
          <w:color w:val="1F6F8B"/>
          <w:sz w:val="18"/>
          <w:szCs w:val="18"/>
        </w:rPr>
        <w:t xml:space="preserve">doi:10.18632/aging.206398</w:t>
      </w:r>
      <w:r>
        <w:rPr>
          <w:rFonts w:ascii="Calibri" w:cs="Calibri" w:eastAsia="Calibri" w:hAnsi="Calibri"/>
          <w:color w:val="5B6770"/>
          <w:sz w:val="18"/>
          <w:szCs w:val="18"/>
        </w:rPr>
        <w:t xml:space="preserve">  ·  PMID 42425712</w:t>
      </w:r>
    </w:p>
    <w:p>
      <w:pPr>
        <w:spacing w:after="110" w:line="250"/>
        <w:ind w:left="400" w:hanging="400"/>
      </w:pPr>
      <w:r>
        <w:rPr>
          <w:rFonts w:ascii="Calibri" w:cs="Calibri" w:eastAsia="Calibri" w:hAnsi="Calibri"/>
          <w:b/>
          <w:bCs/>
          <w:color w:val="1F6F8B"/>
          <w:sz w:val="18"/>
          <w:szCs w:val="18"/>
        </w:rPr>
        <w:t xml:space="preserve">24. </w:t>
      </w:r>
      <w:r>
        <w:rPr>
          <w:rFonts w:ascii="Calibri" w:cs="Calibri" w:eastAsia="Calibri" w:hAnsi="Calibri"/>
          <w:color w:val="1B2733"/>
          <w:sz w:val="18"/>
          <w:szCs w:val="18"/>
        </w:rPr>
        <w:t xml:space="preserve">Motomura K, Matsuzaka T, Shichino S, et al. </w:t>
      </w:r>
      <w:r>
        <w:rPr>
          <w:rFonts w:ascii="Calibri" w:cs="Calibri" w:eastAsia="Calibri" w:hAnsi="Calibri"/>
          <w:color w:val="1B2733"/>
          <w:sz w:val="18"/>
          <w:szCs w:val="18"/>
        </w:rPr>
        <w:t xml:space="preserve">Single-cell transcriptome profiling of pancreatic islets from early diabetic mice identifies Anxa10 for Ca2+ allostasis toward β-cell failure. </w:t>
      </w:r>
      <w:r>
        <w:rPr>
          <w:rFonts w:ascii="Calibri" w:cs="Calibri" w:eastAsia="Calibri" w:hAnsi="Calibri"/>
          <w:i/>
          <w:iCs/>
          <w:color w:val="1B2733"/>
          <w:sz w:val="18"/>
          <w:szCs w:val="18"/>
        </w:rPr>
        <w:t xml:space="preserve">Diabetes. 2024;73(1):75–92. </w:t>
      </w:r>
      <w:r>
        <w:rPr>
          <w:rFonts w:ascii="Calibri" w:cs="Calibri" w:eastAsia="Calibri" w:hAnsi="Calibri"/>
          <w:color w:val="1F6F8B"/>
          <w:sz w:val="18"/>
          <w:szCs w:val="18"/>
        </w:rPr>
        <w:t xml:space="preserve">doi:10.2337/db23-0212</w:t>
      </w:r>
      <w:r>
        <w:rPr>
          <w:rFonts w:ascii="Calibri" w:cs="Calibri" w:eastAsia="Calibri" w:hAnsi="Calibri"/>
          <w:color w:val="5B6770"/>
          <w:sz w:val="18"/>
          <w:szCs w:val="18"/>
        </w:rPr>
        <w:t xml:space="preserve">  ·  PMID 37871012</w:t>
      </w:r>
    </w:p>
    <w:p>
      <w:pPr>
        <w:spacing w:after="110" w:line="250"/>
        <w:ind w:left="400" w:hanging="400"/>
      </w:pPr>
      <w:r>
        <w:rPr>
          <w:rFonts w:ascii="Calibri" w:cs="Calibri" w:eastAsia="Calibri" w:hAnsi="Calibri"/>
          <w:b/>
          <w:bCs/>
          <w:color w:val="1F6F8B"/>
          <w:sz w:val="18"/>
          <w:szCs w:val="18"/>
        </w:rPr>
        <w:t xml:space="preserve">25. </w:t>
      </w:r>
      <w:r>
        <w:rPr>
          <w:rFonts w:ascii="Calibri" w:cs="Calibri" w:eastAsia="Calibri" w:hAnsi="Calibri"/>
          <w:color w:val="1B2733"/>
          <w:sz w:val="18"/>
          <w:szCs w:val="18"/>
        </w:rPr>
        <w:t xml:space="preserve">Wang J, Wen S, Chen M, et al. </w:t>
      </w:r>
      <w:r>
        <w:rPr>
          <w:rFonts w:ascii="Calibri" w:cs="Calibri" w:eastAsia="Calibri" w:hAnsi="Calibri"/>
          <w:color w:val="1B2733"/>
          <w:sz w:val="18"/>
          <w:szCs w:val="18"/>
        </w:rPr>
        <w:t xml:space="preserve">Regulation of endocrine cell alternative splicing revealed by single-cell RNA sequencing in type 2 diabetes pathogenesis. </w:t>
      </w:r>
      <w:r>
        <w:rPr>
          <w:rFonts w:ascii="Calibri" w:cs="Calibri" w:eastAsia="Calibri" w:hAnsi="Calibri"/>
          <w:i/>
          <w:iCs/>
          <w:color w:val="1B2733"/>
          <w:sz w:val="18"/>
          <w:szCs w:val="18"/>
        </w:rPr>
        <w:t xml:space="preserve">Commun Biol. 2024;7(1):778. </w:t>
      </w:r>
      <w:r>
        <w:rPr>
          <w:rFonts w:ascii="Calibri" w:cs="Calibri" w:eastAsia="Calibri" w:hAnsi="Calibri"/>
          <w:color w:val="1F6F8B"/>
          <w:sz w:val="18"/>
          <w:szCs w:val="18"/>
        </w:rPr>
        <w:t xml:space="preserve">doi:10.1038/s42003-024-06475-0</w:t>
      </w:r>
      <w:r>
        <w:rPr>
          <w:rFonts w:ascii="Calibri" w:cs="Calibri" w:eastAsia="Calibri" w:hAnsi="Calibri"/>
          <w:color w:val="5B6770"/>
          <w:sz w:val="18"/>
          <w:szCs w:val="18"/>
        </w:rPr>
        <w:t xml:space="preserve">  ·  PMID 38937540</w:t>
      </w:r>
    </w:p>
    <w:p>
      <w:pPr>
        <w:spacing w:after="110" w:line="250"/>
        <w:ind w:left="400" w:hanging="400"/>
      </w:pPr>
      <w:r>
        <w:rPr>
          <w:rFonts w:ascii="Calibri" w:cs="Calibri" w:eastAsia="Calibri" w:hAnsi="Calibri"/>
          <w:b/>
          <w:bCs/>
          <w:color w:val="1F6F8B"/>
          <w:sz w:val="18"/>
          <w:szCs w:val="18"/>
        </w:rPr>
        <w:t xml:space="preserve">26. </w:t>
      </w:r>
      <w:r>
        <w:rPr>
          <w:rFonts w:ascii="Calibri" w:cs="Calibri" w:eastAsia="Calibri" w:hAnsi="Calibri"/>
          <w:color w:val="1B2733"/>
          <w:sz w:val="18"/>
          <w:szCs w:val="18"/>
        </w:rPr>
        <w:t xml:space="preserve">An Y, Norris N, Li D, Gunton JE. </w:t>
      </w:r>
      <w:r>
        <w:rPr>
          <w:rFonts w:ascii="Calibri" w:cs="Calibri" w:eastAsia="Calibri" w:hAnsi="Calibri"/>
          <w:color w:val="1B2733"/>
          <w:sz w:val="18"/>
          <w:szCs w:val="18"/>
        </w:rPr>
        <w:t xml:space="preserve">βeta-cells: stress, identity, failure and diabetes. </w:t>
      </w:r>
      <w:r>
        <w:rPr>
          <w:rFonts w:ascii="Calibri" w:cs="Calibri" w:eastAsia="Calibri" w:hAnsi="Calibri"/>
          <w:i/>
          <w:iCs/>
          <w:color w:val="1B2733"/>
          <w:sz w:val="18"/>
          <w:szCs w:val="18"/>
        </w:rPr>
        <w:t xml:space="preserve">Cells. 2026;15(5):475. </w:t>
      </w:r>
      <w:r>
        <w:rPr>
          <w:rFonts w:ascii="Calibri" w:cs="Calibri" w:eastAsia="Calibri" w:hAnsi="Calibri"/>
          <w:color w:val="1F6F8B"/>
          <w:sz w:val="18"/>
          <w:szCs w:val="18"/>
        </w:rPr>
        <w:t xml:space="preserve">doi:10.3390/cells15050475</w:t>
      </w:r>
      <w:r>
        <w:rPr>
          <w:rFonts w:ascii="Calibri" w:cs="Calibri" w:eastAsia="Calibri" w:hAnsi="Calibri"/>
          <w:color w:val="5B6770"/>
          <w:sz w:val="18"/>
          <w:szCs w:val="18"/>
        </w:rPr>
        <w:t xml:space="preserve">  ·  PMID 41827908</w:t>
      </w:r>
    </w:p>
    <w:p>
      <w:pPr>
        <w:spacing w:after="110" w:line="250"/>
        <w:ind w:left="400" w:hanging="400"/>
      </w:pPr>
      <w:r>
        <w:rPr>
          <w:rFonts w:ascii="Calibri" w:cs="Calibri" w:eastAsia="Calibri" w:hAnsi="Calibri"/>
          <w:b/>
          <w:bCs/>
          <w:color w:val="1F6F8B"/>
          <w:sz w:val="18"/>
          <w:szCs w:val="18"/>
        </w:rPr>
        <w:t xml:space="preserve">27. </w:t>
      </w:r>
      <w:r>
        <w:rPr>
          <w:rFonts w:ascii="Calibri" w:cs="Calibri" w:eastAsia="Calibri" w:hAnsi="Calibri"/>
          <w:color w:val="1B2733"/>
          <w:sz w:val="18"/>
          <w:szCs w:val="18"/>
        </w:rPr>
        <w:t xml:space="preserve">Collier JJ, Batdorf HM, Merrifield KL, et al. </w:t>
      </w:r>
      <w:r>
        <w:rPr>
          <w:rFonts w:ascii="Calibri" w:cs="Calibri" w:eastAsia="Calibri" w:hAnsi="Calibri"/>
          <w:color w:val="1B2733"/>
          <w:sz w:val="18"/>
          <w:szCs w:val="18"/>
        </w:rPr>
        <w:t xml:space="preserve">Pioglitazone reverses markers of islet beta-cell de-differentiation in db/db mice while modulating expression of genes controlling inflammation and browning in white adipose tissue from insulin-resistant mice and humans. </w:t>
      </w:r>
      <w:r>
        <w:rPr>
          <w:rFonts w:ascii="Calibri" w:cs="Calibri" w:eastAsia="Calibri" w:hAnsi="Calibri"/>
          <w:i/>
          <w:iCs/>
          <w:color w:val="1B2733"/>
          <w:sz w:val="18"/>
          <w:szCs w:val="18"/>
        </w:rPr>
        <w:t xml:space="preserve">Biomedicines. 2021;9(9):1189. </w:t>
      </w:r>
      <w:r>
        <w:rPr>
          <w:rFonts w:ascii="Calibri" w:cs="Calibri" w:eastAsia="Calibri" w:hAnsi="Calibri"/>
          <w:color w:val="1F6F8B"/>
          <w:sz w:val="18"/>
          <w:szCs w:val="18"/>
        </w:rPr>
        <w:t xml:space="preserve">doi:10.3390/biomedicines9091189</w:t>
      </w:r>
      <w:r>
        <w:rPr>
          <w:rFonts w:ascii="Calibri" w:cs="Calibri" w:eastAsia="Calibri" w:hAnsi="Calibri"/>
          <w:color w:val="5B6770"/>
          <w:sz w:val="18"/>
          <w:szCs w:val="18"/>
        </w:rPr>
        <w:t xml:space="preserve">  ·  PMID 34572374</w:t>
      </w:r>
    </w:p>
    <w:p>
      <w:pPr>
        <w:spacing w:after="110" w:line="250"/>
        <w:ind w:left="400" w:hanging="400"/>
      </w:pPr>
      <w:r>
        <w:rPr>
          <w:rFonts w:ascii="Calibri" w:cs="Calibri" w:eastAsia="Calibri" w:hAnsi="Calibri"/>
          <w:b/>
          <w:bCs/>
          <w:color w:val="1F6F8B"/>
          <w:sz w:val="18"/>
          <w:szCs w:val="18"/>
        </w:rPr>
        <w:t xml:space="preserve">28. </w:t>
      </w:r>
      <w:r>
        <w:rPr>
          <w:rFonts w:ascii="Calibri" w:cs="Calibri" w:eastAsia="Calibri" w:hAnsi="Calibri"/>
          <w:color w:val="1B2733"/>
          <w:sz w:val="18"/>
          <w:szCs w:val="18"/>
        </w:rPr>
        <w:t xml:space="preserve">Gu J, Qi MX, Zhang RX, et al. </w:t>
      </w:r>
      <w:r>
        <w:rPr>
          <w:rFonts w:ascii="Calibri" w:cs="Calibri" w:eastAsia="Calibri" w:hAnsi="Calibri"/>
          <w:color w:val="1B2733"/>
          <w:sz w:val="18"/>
          <w:szCs w:val="18"/>
        </w:rPr>
        <w:t xml:space="preserve">Sidt2 inhibits islet β-cell dedifferentiation by regulating insulin secretion. </w:t>
      </w:r>
      <w:r>
        <w:rPr>
          <w:rFonts w:ascii="Calibri" w:cs="Calibri" w:eastAsia="Calibri" w:hAnsi="Calibri"/>
          <w:i/>
          <w:iCs/>
          <w:color w:val="1B2733"/>
          <w:sz w:val="18"/>
          <w:szCs w:val="18"/>
        </w:rPr>
        <w:t xml:space="preserve">J Biol Chem. 2025;301(9):110544. </w:t>
      </w:r>
      <w:r>
        <w:rPr>
          <w:rFonts w:ascii="Calibri" w:cs="Calibri" w:eastAsia="Calibri" w:hAnsi="Calibri"/>
          <w:color w:val="1F6F8B"/>
          <w:sz w:val="18"/>
          <w:szCs w:val="18"/>
        </w:rPr>
        <w:t xml:space="preserve">doi:10.1016/j.jbc.2025.110544</w:t>
      </w:r>
      <w:r>
        <w:rPr>
          <w:rFonts w:ascii="Calibri" w:cs="Calibri" w:eastAsia="Calibri" w:hAnsi="Calibri"/>
          <w:color w:val="5B6770"/>
          <w:sz w:val="18"/>
          <w:szCs w:val="18"/>
        </w:rPr>
        <w:t xml:space="preserve">  ·  PMID 40749831</w:t>
      </w:r>
    </w:p>
    <w:p>
      <w:pPr>
        <w:spacing w:after="110" w:line="250"/>
        <w:ind w:left="400" w:hanging="400"/>
      </w:pPr>
      <w:r>
        <w:rPr>
          <w:rFonts w:ascii="Calibri" w:cs="Calibri" w:eastAsia="Calibri" w:hAnsi="Calibri"/>
          <w:b/>
          <w:bCs/>
          <w:color w:val="1F6F8B"/>
          <w:sz w:val="18"/>
          <w:szCs w:val="18"/>
        </w:rPr>
        <w:t xml:space="preserve">29. </w:t>
      </w:r>
      <w:r>
        <w:rPr>
          <w:rFonts w:ascii="Calibri" w:cs="Calibri" w:eastAsia="Calibri" w:hAnsi="Calibri"/>
          <w:color w:val="1B2733"/>
          <w:sz w:val="18"/>
          <w:szCs w:val="18"/>
        </w:rPr>
        <w:t xml:space="preserve">Shi D, Wang X, Zhao Y, et al. </w:t>
      </w:r>
      <w:r>
        <w:rPr>
          <w:rFonts w:ascii="Calibri" w:cs="Calibri" w:eastAsia="Calibri" w:hAnsi="Calibri"/>
          <w:color w:val="1B2733"/>
          <w:sz w:val="18"/>
          <w:szCs w:val="18"/>
        </w:rPr>
        <w:t xml:space="preserve">Di-(2-ethylhexyl) phthalate exposure disrupts glucose homeostasis through inhibition of PI3K/Akt/FoxO1 pathway triggering β-cell dedifferentiation in male rats. </w:t>
      </w:r>
      <w:r>
        <w:rPr>
          <w:rFonts w:ascii="Calibri" w:cs="Calibri" w:eastAsia="Calibri" w:hAnsi="Calibri"/>
          <w:i/>
          <w:iCs/>
          <w:color w:val="1B2733"/>
          <w:sz w:val="18"/>
          <w:szCs w:val="18"/>
        </w:rPr>
        <w:t xml:space="preserve">Toxicology. 2025;519:154311. </w:t>
      </w:r>
      <w:r>
        <w:rPr>
          <w:rFonts w:ascii="Calibri" w:cs="Calibri" w:eastAsia="Calibri" w:hAnsi="Calibri"/>
          <w:color w:val="1F6F8B"/>
          <w:sz w:val="18"/>
          <w:szCs w:val="18"/>
        </w:rPr>
        <w:t xml:space="preserve">doi:10.1016/j.tox.2025.154311</w:t>
      </w:r>
      <w:r>
        <w:rPr>
          <w:rFonts w:ascii="Calibri" w:cs="Calibri" w:eastAsia="Calibri" w:hAnsi="Calibri"/>
          <w:color w:val="5B6770"/>
          <w:sz w:val="18"/>
          <w:szCs w:val="18"/>
        </w:rPr>
        <w:t xml:space="preserve">  ·  PMID 41101618</w:t>
      </w:r>
    </w:p>
    <w:p>
      <w:pPr>
        <w:spacing w:after="110" w:line="250"/>
        <w:ind w:left="400" w:hanging="400"/>
      </w:pPr>
      <w:r>
        <w:rPr>
          <w:rFonts w:ascii="Calibri" w:cs="Calibri" w:eastAsia="Calibri" w:hAnsi="Calibri"/>
          <w:b/>
          <w:bCs/>
          <w:color w:val="1F6F8B"/>
          <w:sz w:val="18"/>
          <w:szCs w:val="18"/>
        </w:rPr>
        <w:t xml:space="preserve">30. </w:t>
      </w:r>
      <w:r>
        <w:rPr>
          <w:rFonts w:ascii="Calibri" w:cs="Calibri" w:eastAsia="Calibri" w:hAnsi="Calibri"/>
          <w:color w:val="1B2733"/>
          <w:sz w:val="18"/>
          <w:szCs w:val="18"/>
        </w:rPr>
        <w:t xml:space="preserve">Ramos-Jiménez A, Rubio-Valles M, Guereca-Arvizuo J, et al. </w:t>
      </w:r>
      <w:r>
        <w:rPr>
          <w:rFonts w:ascii="Calibri" w:cs="Calibri" w:eastAsia="Calibri" w:hAnsi="Calibri"/>
          <w:color w:val="1B2733"/>
          <w:sz w:val="18"/>
          <w:szCs w:val="18"/>
        </w:rPr>
        <w:t xml:space="preserve">TUDCA and 4-PBA in preclinical models of beta-cell secretory failure: a systematic review and Bayesian meta-analysis. </w:t>
      </w:r>
      <w:r>
        <w:rPr>
          <w:rFonts w:ascii="Calibri" w:cs="Calibri" w:eastAsia="Calibri" w:hAnsi="Calibri"/>
          <w:i/>
          <w:iCs/>
          <w:color w:val="1B2733"/>
          <w:sz w:val="18"/>
          <w:szCs w:val="18"/>
        </w:rPr>
        <w:t xml:space="preserve">Int J Mol Sci. 2026;27(16):7267. </w:t>
      </w:r>
      <w:r>
        <w:rPr>
          <w:rFonts w:ascii="Calibri" w:cs="Calibri" w:eastAsia="Calibri" w:hAnsi="Calibri"/>
          <w:color w:val="1F6F8B"/>
          <w:sz w:val="18"/>
          <w:szCs w:val="18"/>
        </w:rPr>
        <w:t xml:space="preserve">doi:10.3390/ijms27167267</w:t>
      </w:r>
      <w:r>
        <w:rPr>
          <w:rFonts w:ascii="Calibri" w:cs="Calibri" w:eastAsia="Calibri" w:hAnsi="Calibri"/>
          <w:color w:val="5B6770"/>
          <w:sz w:val="18"/>
          <w:szCs w:val="18"/>
        </w:rPr>
        <w:t xml:space="preserve">  ·  PMID 42653271</w:t>
      </w:r>
    </w:p>
    <w:p>
      <w:pPr>
        <w:spacing w:after="110" w:line="250"/>
        <w:ind w:left="400" w:hanging="400"/>
      </w:pPr>
      <w:r>
        <w:rPr>
          <w:rFonts w:ascii="Calibri" w:cs="Calibri" w:eastAsia="Calibri" w:hAnsi="Calibri"/>
          <w:b/>
          <w:bCs/>
          <w:color w:val="1F6F8B"/>
          <w:sz w:val="18"/>
          <w:szCs w:val="18"/>
        </w:rPr>
        <w:t xml:space="preserve">31. </w:t>
      </w:r>
      <w:r>
        <w:rPr>
          <w:rFonts w:ascii="Calibri" w:cs="Calibri" w:eastAsia="Calibri" w:hAnsi="Calibri"/>
          <w:color w:val="1B2733"/>
          <w:sz w:val="18"/>
          <w:szCs w:val="18"/>
        </w:rPr>
        <w:t xml:space="preserve">Al Madhoun A, Bahman F, Ahmad R. </w:t>
      </w:r>
      <w:r>
        <w:rPr>
          <w:rFonts w:ascii="Calibri" w:cs="Calibri" w:eastAsia="Calibri" w:hAnsi="Calibri"/>
          <w:color w:val="1B2733"/>
          <w:sz w:val="18"/>
          <w:szCs w:val="18"/>
        </w:rPr>
        <w:t xml:space="preserve">β-cell dedifferentiation in type 2 diabetes: interplay of metabolic stress, endoplasmic reticulum dysfunction, and forkhead box protein O1 inhibition. </w:t>
      </w:r>
      <w:r>
        <w:rPr>
          <w:rFonts w:ascii="Calibri" w:cs="Calibri" w:eastAsia="Calibri" w:hAnsi="Calibri"/>
          <w:i/>
          <w:iCs/>
          <w:color w:val="1B2733"/>
          <w:sz w:val="18"/>
          <w:szCs w:val="18"/>
        </w:rPr>
        <w:t xml:space="preserve">World J Diabetes. 2025;16(9):109274. </w:t>
      </w:r>
      <w:r>
        <w:rPr>
          <w:rFonts w:ascii="Calibri" w:cs="Calibri" w:eastAsia="Calibri" w:hAnsi="Calibri"/>
          <w:color w:val="1F6F8B"/>
          <w:sz w:val="18"/>
          <w:szCs w:val="18"/>
        </w:rPr>
        <w:t xml:space="preserve">doi:10.4239/wjd.v16.i9.109274</w:t>
      </w:r>
      <w:r>
        <w:rPr>
          <w:rFonts w:ascii="Calibri" w:cs="Calibri" w:eastAsia="Calibri" w:hAnsi="Calibri"/>
          <w:color w:val="5B6770"/>
          <w:sz w:val="18"/>
          <w:szCs w:val="18"/>
        </w:rPr>
        <w:t xml:space="preserve">  ·  PMID 40980299</w:t>
      </w:r>
    </w:p>
    <w:p>
      <w:pPr>
        <w:spacing w:after="110" w:line="250"/>
        <w:ind w:left="400" w:hanging="400"/>
      </w:pPr>
      <w:r>
        <w:rPr>
          <w:rFonts w:ascii="Calibri" w:cs="Calibri" w:eastAsia="Calibri" w:hAnsi="Calibri"/>
          <w:b/>
          <w:bCs/>
          <w:color w:val="1F6F8B"/>
          <w:sz w:val="18"/>
          <w:szCs w:val="18"/>
        </w:rPr>
        <w:t xml:space="preserve">32. </w:t>
      </w:r>
      <w:r>
        <w:rPr>
          <w:rFonts w:ascii="Calibri" w:cs="Calibri" w:eastAsia="Calibri" w:hAnsi="Calibri"/>
          <w:color w:val="1B2733"/>
          <w:sz w:val="18"/>
          <w:szCs w:val="18"/>
        </w:rPr>
        <w:t xml:space="preserve">Dahiya R, Singh AP, Rawat A. </w:t>
      </w:r>
      <w:r>
        <w:rPr>
          <w:rFonts w:ascii="Calibri" w:cs="Calibri" w:eastAsia="Calibri" w:hAnsi="Calibri"/>
          <w:color w:val="1B2733"/>
          <w:sz w:val="18"/>
          <w:szCs w:val="18"/>
        </w:rPr>
        <w:t xml:space="preserve">Immunometabolic reprogramming and β-cell dedifferentiation: integrated mechanisms driving type 2 diabetes progression. </w:t>
      </w:r>
      <w:r>
        <w:rPr>
          <w:rFonts w:ascii="Calibri" w:cs="Calibri" w:eastAsia="Calibri" w:hAnsi="Calibri"/>
          <w:i/>
          <w:iCs/>
          <w:color w:val="1B2733"/>
          <w:sz w:val="18"/>
          <w:szCs w:val="18"/>
        </w:rPr>
        <w:t xml:space="preserve">Diabetes Res Clin Pract. 2026;232:113111. </w:t>
      </w:r>
      <w:r>
        <w:rPr>
          <w:rFonts w:ascii="Calibri" w:cs="Calibri" w:eastAsia="Calibri" w:hAnsi="Calibri"/>
          <w:color w:val="1F6F8B"/>
          <w:sz w:val="18"/>
          <w:szCs w:val="18"/>
        </w:rPr>
        <w:t xml:space="preserve">doi:10.1016/j.diabres.2026.113111</w:t>
      </w:r>
      <w:r>
        <w:rPr>
          <w:rFonts w:ascii="Calibri" w:cs="Calibri" w:eastAsia="Calibri" w:hAnsi="Calibri"/>
          <w:color w:val="5B6770"/>
          <w:sz w:val="18"/>
          <w:szCs w:val="18"/>
        </w:rPr>
        <w:t xml:space="preserve">  ·  PMID 41564941</w:t>
      </w:r>
    </w:p>
    <w:p>
      <w:pPr>
        <w:spacing w:after="110" w:line="250"/>
        <w:ind w:left="400" w:hanging="400"/>
      </w:pPr>
      <w:r>
        <w:rPr>
          <w:rFonts w:ascii="Calibri" w:cs="Calibri" w:eastAsia="Calibri" w:hAnsi="Calibri"/>
          <w:b/>
          <w:bCs/>
          <w:color w:val="1F6F8B"/>
          <w:sz w:val="18"/>
          <w:szCs w:val="18"/>
        </w:rPr>
        <w:t xml:space="preserve">33. </w:t>
      </w:r>
      <w:r>
        <w:rPr>
          <w:rFonts w:ascii="Calibri" w:cs="Calibri" w:eastAsia="Calibri" w:hAnsi="Calibri"/>
          <w:color w:val="1B2733"/>
          <w:sz w:val="18"/>
          <w:szCs w:val="18"/>
        </w:rPr>
        <w:t xml:space="preserve">Kluth O, Mirhashemi F, Scherneck S, et al. </w:t>
      </w:r>
      <w:r>
        <w:rPr>
          <w:rFonts w:ascii="Calibri" w:cs="Calibri" w:eastAsia="Calibri" w:hAnsi="Calibri"/>
          <w:color w:val="1B2733"/>
          <w:sz w:val="18"/>
          <w:szCs w:val="18"/>
        </w:rPr>
        <w:t xml:space="preserve">Dissociation of lipotoxicity and glucotoxicity in a mouse model of obesity associated diabetes: role of forkhead box O1 (FOXO1) in glucose-induced beta cell failure. </w:t>
      </w:r>
      <w:r>
        <w:rPr>
          <w:rFonts w:ascii="Calibri" w:cs="Calibri" w:eastAsia="Calibri" w:hAnsi="Calibri"/>
          <w:i/>
          <w:iCs/>
          <w:color w:val="1B2733"/>
          <w:sz w:val="18"/>
          <w:szCs w:val="18"/>
        </w:rPr>
        <w:t xml:space="preserve">Diabetologia. 2011;54(3):605–16. </w:t>
      </w:r>
      <w:r>
        <w:rPr>
          <w:rFonts w:ascii="Calibri" w:cs="Calibri" w:eastAsia="Calibri" w:hAnsi="Calibri"/>
          <w:color w:val="1F6F8B"/>
          <w:sz w:val="18"/>
          <w:szCs w:val="18"/>
        </w:rPr>
        <w:t xml:space="preserve">doi:10.1007/s00125-010-1973-8</w:t>
      </w:r>
      <w:r>
        <w:rPr>
          <w:rFonts w:ascii="Calibri" w:cs="Calibri" w:eastAsia="Calibri" w:hAnsi="Calibri"/>
          <w:color w:val="5B6770"/>
          <w:sz w:val="18"/>
          <w:szCs w:val="18"/>
        </w:rPr>
        <w:t xml:space="preserve">  ·  PMID 21107520</w:t>
      </w:r>
    </w:p>
    <w:p>
      <w:pPr>
        <w:pStyle w:val="Heading2"/>
        <w:spacing w:after="120" w:before="260"/>
      </w:pPr>
      <w:r>
        <w:rPr>
          <w:rFonts w:ascii="Calibri" w:cs="Calibri" w:eastAsia="Calibri" w:hAnsi="Calibri"/>
          <w:b/>
          <w:bCs/>
          <w:color w:val="1F6F8B"/>
          <w:sz w:val="24"/>
          <w:szCs w:val="24"/>
        </w:rPr>
        <w:t xml:space="preserve">Registry records</w:t>
      </w:r>
    </w:p>
    <w:p>
      <w:pPr>
        <w:spacing w:after="140" w:line="276"/>
        <w:jc w:val="both"/>
      </w:pPr>
      <w:r>
        <w:rPr>
          <w:rFonts w:ascii="Calibri" w:cs="Calibri" w:eastAsia="Calibri" w:hAnsi="Calibri"/>
          <w:color w:val="1B2733"/>
          <w:sz w:val="18"/>
          <w:szCs w:val="18"/>
        </w:rPr>
        <w:t xml:space="preserve">Clinical study records in Table 4 were retrieved from the ClinicalTrials.gov registry (U.S. National Library of Medicine) and are identified by NCT number: NCT00775684, NCT00845182, NCT01394510, NCT03038373, NCT04135287, NCT04782999, NCT05295160, NCT07574138. Each record is available at https://clinicaltrials.gov/study/&lt;NCT number&gt;.</w:t>
      </w:r>
    </w:p>
    <w:p>
      <w:pPr>
        <w:pStyle w:val="Heading2"/>
        <w:spacing w:after="120" w:before="260"/>
      </w:pPr>
      <w:r>
        <w:rPr>
          <w:rFonts w:ascii="Calibri" w:cs="Calibri" w:eastAsia="Calibri" w:hAnsi="Calibri"/>
          <w:b/>
          <w:bCs/>
          <w:color w:val="1F6F8B"/>
          <w:sz w:val="24"/>
          <w:szCs w:val="24"/>
        </w:rPr>
        <w:t xml:space="preserve">Source attribution</w:t>
      </w:r>
    </w:p>
    <w:p>
      <w:pPr>
        <w:spacing w:after="140" w:line="276"/>
        <w:jc w:val="both"/>
      </w:pPr>
      <w:r>
        <w:rPr>
          <w:rFonts w:ascii="Calibri" w:cs="Calibri" w:eastAsia="Calibri" w:hAnsi="Calibri"/>
          <w:color w:val="1B2733"/>
          <w:sz w:val="18"/>
          <w:szCs w:val="18"/>
        </w:rPr>
        <w:t xml:space="preserve">Bibliographic records, abstracts and full texts underlying this review were retrieved from PubMed and PubMed Central (U.S. National Library of Medicine). All DOI identifiers listed above resolve via https://doi.org/. Reference 22 is a bioRxiv preprint that has not undergone peer review and is labelled as such in the reference list and at the point of citation. Figures 2 and 3 replot numerical data published in the cited sources; Figure 1 is an original schematic synthesising mechanisms from multiple cited sources.</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8271c90974f918229e02bd737b31d37a8d435f8.png"/><Relationship Id="rId9" Type="http://schemas.openxmlformats.org/officeDocument/2006/relationships/image" Target="media/6f14027c87d6385c3fcf853d59d217feeeb163ea.png"/><Relationship Id="rId10" Type="http://schemas.openxmlformats.org/officeDocument/2006/relationships/image" Target="media/64db84152abe499835dfb8b0101329adf16382d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β-Cell Dedifferentiation and the Loss of Islet Cell Identity in Type 2 Diabetes</dc:title>
  <dc:creator>Weekly science review</dc:creator>
  <dc:description>Mechanisms, human evidence, and the therapeutic case for redifferentiation</dc:description>
  <cp:lastModifiedBy>Un-named</cp:lastModifiedBy>
  <cp:revision>1</cp:revision>
  <dcterms:created xsi:type="dcterms:W3CDTF">2026-10-12T08:23:55.257Z</dcterms:created>
  <dcterms:modified xsi:type="dcterms:W3CDTF">2026-10-12T08:23:55.257Z</dcterms:modified>
</cp:coreProperties>
</file>

<file path=docProps/custom.xml><?xml version="1.0" encoding="utf-8"?>
<Properties xmlns="http://schemas.openxmlformats.org/officeDocument/2006/custom-properties" xmlns:vt="http://schemas.openxmlformats.org/officeDocument/2006/docPropsVTypes"/>
</file>