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F3B5C"/>
          <w:sz w:val="34"/>
          <w:szCs w:val="34"/>
        </w:rPr>
        <w:t xml:space="preserve">Trained Immunity: How BCG Vaccination Reprograms Innate Immune Memory</w:t>
      </w:r>
    </w:p>
    <w:p>
      <w:pPr>
        <w:spacing w:after="40"/>
        <w:jc w:val="center"/>
      </w:pPr>
      <w:r>
        <w:rPr>
          <w:i/>
          <w:iCs/>
          <w:color w:val="444444"/>
          <w:sz w:val="24"/>
          <w:szCs w:val="24"/>
        </w:rPr>
        <w:t xml:space="preserve">Mechanisms, Clinical Evidence, and the Case for Trained-Immunity-Based Vaccines</w:t>
      </w:r>
    </w:p>
    <w:p>
      <w:pPr>
        <w:spacing w:after="300"/>
        <w:jc w:val="center"/>
      </w:pPr>
      <w:r>
        <w:rPr>
          <w:color w:val="666666"/>
          <w:sz w:val="20"/>
          <w:szCs w:val="20"/>
        </w:rPr>
        <w:t xml:space="preserve">A Scientific Review — August 2026</w:t>
      </w:r>
    </w:p>
    <w:p>
      <w:pPr>
        <w:pStyle w:val="Heading2"/>
        <w:spacing w:after="120" w:before="260"/>
      </w:pPr>
      <w:r>
        <w:t xml:space="preserve">Abstract</w:t>
      </w:r>
    </w:p>
    <w:p>
      <w:pPr>
        <w:spacing w:after="160" w:line="276"/>
      </w:pPr>
      <w:r>
        <w:rPr>
          <w:sz w:val="22"/>
          <w:szCs w:val="22"/>
        </w:rPr>
        <w:t xml:space="preserve">For most of the twentieth century, immunological memory was considered the exclusive province of B and T lymphocytes. This view has been overturned by two decades of work showing that innate immune cells — monocytes, macrophages, natural killer (NK) cells, and neutrophils, together with their bone-marrow progenitors — can also “remember” a prior microbial encounter and respond more vigorously to a second, even unrelated, challenge. This phenomenon, termed trained immunity, is best characterized in the context of the Bacillus Calmette-Guérin (BCG) tuberculosis vaccine, whose non-specific, disease-reducing effects on child mortality were noted as early as the 1920s but only mechanistically explained beginning in 2011. This review synthesizes the historical evidence for BCG's heterologous effects, the epigenetic (histone H3K4/H3K27 modification) and metabolic (glycolysis-favoring Akt–mTOR–HIF-1α signaling) reprogramming events that underlie training at the level of mature monocytes and bone-marrow hematopoietic stem and progenitor cells, and the clinical trial evidence for BCG-induced protection against heterologous viral infection, including a randomized yellow-fever challenge study and multiple COVID-19 trials. We also discuss the double-edged nature of trained immunity, including its exploitation in bladder cancer immunotherapy versus its potential contribution to chronic inflammatory disease and altered pregnancy outcomes in animal models, and close with open questions guiding the design of next-generation trained-immunity-based vaccines (TIbV).</w:t>
      </w:r>
    </w:p>
    <w:p>
      <w:pPr>
        <w:pStyle w:val="Heading1"/>
        <w:spacing w:after="160" w:before="320"/>
      </w:pPr>
      <w:r>
        <w:t xml:space="preserve">1. Introduction: A Second Kind of Immunological Memory</w:t>
      </w:r>
    </w:p>
    <w:p>
      <w:pPr>
        <w:spacing w:after="160" w:line="276"/>
      </w:pPr>
      <w:r>
        <w:rPr>
          <w:sz w:val="22"/>
          <w:szCs w:val="22"/>
        </w:rPr>
        <w:t xml:space="preserve">Vertebrate immunity is classically divided into two arms. Adaptive immunity, carried out by B and T lymphocytes bearing somatically rearranged antigen receptors, is slow to develop on first encounter but generates long-lived, antigen-specific memory cells that mount a faster and larger response upon re-exposure to the same pathogen — the principle underlying essentially all conventional vaccines. Innate immunity, by contrast, has long been viewed as a rapid but non-specific first line of defense mediated by germline-encoded pattern-recognition receptors (PRRs) such as Toll-like receptors (TLRs) and NOD-like receptors, with no capacity to “learn” from past infections [1].</w:t>
      </w:r>
    </w:p>
    <w:p>
      <w:pPr>
        <w:spacing w:after="160" w:line="276"/>
      </w:pPr>
      <w:r>
        <w:rPr>
          <w:sz w:val="22"/>
          <w:szCs w:val="22"/>
        </w:rPr>
        <w:t xml:space="preserve">This dichotomy began to erode when epidemiologists observed that some live-attenuated vaccines — most notably BCG, but also measles and oral polio vaccines — reduce all-cause childhood mortality by more than can be explained by protection against their target pathogens alone [10]. As early as 1928, Pearl reported a lower incidence of cancer among tuberculosis patients at autopsy, and by the 1960s multiple groups had shown that BCG-infected animals resisted unrelated pathogens through mechanisms independent of T and B lymphocytes [1]. These “non-specific effects” (NSEs) resisted mechanistic explanation for decades. In a landmark 2012 study, Kleinnijenhuis and colleagues demonstrated that BCG vaccination in healthy human volunteers durably increased monocyte cytokine responses to unrelated bacterial and fungal stimuli via NOD2 receptor engagement and histone H3 lysine 4 trimethylation (H3K4me3), coining the modern concept of “trained immunity” [7]. This review traces the biological mechanisms that have since been elucidated, the clinical evidence for and against BCG's heterologous protective effects, and the translational effort now underway to design vaccines that deliberately harness this innate memory.</w:t>
      </w:r>
    </w:p>
    <w:p>
      <w:pPr>
        <w:pStyle w:val="Heading1"/>
        <w:spacing w:after="160" w:before="320"/>
      </w:pPr>
      <w:r>
        <w:t xml:space="preserve">2. Historical Background</w:t>
      </w:r>
    </w:p>
    <w:p>
      <w:pPr>
        <w:spacing w:after="160" w:line="276"/>
      </w:pPr>
      <w:r>
        <w:rPr>
          <w:sz w:val="22"/>
          <w:szCs w:val="22"/>
        </w:rPr>
        <w:t xml:space="preserve">The chronology below (Table 1), reconstructed from the historical account in Chen et al. (2023) [1], illustrates how epidemiological observation preceded mechanistic understanding by nearly a century.</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300"/>
        <w:gridCol w:w="7100"/>
      </w:tblGrid>
      <w:tr>
        <w:trPr>
          <w:tblHeader/>
        </w:trPr>
        <w:tc>
          <w:tcPr>
            <w:tcW w:type="dxa" w:w="1300"/>
            <w:shd w:fill="1F3B5C" w:val="clear"/>
            <w:tcMar>
              <w:top w:type="dxa" w:w="90"/>
              <w:left w:type="dxa" w:w="100"/>
              <w:bottom w:type="dxa" w:w="90"/>
              <w:right w:type="dxa" w:w="100"/>
            </w:tcMar>
          </w:tcPr>
          <w:p>
            <w:r>
              <w:rPr>
                <w:b/>
                <w:bCs/>
                <w:color w:val="FFFFFF"/>
                <w:sz w:val="19"/>
                <w:szCs w:val="19"/>
              </w:rPr>
              <w:t xml:space="preserve">Year(s)</w:t>
            </w:r>
          </w:p>
        </w:tc>
        <w:tc>
          <w:tcPr>
            <w:tcW w:type="dxa" w:w="7100"/>
            <w:shd w:fill="1F3B5C" w:val="clear"/>
            <w:tcMar>
              <w:top w:type="dxa" w:w="90"/>
              <w:left w:type="dxa" w:w="100"/>
              <w:bottom w:type="dxa" w:w="90"/>
              <w:right w:type="dxa" w:w="100"/>
            </w:tcMar>
          </w:tcPr>
          <w:p>
            <w:r>
              <w:rPr>
                <w:b/>
                <w:bCs/>
                <w:color w:val="FFFFFF"/>
                <w:sz w:val="19"/>
                <w:szCs w:val="19"/>
              </w:rPr>
              <w:t xml:space="preserve">Milestone</w:t>
            </w:r>
          </w:p>
        </w:tc>
      </w:tr>
      <w:tr>
        <w:tc>
          <w:tcPr>
            <w:tcW w:type="dxa" w:w="1300"/>
            <w:shd w:fill="F2F5F9" w:val="clear"/>
            <w:tcMar>
              <w:top w:type="dxa" w:w="90"/>
              <w:left w:type="dxa" w:w="100"/>
              <w:bottom w:type="dxa" w:w="90"/>
              <w:right w:type="dxa" w:w="100"/>
            </w:tcMar>
          </w:tcPr>
          <w:p>
            <w:r>
              <w:rPr>
                <w:sz w:val="19"/>
                <w:szCs w:val="19"/>
              </w:rPr>
              <w:t xml:space="preserve">1908–1921</w:t>
            </w:r>
          </w:p>
        </w:tc>
        <w:tc>
          <w:tcPr>
            <w:tcW w:type="dxa" w:w="7100"/>
            <w:shd w:fill="F2F5F9" w:val="clear"/>
            <w:tcMar>
              <w:top w:type="dxa" w:w="90"/>
              <w:left w:type="dxa" w:w="100"/>
              <w:bottom w:type="dxa" w:w="90"/>
              <w:right w:type="dxa" w:w="100"/>
            </w:tcMar>
          </w:tcPr>
          <w:p>
            <w:r>
              <w:rPr>
                <w:sz w:val="19"/>
                <w:szCs w:val="19"/>
              </w:rPr>
              <w:t xml:space="preserve">Calmette and Guérin serially passage Mycobacterium bovis at the Pasteur Institute, producing the attenuated BCG strain; first human administration occurs in Paris in 1921.</w:t>
            </w:r>
          </w:p>
        </w:tc>
      </w:tr>
      <w:tr>
        <w:tc>
          <w:tcPr>
            <w:tcW w:type="dxa" w:w="1300"/>
            <w:shd w:fill="FFFFFF" w:val="clear"/>
            <w:tcMar>
              <w:top w:type="dxa" w:w="90"/>
              <w:left w:type="dxa" w:w="100"/>
              <w:bottom w:type="dxa" w:w="90"/>
              <w:right w:type="dxa" w:w="100"/>
            </w:tcMar>
          </w:tcPr>
          <w:p>
            <w:r>
              <w:rPr>
                <w:sz w:val="19"/>
                <w:szCs w:val="19"/>
              </w:rPr>
              <w:t xml:space="preserve">1928</w:t>
            </w:r>
          </w:p>
        </w:tc>
        <w:tc>
          <w:tcPr>
            <w:tcW w:type="dxa" w:w="7100"/>
            <w:shd w:fill="FFFFFF" w:val="clear"/>
            <w:tcMar>
              <w:top w:type="dxa" w:w="90"/>
              <w:left w:type="dxa" w:w="100"/>
              <w:bottom w:type="dxa" w:w="90"/>
              <w:right w:type="dxa" w:w="100"/>
            </w:tcMar>
          </w:tcPr>
          <w:p>
            <w:r>
              <w:rPr>
                <w:sz w:val="19"/>
                <w:szCs w:val="19"/>
              </w:rPr>
              <w:t xml:space="preserve">Pearl reports reduced cancer incidence at autopsy among tuberculosis patients, an early hint of BCG's broader immunomodulatory potential.</w:t>
            </w:r>
          </w:p>
        </w:tc>
      </w:tr>
      <w:tr>
        <w:tc>
          <w:tcPr>
            <w:tcW w:type="dxa" w:w="1300"/>
            <w:shd w:fill="F2F5F9" w:val="clear"/>
            <w:tcMar>
              <w:top w:type="dxa" w:w="90"/>
              <w:left w:type="dxa" w:w="100"/>
              <w:bottom w:type="dxa" w:w="90"/>
              <w:right w:type="dxa" w:w="100"/>
            </w:tcMar>
          </w:tcPr>
          <w:p>
            <w:r>
              <w:rPr>
                <w:sz w:val="19"/>
                <w:szCs w:val="19"/>
              </w:rPr>
              <w:t xml:space="preserve">1959–1976</w:t>
            </w:r>
          </w:p>
        </w:tc>
        <w:tc>
          <w:tcPr>
            <w:tcW w:type="dxa" w:w="7100"/>
            <w:shd w:fill="F2F5F9" w:val="clear"/>
            <w:tcMar>
              <w:top w:type="dxa" w:w="90"/>
              <w:left w:type="dxa" w:w="100"/>
              <w:bottom w:type="dxa" w:w="90"/>
              <w:right w:type="dxa" w:w="100"/>
            </w:tcMar>
          </w:tcPr>
          <w:p>
            <w:r>
              <w:rPr>
                <w:sz w:val="19"/>
                <w:szCs w:val="19"/>
              </w:rPr>
              <w:t xml:space="preserve">Old and colleagues demonstrate BCG's anti-tumor activity (1959); Morales and colleagues pioneer intravesical BCG for superficial bladder cancer (1976), still standard of care today.</w:t>
            </w:r>
          </w:p>
        </w:tc>
      </w:tr>
      <w:tr>
        <w:tc>
          <w:tcPr>
            <w:tcW w:type="dxa" w:w="1300"/>
            <w:shd w:fill="FFFFFF" w:val="clear"/>
            <w:tcMar>
              <w:top w:type="dxa" w:w="90"/>
              <w:left w:type="dxa" w:w="100"/>
              <w:bottom w:type="dxa" w:w="90"/>
              <w:right w:type="dxa" w:w="100"/>
            </w:tcMar>
          </w:tcPr>
          <w:p>
            <w:r>
              <w:rPr>
                <w:sz w:val="19"/>
                <w:szCs w:val="19"/>
              </w:rPr>
              <w:t xml:space="preserve">1964–1988</w:t>
            </w:r>
          </w:p>
        </w:tc>
        <w:tc>
          <w:tcPr>
            <w:tcW w:type="dxa" w:w="7100"/>
            <w:shd w:fill="FFFFFF" w:val="clear"/>
            <w:tcMar>
              <w:top w:type="dxa" w:w="90"/>
              <w:left w:type="dxa" w:w="100"/>
              <w:bottom w:type="dxa" w:w="90"/>
              <w:right w:type="dxa" w:w="100"/>
            </w:tcMar>
          </w:tcPr>
          <w:p>
            <w:r>
              <w:rPr>
                <w:sz w:val="19"/>
                <w:szCs w:val="19"/>
              </w:rPr>
              <w:t xml:space="preserve">MacKaness and later Bistoni describe T- and B-lymphocyte-independent “cross-protection” conferred by BCG and other pathogens against unrelated microbes in athymic mice.</w:t>
            </w:r>
          </w:p>
        </w:tc>
      </w:tr>
      <w:tr>
        <w:tc>
          <w:tcPr>
            <w:tcW w:type="dxa" w:w="1300"/>
            <w:shd w:fill="F2F5F9" w:val="clear"/>
            <w:tcMar>
              <w:top w:type="dxa" w:w="90"/>
              <w:left w:type="dxa" w:w="100"/>
              <w:bottom w:type="dxa" w:w="90"/>
              <w:right w:type="dxa" w:w="100"/>
            </w:tcMar>
          </w:tcPr>
          <w:p>
            <w:r>
              <w:rPr>
                <w:sz w:val="19"/>
                <w:szCs w:val="19"/>
              </w:rPr>
              <w:t xml:space="preserve">2003</w:t>
            </w:r>
          </w:p>
        </w:tc>
        <w:tc>
          <w:tcPr>
            <w:tcW w:type="dxa" w:w="7100"/>
            <w:shd w:fill="F2F5F9" w:val="clear"/>
            <w:tcMar>
              <w:top w:type="dxa" w:w="90"/>
              <w:left w:type="dxa" w:w="100"/>
              <w:bottom w:type="dxa" w:w="90"/>
              <w:right w:type="dxa" w:w="100"/>
            </w:tcMar>
          </w:tcPr>
          <w:p>
            <w:r>
              <w:rPr>
                <w:sz w:val="19"/>
                <w:szCs w:val="19"/>
              </w:rPr>
              <w:t xml:space="preserve">Garly and colleagues report that BCG vaccination in West African children reduces morbidity from infections unrelated to tuberculosis, lowering overall mortality.</w:t>
            </w:r>
          </w:p>
        </w:tc>
      </w:tr>
      <w:tr>
        <w:tc>
          <w:tcPr>
            <w:tcW w:type="dxa" w:w="1300"/>
            <w:shd w:fill="FFFFFF" w:val="clear"/>
            <w:tcMar>
              <w:top w:type="dxa" w:w="90"/>
              <w:left w:type="dxa" w:w="100"/>
              <w:bottom w:type="dxa" w:w="90"/>
              <w:right w:type="dxa" w:w="100"/>
            </w:tcMar>
          </w:tcPr>
          <w:p>
            <w:r>
              <w:rPr>
                <w:sz w:val="19"/>
                <w:szCs w:val="19"/>
              </w:rPr>
              <w:t xml:space="preserve">2011–2012</w:t>
            </w:r>
          </w:p>
        </w:tc>
        <w:tc>
          <w:tcPr>
            <w:tcW w:type="dxa" w:w="7100"/>
            <w:shd w:fill="FFFFFF" w:val="clear"/>
            <w:tcMar>
              <w:top w:type="dxa" w:w="90"/>
              <w:left w:type="dxa" w:w="100"/>
              <w:bottom w:type="dxa" w:w="90"/>
              <w:right w:type="dxa" w:w="100"/>
            </w:tcMar>
          </w:tcPr>
          <w:p>
            <w:r>
              <w:rPr>
                <w:sz w:val="19"/>
                <w:szCs w:val="19"/>
              </w:rPr>
              <w:t xml:space="preserve">Netea and colleagues formalize the concept of “trained immunity”; Kleinnijenhuis et al. show NOD2-dependent, H3K4me3-mediated epigenetic reprogramming of human monocytes after BCG vaccination [7].</w:t>
            </w:r>
          </w:p>
        </w:tc>
      </w:tr>
      <w:tr>
        <w:tc>
          <w:tcPr>
            <w:tcW w:type="dxa" w:w="1300"/>
            <w:shd w:fill="F2F5F9" w:val="clear"/>
            <w:tcMar>
              <w:top w:type="dxa" w:w="90"/>
              <w:left w:type="dxa" w:w="100"/>
              <w:bottom w:type="dxa" w:w="90"/>
              <w:right w:type="dxa" w:w="100"/>
            </w:tcMar>
          </w:tcPr>
          <w:p>
            <w:r>
              <w:rPr>
                <w:sz w:val="19"/>
                <w:szCs w:val="19"/>
              </w:rPr>
              <w:t xml:space="preserve">2014–2016</w:t>
            </w:r>
          </w:p>
        </w:tc>
        <w:tc>
          <w:tcPr>
            <w:tcW w:type="dxa" w:w="7100"/>
            <w:shd w:fill="F2F5F9" w:val="clear"/>
            <w:tcMar>
              <w:top w:type="dxa" w:w="90"/>
              <w:left w:type="dxa" w:w="100"/>
              <w:bottom w:type="dxa" w:w="90"/>
              <w:right w:type="dxa" w:w="100"/>
            </w:tcMar>
          </w:tcPr>
          <w:p>
            <w:r>
              <w:rPr>
                <w:sz w:val="19"/>
                <w:szCs w:val="19"/>
              </w:rPr>
              <w:t xml:space="preserve">Saeed et al. and Cheng et al. define the role of epigenetic and glycolytic (Akt–mTOR–HIF-1α) reprogramming, respectively, in sustaining trained monocyte phenotypes.</w:t>
            </w:r>
          </w:p>
        </w:tc>
      </w:tr>
      <w:tr>
        <w:tc>
          <w:tcPr>
            <w:tcW w:type="dxa" w:w="1300"/>
            <w:shd w:fill="FFFFFF" w:val="clear"/>
            <w:tcMar>
              <w:top w:type="dxa" w:w="90"/>
              <w:left w:type="dxa" w:w="100"/>
              <w:bottom w:type="dxa" w:w="90"/>
              <w:right w:type="dxa" w:w="100"/>
            </w:tcMar>
          </w:tcPr>
          <w:p>
            <w:r>
              <w:rPr>
                <w:sz w:val="19"/>
                <w:szCs w:val="19"/>
              </w:rPr>
              <w:t xml:space="preserve">2018</w:t>
            </w:r>
          </w:p>
        </w:tc>
        <w:tc>
          <w:tcPr>
            <w:tcW w:type="dxa" w:w="7100"/>
            <w:shd w:fill="FFFFFF" w:val="clear"/>
            <w:tcMar>
              <w:top w:type="dxa" w:w="90"/>
              <w:left w:type="dxa" w:w="100"/>
              <w:bottom w:type="dxa" w:w="90"/>
              <w:right w:type="dxa" w:w="100"/>
            </w:tcMar>
          </w:tcPr>
          <w:p>
            <w:r>
              <w:rPr>
                <w:sz w:val="19"/>
                <w:szCs w:val="19"/>
              </w:rPr>
              <w:t xml:space="preserve">Kaufmann et al. and Cirovic et al. extend training to the hematopoietic stem and progenitor cell (HSPC) compartment in bone marrow, explaining how training outlasts the days-to-weeks lifespan of mature monocytes [2,4].</w:t>
            </w:r>
          </w:p>
        </w:tc>
      </w:tr>
      <w:tr>
        <w:tc>
          <w:tcPr>
            <w:tcW w:type="dxa" w:w="1300"/>
            <w:shd w:fill="F2F5F9" w:val="clear"/>
            <w:tcMar>
              <w:top w:type="dxa" w:w="90"/>
              <w:left w:type="dxa" w:w="100"/>
              <w:bottom w:type="dxa" w:w="90"/>
              <w:right w:type="dxa" w:w="100"/>
            </w:tcMar>
          </w:tcPr>
          <w:p>
            <w:r>
              <w:rPr>
                <w:sz w:val="19"/>
                <w:szCs w:val="19"/>
              </w:rPr>
              <w:t xml:space="preserve">2020–2022</w:t>
            </w:r>
          </w:p>
        </w:tc>
        <w:tc>
          <w:tcPr>
            <w:tcW w:type="dxa" w:w="7100"/>
            <w:shd w:fill="F2F5F9" w:val="clear"/>
            <w:tcMar>
              <w:top w:type="dxa" w:w="90"/>
              <w:left w:type="dxa" w:w="100"/>
              <w:bottom w:type="dxa" w:w="90"/>
              <w:right w:type="dxa" w:w="100"/>
            </w:tcMar>
          </w:tcPr>
          <w:p>
            <w:r>
              <w:rPr>
                <w:sz w:val="19"/>
                <w:szCs w:val="19"/>
              </w:rPr>
              <w:t xml:space="preserve">Multiple randomized trials test BCG revaccination against COVID-19 in health-care workers and the elderly; Jeyanathan et al. describe a gut–lung axis for BCG-induced trained alveolar macrophages.</w:t>
            </w:r>
          </w:p>
        </w:tc>
      </w:tr>
      <w:tr>
        <w:tc>
          <w:tcPr>
            <w:tcW w:type="dxa" w:w="1300"/>
            <w:shd w:fill="FFFFFF" w:val="clear"/>
            <w:tcMar>
              <w:top w:type="dxa" w:w="90"/>
              <w:left w:type="dxa" w:w="100"/>
              <w:bottom w:type="dxa" w:w="90"/>
              <w:right w:type="dxa" w:w="100"/>
            </w:tcMar>
          </w:tcPr>
          <w:p>
            <w:r>
              <w:rPr>
                <w:sz w:val="19"/>
                <w:szCs w:val="19"/>
              </w:rPr>
              <w:t xml:space="preserve">2024</w:t>
            </w:r>
          </w:p>
        </w:tc>
        <w:tc>
          <w:tcPr>
            <w:tcW w:type="dxa" w:w="7100"/>
            <w:shd w:fill="FFFFFF" w:val="clear"/>
            <w:tcMar>
              <w:top w:type="dxa" w:w="90"/>
              <w:left w:type="dxa" w:w="100"/>
              <w:bottom w:type="dxa" w:w="90"/>
              <w:right w:type="dxa" w:w="100"/>
            </w:tcMar>
          </w:tcPr>
          <w:p>
            <w:r>
              <w:rPr>
                <w:sz w:val="19"/>
                <w:szCs w:val="19"/>
              </w:rPr>
              <w:t xml:space="preserve">Moorlag et al. perform multi-omics profiling of 323 BCG vaccinees, showing that training magnitude depends on an individual's baseline (“dormant”) immune state rather than uniformly boosting immunity.</w:t>
            </w:r>
          </w:p>
        </w:tc>
      </w:tr>
    </w:tbl>
    <w:p>
      <w:pPr>
        <w:spacing w:after="240" w:before="80"/>
      </w:pPr>
      <w:r>
        <w:rPr>
          <w:i/>
          <w:iCs/>
          <w:color w:val="444444"/>
          <w:sz w:val="19"/>
          <w:szCs w:val="19"/>
        </w:rPr>
        <w:t xml:space="preserve">Table 1. Key historical milestones in the discovery of BCG-induced trained immunity, compiled from the timeline presented in Chen et al., J Transl Med 2023 [1], supplemented with trial-specific findings from Kaufmann et al. 2018 [2], Cirovic et al. 2020 [4], and Moorlag et al. 2024 (Immunity) [15].</w:t>
      </w:r>
    </w:p>
    <w:p>
      <w:pPr>
        <w:pStyle w:val="Heading1"/>
        <w:spacing w:after="160" w:before="320"/>
      </w:pPr>
      <w:r>
        <w:t xml:space="preserve">3. Molecular Mechanisms of BCG-Induced Trained Immunity</w:t>
      </w:r>
    </w:p>
    <w:p>
      <w:pPr>
        <w:pStyle w:val="Heading2"/>
        <w:spacing w:after="120" w:before="260"/>
      </w:pPr>
      <w:r>
        <w:t xml:space="preserve">3.1 Receptor Engagement and Initial Signaling</w:t>
      </w:r>
    </w:p>
    <w:p>
      <w:pPr>
        <w:spacing w:after="160" w:line="276"/>
      </w:pPr>
      <w:r>
        <w:rPr>
          <w:sz w:val="22"/>
          <w:szCs w:val="22"/>
        </w:rPr>
        <w:t xml:space="preserve">Trained immunity is initiated when muramyl dipeptide, a peptidoglycan fragment of the mycobacterial cell wall, engages the intracellular pattern-recognition receptor NOD2 on monocytes; β-glucan from Candida albicans acts analogously through the C-type lectin receptor Dectin-1 [7,10]. Receptor engagement triggers a signaling cascade that converges on two interlinked reprogramming processes — epigenetic and metabolic — detailed below and summarized schematically in Figure 1.</w:t>
      </w:r>
    </w:p>
    <w:p>
      <w:pPr>
        <w:pStyle w:val="Heading2"/>
        <w:spacing w:after="120" w:before="260"/>
      </w:pPr>
      <w:r>
        <w:t xml:space="preserve">3.2 Epigenetic Reprogramming</w:t>
      </w:r>
    </w:p>
    <w:p>
      <w:pPr>
        <w:spacing w:after="160" w:line="276"/>
      </w:pPr>
      <w:r>
        <w:rPr>
          <w:sz w:val="22"/>
          <w:szCs w:val="22"/>
        </w:rPr>
        <w:t xml:space="preserve">BCG exposure deposits activating histone marks, chiefly H3K4me3 and H3K27 acetylation, at the promoters and enhancers of pro-inflammatory cytokine genes including TNF, IL6, and IL1B in monocytes [7]. These chromatin marks persist after the initiating stimulus has cleared and after cytokine transcription has returned to baseline, so that a subsequent, unrelated stimulus produces a faster and larger transcriptional response than in an untrained cell. Genome-wide epigenetic reprogramming of this kind has been documented directly in human volunteers following BCG vaccination, including durable changes in circulating monocytes and, separately, in neutrophils, where enhanced antimicrobial function and H3K4me3 marks persist for at least three months post-vaccination [5,6]. Trained macrophages additionally upregulate surface pattern-recognition and costimulatory molecules (TLR4, CD11b, CD14, CD40), consistent with a heightened state of activation-readiness [1].</w:t>
      </w:r>
    </w:p>
    <w:p>
      <w:pPr>
        <w:pStyle w:val="Heading2"/>
        <w:spacing w:after="120" w:before="260"/>
      </w:pPr>
      <w:r>
        <w:t xml:space="preserve">3.3 Metabolic Reprogramming</w:t>
      </w:r>
    </w:p>
    <w:p>
      <w:pPr>
        <w:spacing w:after="160" w:line="276"/>
      </w:pPr>
      <w:r>
        <w:rPr>
          <w:sz w:val="22"/>
          <w:szCs w:val="22"/>
        </w:rPr>
        <w:t xml:space="preserve">Epigenetic remodeling does not occur in isolation: it is tightly coupled to a shift in central cellular metabolism. Arts et al. showed that BCG-trained monocytes shift from oxidative phosphorylation toward aerobic glycolysis — a Warburg-like effect — through activation of the Akt–mTOR–HIF-1α axis, and that glutamine catabolism and cholesterol synthesis pathways are concurrently upregulated [1]. This is not merely a bioenergetic side effect: glycolytic and tricarboxylic-acid-cycle intermediates (e.g., acetyl-CoA, succinate) serve as direct substrates and cofactors for the histone-modifying enzymes that install the epigenetic marks described above, creating a self-reinforcing metabolic–epigenetic loop. Pharmacological or genetic inhibition of this metabolic shift (for example, with the mTOR-linked glycolysis inhibitor metformin) blunts both the histone modifications and the enhanced cytokine responses of trained monocytes, directly demonstrating the causal dependency of epigenetic training on metabolic rewiring [1].</w:t>
      </w:r>
    </w:p>
    <w:p>
      <w:pPr>
        <w:pStyle w:val="Heading2"/>
        <w:spacing w:after="120" w:before="260"/>
      </w:pPr>
      <w:r>
        <w:t xml:space="preserve">3.4 Central Training at the Hematopoietic Stem and Progenitor Cell Level</w:t>
      </w:r>
    </w:p>
    <w:p>
      <w:pPr>
        <w:spacing w:after="160" w:line="276"/>
      </w:pPr>
      <w:r>
        <w:rPr>
          <w:sz w:val="22"/>
          <w:szCs w:val="22"/>
        </w:rPr>
        <w:t xml:space="preserve">A key unresolved puzzle was how training could persist for months when mature monocytes survive in circulation for only one to three days. Kaufmann et al. resolved this in a mouse model by showing that BCG reaches the bone marrow directly, where it alters the transcriptional landscape of hematopoietic stem cells (HSCs) and multipotent progenitors (MPPs), biasing hematopoiesis toward myelopoiesis at the expense of lymphopoiesis; macrophages subsequently differentiated from these “educated” HSCs retained epigenetic reprogramming and provided superior protection against virulent Mycobacterium tuberculosis challenge compared with naïve macrophages [2]. Cirovic et al. confirmed an analogous process in human BCG vaccinees, identifying the transcription factors HNF1A and HNF1B as key regulators of a persistent myeloid transcriptional program within the HSPC compartment, corroborated by elevated granulocyte counts in BCG-vaccinated infants and by epigenetic remodeling detectable in peripheral CD14+ monocytes three months after vaccination [4]. Interestingly, training is not confined to the bone marrow–blood axis: Jeyanathan et al. demonstrated that parenteral (subcutaneous) BCG vaccination also generates long-lived, trained alveolar macrophages in the lung, but through an indirect route — mycobacterial dissemination alters the gut microbiome and circulating metabolites, which in turn reprogram tissue-resident macrophages at the distal mucosal surface (the “gut–lung axis”).</w:t>
      </w:r>
    </w:p>
    <w:p>
      <w:pPr>
        <w:spacing w:after="40" w:before="200"/>
        <w:jc w:val="center"/>
      </w:pPr>
      <w:r>
        <w:drawing>
          <wp:inline distT="0" distB="0" distL="0" distR="0">
            <wp:extent cx="55245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3619500"/>
                    </a:xfrm>
                    <a:prstGeom prst="rect">
                      <a:avLst/>
                    </a:prstGeom>
                  </pic:spPr>
                </pic:pic>
              </a:graphicData>
            </a:graphic>
          </wp:inline>
        </w:drawing>
      </w:r>
    </w:p>
    <w:p>
      <w:pPr>
        <w:spacing w:after="240" w:before="80"/>
      </w:pPr>
      <w:r>
        <w:rPr>
          <w:i/>
          <w:iCs/>
          <w:color w:val="444444"/>
          <w:sz w:val="19"/>
          <w:szCs w:val="19"/>
        </w:rPr>
        <w:t xml:space="preserve">Figure 1. Schematic overview of the mechanistic cascade linking BCG exposure to trained innate immune cell function, synthesized from the mechanisms described in Kleinnijenhuis et al., PNAS 2012 [7]; Arts et al., Cell Host Microbe 2018 [6]; Kaufmann et al., Cell 2018 [2]; Cirovic et al., Cell Host Microbe 2020 [4]; and reviewed in Chen et al., J Transl Med 2023 [1]. Diagram constructed for this review; it is an original synthesis, not a reproduction of a published figure.</w:t>
      </w:r>
    </w:p>
    <w:tbl>
      <w:tblPr>
        <w:tblW w:type="dxa" w:w="8450"/>
        <w:tblBorders>
          <w:top w:val="single" w:color="auto" w:sz="4"/>
          <w:left w:val="single" w:color="auto" w:sz="4"/>
          <w:bottom w:val="single" w:color="auto" w:sz="4"/>
          <w:right w:val="single" w:color="auto" w:sz="4"/>
          <w:insideH w:val="single" w:color="auto" w:sz="4"/>
          <w:insideV w:val="single" w:color="auto" w:sz="4"/>
        </w:tblBorders>
      </w:tblPr>
      <w:tblGrid>
        <w:gridCol w:w="1650"/>
        <w:gridCol w:w="2500"/>
        <w:gridCol w:w="2650"/>
        <w:gridCol w:w="1650"/>
      </w:tblGrid>
      <w:tr>
        <w:trPr>
          <w:tblHeader/>
        </w:trPr>
        <w:tc>
          <w:tcPr>
            <w:tcW w:type="dxa" w:w="1650"/>
            <w:shd w:fill="1F3B5C" w:val="clear"/>
            <w:tcMar>
              <w:top w:type="dxa" w:w="90"/>
              <w:left w:type="dxa" w:w="100"/>
              <w:bottom w:type="dxa" w:w="90"/>
              <w:right w:type="dxa" w:w="100"/>
            </w:tcMar>
          </w:tcPr>
          <w:p>
            <w:r>
              <w:rPr>
                <w:b/>
                <w:bCs/>
                <w:color w:val="FFFFFF"/>
                <w:sz w:val="19"/>
                <w:szCs w:val="19"/>
              </w:rPr>
              <w:t xml:space="preserve">Mechanism</w:t>
            </w:r>
          </w:p>
        </w:tc>
        <w:tc>
          <w:tcPr>
            <w:tcW w:type="dxa" w:w="2500"/>
            <w:shd w:fill="1F3B5C" w:val="clear"/>
            <w:tcMar>
              <w:top w:type="dxa" w:w="90"/>
              <w:left w:type="dxa" w:w="100"/>
              <w:bottom w:type="dxa" w:w="90"/>
              <w:right w:type="dxa" w:w="100"/>
            </w:tcMar>
          </w:tcPr>
          <w:p>
            <w:r>
              <w:rPr>
                <w:b/>
                <w:bCs/>
                <w:color w:val="FFFFFF"/>
                <w:sz w:val="19"/>
                <w:szCs w:val="19"/>
              </w:rPr>
              <w:t xml:space="preserve">Key molecular players</w:t>
            </w:r>
          </w:p>
        </w:tc>
        <w:tc>
          <w:tcPr>
            <w:tcW w:type="dxa" w:w="2650"/>
            <w:shd w:fill="1F3B5C" w:val="clear"/>
            <w:tcMar>
              <w:top w:type="dxa" w:w="90"/>
              <w:left w:type="dxa" w:w="100"/>
              <w:bottom w:type="dxa" w:w="90"/>
              <w:right w:type="dxa" w:w="100"/>
            </w:tcMar>
          </w:tcPr>
          <w:p>
            <w:r>
              <w:rPr>
                <w:b/>
                <w:bCs/>
                <w:color w:val="FFFFFF"/>
                <w:sz w:val="19"/>
                <w:szCs w:val="19"/>
              </w:rPr>
              <w:t xml:space="preserve">Functional readout</w:t>
            </w:r>
          </w:p>
        </w:tc>
        <w:tc>
          <w:tcPr>
            <w:tcW w:type="dxa" w:w="1650"/>
            <w:shd w:fill="1F3B5C" w:val="clear"/>
            <w:tcMar>
              <w:top w:type="dxa" w:w="90"/>
              <w:left w:type="dxa" w:w="100"/>
              <w:bottom w:type="dxa" w:w="90"/>
              <w:right w:type="dxa" w:w="100"/>
            </w:tcMar>
          </w:tcPr>
          <w:p>
            <w:r>
              <w:rPr>
                <w:b/>
                <w:bCs/>
                <w:color w:val="FFFFFF"/>
                <w:sz w:val="19"/>
                <w:szCs w:val="19"/>
              </w:rPr>
              <w:t xml:space="preserve">Primary source</w:t>
            </w:r>
          </w:p>
        </w:tc>
      </w:tr>
      <w:tr>
        <w:tc>
          <w:tcPr>
            <w:tcW w:type="dxa" w:w="1650"/>
            <w:shd w:fill="F2F5F9" w:val="clear"/>
            <w:tcMar>
              <w:top w:type="dxa" w:w="90"/>
              <w:left w:type="dxa" w:w="100"/>
              <w:bottom w:type="dxa" w:w="90"/>
              <w:right w:type="dxa" w:w="100"/>
            </w:tcMar>
          </w:tcPr>
          <w:p>
            <w:r>
              <w:rPr>
                <w:sz w:val="19"/>
                <w:szCs w:val="19"/>
              </w:rPr>
              <w:t xml:space="preserve">Receptor priming</w:t>
            </w:r>
          </w:p>
        </w:tc>
        <w:tc>
          <w:tcPr>
            <w:tcW w:type="dxa" w:w="2500"/>
            <w:shd w:fill="F2F5F9" w:val="clear"/>
            <w:tcMar>
              <w:top w:type="dxa" w:w="90"/>
              <w:left w:type="dxa" w:w="100"/>
              <w:bottom w:type="dxa" w:w="90"/>
              <w:right w:type="dxa" w:w="100"/>
            </w:tcMar>
          </w:tcPr>
          <w:p>
            <w:r>
              <w:rPr>
                <w:sz w:val="19"/>
                <w:szCs w:val="19"/>
              </w:rPr>
              <w:t xml:space="preserve">NOD2 (muramyl dipeptide); Dectin-1 (β-glucan)</w:t>
            </w:r>
          </w:p>
        </w:tc>
        <w:tc>
          <w:tcPr>
            <w:tcW w:type="dxa" w:w="2650"/>
            <w:shd w:fill="F2F5F9" w:val="clear"/>
            <w:tcMar>
              <w:top w:type="dxa" w:w="90"/>
              <w:left w:type="dxa" w:w="100"/>
              <w:bottom w:type="dxa" w:w="90"/>
              <w:right w:type="dxa" w:w="100"/>
            </w:tcMar>
          </w:tcPr>
          <w:p>
            <w:r>
              <w:rPr>
                <w:sz w:val="19"/>
                <w:szCs w:val="19"/>
              </w:rPr>
              <w:t xml:space="preserve">Initiation of downstream signaling in monocytes</w:t>
            </w:r>
          </w:p>
        </w:tc>
        <w:tc>
          <w:tcPr>
            <w:tcW w:type="dxa" w:w="1650"/>
            <w:shd w:fill="F2F5F9" w:val="clear"/>
            <w:tcMar>
              <w:top w:type="dxa" w:w="90"/>
              <w:left w:type="dxa" w:w="100"/>
              <w:bottom w:type="dxa" w:w="90"/>
              <w:right w:type="dxa" w:w="100"/>
            </w:tcMar>
          </w:tcPr>
          <w:p>
            <w:r>
              <w:rPr>
                <w:sz w:val="19"/>
                <w:szCs w:val="19"/>
              </w:rPr>
              <w:t xml:space="preserve">Kleinnijenhuis et al. 2012 [7]</w:t>
            </w:r>
          </w:p>
        </w:tc>
      </w:tr>
      <w:tr>
        <w:tc>
          <w:tcPr>
            <w:tcW w:type="dxa" w:w="1650"/>
            <w:shd w:fill="FFFFFF" w:val="clear"/>
            <w:tcMar>
              <w:top w:type="dxa" w:w="90"/>
              <w:left w:type="dxa" w:w="100"/>
              <w:bottom w:type="dxa" w:w="90"/>
              <w:right w:type="dxa" w:w="100"/>
            </w:tcMar>
          </w:tcPr>
          <w:p>
            <w:r>
              <w:rPr>
                <w:sz w:val="19"/>
                <w:szCs w:val="19"/>
              </w:rPr>
              <w:t xml:space="preserve">Epigenetic reprogramming</w:t>
            </w:r>
          </w:p>
        </w:tc>
        <w:tc>
          <w:tcPr>
            <w:tcW w:type="dxa" w:w="2500"/>
            <w:shd w:fill="FFFFFF" w:val="clear"/>
            <w:tcMar>
              <w:top w:type="dxa" w:w="90"/>
              <w:left w:type="dxa" w:w="100"/>
              <w:bottom w:type="dxa" w:w="90"/>
              <w:right w:type="dxa" w:w="100"/>
            </w:tcMar>
          </w:tcPr>
          <w:p>
            <w:r>
              <w:rPr>
                <w:sz w:val="19"/>
                <w:szCs w:val="19"/>
              </w:rPr>
              <w:t xml:space="preserve">H3K4me3, H3K27ac at TNF, IL6, IL1B loci</w:t>
            </w:r>
          </w:p>
        </w:tc>
        <w:tc>
          <w:tcPr>
            <w:tcW w:type="dxa" w:w="2650"/>
            <w:shd w:fill="FFFFFF" w:val="clear"/>
            <w:tcMar>
              <w:top w:type="dxa" w:w="90"/>
              <w:left w:type="dxa" w:w="100"/>
              <w:bottom w:type="dxa" w:w="90"/>
              <w:right w:type="dxa" w:w="100"/>
            </w:tcMar>
          </w:tcPr>
          <w:p>
            <w:r>
              <w:rPr>
                <w:sz w:val="19"/>
                <w:szCs w:val="19"/>
              </w:rPr>
              <w:t xml:space="preserve">Enhanced transcription of pro-inflammatory cytokines on restimulation</w:t>
            </w:r>
          </w:p>
        </w:tc>
        <w:tc>
          <w:tcPr>
            <w:tcW w:type="dxa" w:w="1650"/>
            <w:shd w:fill="FFFFFF" w:val="clear"/>
            <w:tcMar>
              <w:top w:type="dxa" w:w="90"/>
              <w:left w:type="dxa" w:w="100"/>
              <w:bottom w:type="dxa" w:w="90"/>
              <w:right w:type="dxa" w:w="100"/>
            </w:tcMar>
          </w:tcPr>
          <w:p>
            <w:r>
              <w:rPr>
                <w:sz w:val="19"/>
                <w:szCs w:val="19"/>
              </w:rPr>
              <w:t xml:space="preserve">Kleinnijenhuis et al. 2012 [7]; Moorlag et al. 2020 (neutrophils) [5]</w:t>
            </w:r>
          </w:p>
        </w:tc>
      </w:tr>
      <w:tr>
        <w:tc>
          <w:tcPr>
            <w:tcW w:type="dxa" w:w="1650"/>
            <w:shd w:fill="F2F5F9" w:val="clear"/>
            <w:tcMar>
              <w:top w:type="dxa" w:w="90"/>
              <w:left w:type="dxa" w:w="100"/>
              <w:bottom w:type="dxa" w:w="90"/>
              <w:right w:type="dxa" w:w="100"/>
            </w:tcMar>
          </w:tcPr>
          <w:p>
            <w:r>
              <w:rPr>
                <w:sz w:val="19"/>
                <w:szCs w:val="19"/>
              </w:rPr>
              <w:t xml:space="preserve">Metabolic reprogramming</w:t>
            </w:r>
          </w:p>
        </w:tc>
        <w:tc>
          <w:tcPr>
            <w:tcW w:type="dxa" w:w="2500"/>
            <w:shd w:fill="F2F5F9" w:val="clear"/>
            <w:tcMar>
              <w:top w:type="dxa" w:w="90"/>
              <w:left w:type="dxa" w:w="100"/>
              <w:bottom w:type="dxa" w:w="90"/>
              <w:right w:type="dxa" w:w="100"/>
            </w:tcMar>
          </w:tcPr>
          <w:p>
            <w:r>
              <w:rPr>
                <w:sz w:val="19"/>
                <w:szCs w:val="19"/>
              </w:rPr>
              <w:t xml:space="preserve">Akt–mTOR–HIF-1α; glycolysis &gt; OXPHOS</w:t>
            </w:r>
          </w:p>
        </w:tc>
        <w:tc>
          <w:tcPr>
            <w:tcW w:type="dxa" w:w="2650"/>
            <w:shd w:fill="F2F5F9" w:val="clear"/>
            <w:tcMar>
              <w:top w:type="dxa" w:w="90"/>
              <w:left w:type="dxa" w:w="100"/>
              <w:bottom w:type="dxa" w:w="90"/>
              <w:right w:type="dxa" w:w="100"/>
            </w:tcMar>
          </w:tcPr>
          <w:p>
            <w:r>
              <w:rPr>
                <w:sz w:val="19"/>
                <w:szCs w:val="19"/>
              </w:rPr>
              <w:t xml:space="preserve">Substrate supply for histone-modifying enzymes; sustained trained phenotype</w:t>
            </w:r>
          </w:p>
        </w:tc>
        <w:tc>
          <w:tcPr>
            <w:tcW w:type="dxa" w:w="1650"/>
            <w:shd w:fill="F2F5F9" w:val="clear"/>
            <w:tcMar>
              <w:top w:type="dxa" w:w="90"/>
              <w:left w:type="dxa" w:w="100"/>
              <w:bottom w:type="dxa" w:w="90"/>
              <w:right w:type="dxa" w:w="100"/>
            </w:tcMar>
          </w:tcPr>
          <w:p>
            <w:r>
              <w:rPr>
                <w:sz w:val="19"/>
                <w:szCs w:val="19"/>
              </w:rPr>
              <w:t xml:space="preserve">Chen et al. 2023 (review) [1]</w:t>
            </w:r>
          </w:p>
        </w:tc>
      </w:tr>
      <w:tr>
        <w:tc>
          <w:tcPr>
            <w:tcW w:type="dxa" w:w="1650"/>
            <w:shd w:fill="FFFFFF" w:val="clear"/>
            <w:tcMar>
              <w:top w:type="dxa" w:w="90"/>
              <w:left w:type="dxa" w:w="100"/>
              <w:bottom w:type="dxa" w:w="90"/>
              <w:right w:type="dxa" w:w="100"/>
            </w:tcMar>
          </w:tcPr>
          <w:p>
            <w:r>
              <w:rPr>
                <w:sz w:val="19"/>
                <w:szCs w:val="19"/>
              </w:rPr>
              <w:t xml:space="preserve">Central (HSPC) training</w:t>
            </w:r>
          </w:p>
        </w:tc>
        <w:tc>
          <w:tcPr>
            <w:tcW w:type="dxa" w:w="2500"/>
            <w:shd w:fill="FFFFFF" w:val="clear"/>
            <w:tcMar>
              <w:top w:type="dxa" w:w="90"/>
              <w:left w:type="dxa" w:w="100"/>
              <w:bottom w:type="dxa" w:w="90"/>
              <w:right w:type="dxa" w:w="100"/>
            </w:tcMar>
          </w:tcPr>
          <w:p>
            <w:r>
              <w:rPr>
                <w:sz w:val="19"/>
                <w:szCs w:val="19"/>
              </w:rPr>
              <w:t xml:space="preserve">HNF1A/HNF1B; myeloid-biased transcriptome</w:t>
            </w:r>
          </w:p>
        </w:tc>
        <w:tc>
          <w:tcPr>
            <w:tcW w:type="dxa" w:w="2650"/>
            <w:shd w:fill="FFFFFF" w:val="clear"/>
            <w:tcMar>
              <w:top w:type="dxa" w:w="90"/>
              <w:left w:type="dxa" w:w="100"/>
              <w:bottom w:type="dxa" w:w="90"/>
              <w:right w:type="dxa" w:w="100"/>
            </w:tcMar>
          </w:tcPr>
          <w:p>
            <w:r>
              <w:rPr>
                <w:sz w:val="19"/>
                <w:szCs w:val="19"/>
              </w:rPr>
              <w:t xml:space="preserve">Long-term, self-renewing supply of trained monocytes/granulocytes</w:t>
            </w:r>
          </w:p>
        </w:tc>
        <w:tc>
          <w:tcPr>
            <w:tcW w:type="dxa" w:w="1650"/>
            <w:shd w:fill="FFFFFF" w:val="clear"/>
            <w:tcMar>
              <w:top w:type="dxa" w:w="90"/>
              <w:left w:type="dxa" w:w="100"/>
              <w:bottom w:type="dxa" w:w="90"/>
              <w:right w:type="dxa" w:w="100"/>
            </w:tcMar>
          </w:tcPr>
          <w:p>
            <w:r>
              <w:rPr>
                <w:sz w:val="19"/>
                <w:szCs w:val="19"/>
              </w:rPr>
              <w:t xml:space="preserve">Kaufmann et al. 2018 [2]; Cirovic et al. 2020 [4]</w:t>
            </w:r>
          </w:p>
        </w:tc>
      </w:tr>
      <w:tr>
        <w:tc>
          <w:tcPr>
            <w:tcW w:type="dxa" w:w="1650"/>
            <w:shd w:fill="F2F5F9" w:val="clear"/>
            <w:tcMar>
              <w:top w:type="dxa" w:w="90"/>
              <w:left w:type="dxa" w:w="100"/>
              <w:bottom w:type="dxa" w:w="90"/>
              <w:right w:type="dxa" w:w="100"/>
            </w:tcMar>
          </w:tcPr>
          <w:p>
            <w:r>
              <w:rPr>
                <w:sz w:val="19"/>
                <w:szCs w:val="19"/>
              </w:rPr>
              <w:t xml:space="preserve">Mucosal/tissue training</w:t>
            </w:r>
          </w:p>
        </w:tc>
        <w:tc>
          <w:tcPr>
            <w:tcW w:type="dxa" w:w="2500"/>
            <w:shd w:fill="F2F5F9" w:val="clear"/>
            <w:tcMar>
              <w:top w:type="dxa" w:w="90"/>
              <w:left w:type="dxa" w:w="100"/>
              <w:bottom w:type="dxa" w:w="90"/>
              <w:right w:type="dxa" w:w="100"/>
            </w:tcMar>
          </w:tcPr>
          <w:p>
            <w:r>
              <w:rPr>
                <w:sz w:val="19"/>
                <w:szCs w:val="19"/>
              </w:rPr>
              <w:t xml:space="preserve">Gut microbiome &amp; metabolite shifts</w:t>
            </w:r>
          </w:p>
        </w:tc>
        <w:tc>
          <w:tcPr>
            <w:tcW w:type="dxa" w:w="2650"/>
            <w:shd w:fill="F2F5F9" w:val="clear"/>
            <w:tcMar>
              <w:top w:type="dxa" w:w="90"/>
              <w:left w:type="dxa" w:w="100"/>
              <w:bottom w:type="dxa" w:w="90"/>
              <w:right w:type="dxa" w:w="100"/>
            </w:tcMar>
          </w:tcPr>
          <w:p>
            <w:r>
              <w:rPr>
                <w:sz w:val="19"/>
                <w:szCs w:val="19"/>
              </w:rPr>
              <w:t xml:space="preserve">Trained lung-resident alveolar macrophages</w:t>
            </w:r>
          </w:p>
        </w:tc>
        <w:tc>
          <w:tcPr>
            <w:tcW w:type="dxa" w:w="1650"/>
            <w:shd w:fill="F2F5F9" w:val="clear"/>
            <w:tcMar>
              <w:top w:type="dxa" w:w="90"/>
              <w:left w:type="dxa" w:w="100"/>
              <w:bottom w:type="dxa" w:w="90"/>
              <w:right w:type="dxa" w:w="100"/>
            </w:tcMar>
          </w:tcPr>
          <w:p>
            <w:r>
              <w:rPr>
                <w:sz w:val="19"/>
                <w:szCs w:val="19"/>
              </w:rPr>
              <w:t xml:space="preserve">Jeyanathan et al. 2022 [13]</w:t>
            </w:r>
          </w:p>
        </w:tc>
      </w:tr>
    </w:tbl>
    <w:p>
      <w:pPr>
        <w:spacing w:after="240" w:before="80"/>
      </w:pPr>
      <w:r>
        <w:rPr>
          <w:i/>
          <w:iCs/>
          <w:color w:val="444444"/>
          <w:sz w:val="19"/>
          <w:szCs w:val="19"/>
        </w:rPr>
        <w:t xml:space="preserve">Table 2. Summary of the major molecular mechanisms underlying BCG-induced trained immunity, with the primary literature source for each finding.</w:t>
      </w:r>
    </w:p>
    <w:p>
      <w:pPr>
        <w:pStyle w:val="Heading1"/>
        <w:spacing w:after="160" w:before="320"/>
      </w:pPr>
      <w:r>
        <w:t xml:space="preserve">4. Cell Types That Exhibit Trained Immunity</w:t>
      </w:r>
    </w:p>
    <w:p>
      <w:pPr>
        <w:spacing w:after="160" w:line="276"/>
      </w:pPr>
      <w:r>
        <w:rPr>
          <w:sz w:val="22"/>
          <w:szCs w:val="22"/>
        </w:rPr>
        <w:t xml:space="preserve">Monocytes and macrophages remain the best-characterized trained cell type, but the phenomenon extends further. NK cells trained by BCG produce elevated IL-1β and IL-6 [1]. Neutrophils, traditionally viewed as short-lived and terminally differentiated, show functional reprogramming lasting at least three months after BCG vaccination, with increased expression of activation markers and antimicrobial capacity linked to genome-wide H3K4me3 changes [5]. Tissue-resident macrophage populations, including alveolar macrophages in the lung, can also be trained despite never directly encountering the vaccine at that site, through the indirect gut–lung signaling route described above. Because training ultimately resides at the level of self-renewing bone-marrow progenitors, all of these mature cell types are thought to derive at least part of their trained phenotype from a common upstream HSPC reprogramming event [2,4].</w:t>
      </w:r>
    </w:p>
    <w:p>
      <w:pPr>
        <w:pStyle w:val="Heading1"/>
        <w:spacing w:after="160" w:before="320"/>
      </w:pPr>
      <w:r>
        <w:t xml:space="preserve">5. Clinical and Translational Evidence</w:t>
      </w:r>
    </w:p>
    <w:p>
      <w:pPr>
        <w:pStyle w:val="Heading2"/>
        <w:spacing w:after="120" w:before="260"/>
      </w:pPr>
      <w:r>
        <w:t xml:space="preserve">5.1 Heterologous Protection Against Infection</w:t>
      </w:r>
    </w:p>
    <w:p>
      <w:pPr>
        <w:spacing w:after="160" w:line="276"/>
      </w:pPr>
      <w:r>
        <w:rPr>
          <w:sz w:val="22"/>
          <w:szCs w:val="22"/>
        </w:rPr>
        <w:t xml:space="preserve">The clinical case for trained immunity rests heavily on observational and randomized data showing that BCG reduces mortality and morbidity from infections unrelated to tuberculosis. West African cohort studies found that BCG-vaccinated infants had lower all-cause mortality than unvaccinated peers, an effect partly explained by protection against neonatal sepsis and respiratory infections [1]. The strongest mechanistic human evidence comes from a randomized, placebo-controlled experimental challenge study by Arts et al., in which healthy volunteers were vaccinated with BCG or placebo and then challenged with an attenuated yellow fever vaccine virus: BCG recipients showed significantly reduced viremia, an effect that correlated tightly with BCG-induced upregulation of IL-1β, a signature cytokine of trained immunity, rather than with the antigen-specific interferon-γ response [6].</w:t>
      </w:r>
    </w:p>
    <w:p>
      <w:pPr>
        <w:pStyle w:val="Heading2"/>
        <w:spacing w:after="120" w:before="260"/>
      </w:pPr>
      <w:r>
        <w:t xml:space="preserve">5.2 COVID-19 Trials</w:t>
      </w:r>
    </w:p>
    <w:p>
      <w:pPr>
        <w:spacing w:after="160" w:line="276"/>
      </w:pPr>
      <w:r>
        <w:rPr>
          <w:sz w:val="22"/>
          <w:szCs w:val="22"/>
        </w:rPr>
        <w:t xml:space="preserve">The proposed heterologous antiviral effect of BCG motivated a wave of randomized controlled trials during the COVID-19 pandemic, several of which are summarized in Table 3. These included the BCG-CORONA trial in Dutch health-care workers (testing reduction in absenteeism and clinical severity) and the large Guinea-Bissau BCG-strain comparison trial, alongside additional trials in the elderly and in health-care workers in the United States and Brazil. Results across this trial program have been mixed, and a rigorous meta-analytic consensus on efficacy specifically against COVID-19 has not been established; Chen et al. note explicitly that “the protective effect of BCG was not found in another analysis,” underscoring that population characteristics, BCG strain, and prior mycobacterial exposure likely all modulate outcomes [1].</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350"/>
        <w:gridCol w:w="2450"/>
        <w:gridCol w:w="2350"/>
        <w:gridCol w:w="1900"/>
        <w:gridCol w:w="1450"/>
      </w:tblGrid>
      <w:tr>
        <w:trPr>
          <w:tblHeader/>
        </w:trPr>
        <w:tc>
          <w:tcPr>
            <w:tcW w:type="dxa" w:w="1350"/>
            <w:shd w:fill="1F3B5C" w:val="clear"/>
            <w:tcMar>
              <w:top w:type="dxa" w:w="90"/>
              <w:left w:type="dxa" w:w="100"/>
              <w:bottom w:type="dxa" w:w="90"/>
              <w:right w:type="dxa" w:w="100"/>
            </w:tcMar>
          </w:tcPr>
          <w:p>
            <w:r>
              <w:rPr>
                <w:b/>
                <w:bCs/>
                <w:color w:val="FFFFFF"/>
                <w:sz w:val="19"/>
                <w:szCs w:val="19"/>
              </w:rPr>
              <w:t xml:space="preserve">NCT ID</w:t>
            </w:r>
          </w:p>
        </w:tc>
        <w:tc>
          <w:tcPr>
            <w:tcW w:type="dxa" w:w="2450"/>
            <w:shd w:fill="1F3B5C" w:val="clear"/>
            <w:tcMar>
              <w:top w:type="dxa" w:w="90"/>
              <w:left w:type="dxa" w:w="100"/>
              <w:bottom w:type="dxa" w:w="90"/>
              <w:right w:type="dxa" w:w="100"/>
            </w:tcMar>
          </w:tcPr>
          <w:p>
            <w:r>
              <w:rPr>
                <w:b/>
                <w:bCs/>
                <w:color w:val="FFFFFF"/>
                <w:sz w:val="19"/>
                <w:szCs w:val="19"/>
              </w:rPr>
              <w:t xml:space="preserve">Trial</w:t>
            </w:r>
          </w:p>
        </w:tc>
        <w:tc>
          <w:tcPr>
            <w:tcW w:type="dxa" w:w="2350"/>
            <w:shd w:fill="1F3B5C" w:val="clear"/>
            <w:tcMar>
              <w:top w:type="dxa" w:w="90"/>
              <w:left w:type="dxa" w:w="100"/>
              <w:bottom w:type="dxa" w:w="90"/>
              <w:right w:type="dxa" w:w="100"/>
            </w:tcMar>
          </w:tcPr>
          <w:p>
            <w:r>
              <w:rPr>
                <w:b/>
                <w:bCs/>
                <w:color w:val="FFFFFF"/>
                <w:sz w:val="19"/>
                <w:szCs w:val="19"/>
              </w:rPr>
              <w:t xml:space="preserve">Population / design</w:t>
            </w:r>
          </w:p>
        </w:tc>
        <w:tc>
          <w:tcPr>
            <w:tcW w:type="dxa" w:w="1900"/>
            <w:shd w:fill="1F3B5C" w:val="clear"/>
            <w:tcMar>
              <w:top w:type="dxa" w:w="90"/>
              <w:left w:type="dxa" w:w="100"/>
              <w:bottom w:type="dxa" w:w="90"/>
              <w:right w:type="dxa" w:w="100"/>
            </w:tcMar>
          </w:tcPr>
          <w:p>
            <w:r>
              <w:rPr>
                <w:b/>
                <w:bCs/>
                <w:color w:val="FFFFFF"/>
                <w:sz w:val="19"/>
                <w:szCs w:val="19"/>
              </w:rPr>
              <w:t xml:space="preserve">Primary endpoint</w:t>
            </w:r>
          </w:p>
        </w:tc>
        <w:tc>
          <w:tcPr>
            <w:tcW w:type="dxa" w:w="1450"/>
            <w:shd w:fill="1F3B5C" w:val="clear"/>
            <w:tcMar>
              <w:top w:type="dxa" w:w="90"/>
              <w:left w:type="dxa" w:w="100"/>
              <w:bottom w:type="dxa" w:w="90"/>
              <w:right w:type="dxa" w:w="100"/>
            </w:tcMar>
          </w:tcPr>
          <w:p>
            <w:r>
              <w:rPr>
                <w:b/>
                <w:bCs/>
                <w:color w:val="FFFFFF"/>
                <w:sz w:val="19"/>
                <w:szCs w:val="19"/>
              </w:rPr>
              <w:t xml:space="preserve">Status</w:t>
            </w:r>
          </w:p>
        </w:tc>
      </w:tr>
      <w:tr>
        <w:tc>
          <w:tcPr>
            <w:tcW w:type="dxa" w:w="1350"/>
            <w:shd w:fill="F2F5F9" w:val="clear"/>
            <w:tcMar>
              <w:top w:type="dxa" w:w="90"/>
              <w:left w:type="dxa" w:w="100"/>
              <w:bottom w:type="dxa" w:w="90"/>
              <w:right w:type="dxa" w:w="100"/>
            </w:tcMar>
          </w:tcPr>
          <w:p>
            <w:r>
              <w:rPr>
                <w:sz w:val="19"/>
                <w:szCs w:val="19"/>
              </w:rPr>
              <w:t xml:space="preserve">NCT04328441
(BCG-CORONA)</w:t>
            </w:r>
          </w:p>
        </w:tc>
        <w:tc>
          <w:tcPr>
            <w:tcW w:type="dxa" w:w="2450"/>
            <w:shd w:fill="F2F5F9" w:val="clear"/>
            <w:tcMar>
              <w:top w:type="dxa" w:w="90"/>
              <w:left w:type="dxa" w:w="100"/>
              <w:bottom w:type="dxa" w:w="90"/>
              <w:right w:type="dxa" w:w="100"/>
            </w:tcMar>
          </w:tcPr>
          <w:p>
            <w:r>
              <w:rPr>
                <w:sz w:val="19"/>
                <w:szCs w:val="19"/>
              </w:rPr>
              <w:t xml:space="preserve">BCG to reduce COVID-19 absenteeism in health-care workers</w:t>
            </w:r>
          </w:p>
        </w:tc>
        <w:tc>
          <w:tcPr>
            <w:tcW w:type="dxa" w:w="2350"/>
            <w:shd w:fill="F2F5F9" w:val="clear"/>
            <w:tcMar>
              <w:top w:type="dxa" w:w="90"/>
              <w:left w:type="dxa" w:w="100"/>
              <w:bottom w:type="dxa" w:w="90"/>
              <w:right w:type="dxa" w:w="100"/>
            </w:tcMar>
          </w:tcPr>
          <w:p>
            <w:r>
              <w:rPr>
                <w:sz w:val="19"/>
                <w:szCs w:val="19"/>
              </w:rPr>
              <w:t xml:space="preserve">1,511 hospital staff; randomized, placebo-controlled, Phase 3; Netherlands</w:t>
            </w:r>
          </w:p>
        </w:tc>
        <w:tc>
          <w:tcPr>
            <w:tcW w:type="dxa" w:w="1900"/>
            <w:shd w:fill="F2F5F9" w:val="clear"/>
            <w:tcMar>
              <w:top w:type="dxa" w:w="90"/>
              <w:left w:type="dxa" w:w="100"/>
              <w:bottom w:type="dxa" w:w="90"/>
              <w:right w:type="dxa" w:w="100"/>
            </w:tcMar>
          </w:tcPr>
          <w:p>
            <w:r>
              <w:rPr>
                <w:sz w:val="19"/>
                <w:szCs w:val="19"/>
              </w:rPr>
              <w:t xml:space="preserve">Days of unplanned absenteeism (any cause)</w:t>
            </w:r>
          </w:p>
        </w:tc>
        <w:tc>
          <w:tcPr>
            <w:tcW w:type="dxa" w:w="1450"/>
            <w:shd w:fill="F2F5F9" w:val="clear"/>
            <w:tcMar>
              <w:top w:type="dxa" w:w="90"/>
              <w:left w:type="dxa" w:w="100"/>
              <w:bottom w:type="dxa" w:w="90"/>
              <w:right w:type="dxa" w:w="100"/>
            </w:tcMar>
          </w:tcPr>
          <w:p>
            <w:r>
              <w:rPr>
                <w:sz w:val="19"/>
                <w:szCs w:val="19"/>
              </w:rPr>
              <w:t xml:space="preserve">Completed</w:t>
            </w:r>
          </w:p>
        </w:tc>
      </w:tr>
      <w:tr>
        <w:tc>
          <w:tcPr>
            <w:tcW w:type="dxa" w:w="1350"/>
            <w:shd w:fill="FFFFFF" w:val="clear"/>
            <w:tcMar>
              <w:top w:type="dxa" w:w="90"/>
              <w:left w:type="dxa" w:w="100"/>
              <w:bottom w:type="dxa" w:w="90"/>
              <w:right w:type="dxa" w:w="100"/>
            </w:tcMar>
          </w:tcPr>
          <w:p>
            <w:r>
              <w:rPr>
                <w:sz w:val="19"/>
                <w:szCs w:val="19"/>
              </w:rPr>
              <w:t xml:space="preserve">NCT04348370</w:t>
            </w:r>
          </w:p>
        </w:tc>
        <w:tc>
          <w:tcPr>
            <w:tcW w:type="dxa" w:w="2450"/>
            <w:shd w:fill="FFFFFF" w:val="clear"/>
            <w:tcMar>
              <w:top w:type="dxa" w:w="90"/>
              <w:left w:type="dxa" w:w="100"/>
              <w:bottom w:type="dxa" w:w="90"/>
              <w:right w:type="dxa" w:w="100"/>
            </w:tcMar>
          </w:tcPr>
          <w:p>
            <w:r>
              <w:rPr>
                <w:sz w:val="19"/>
                <w:szCs w:val="19"/>
              </w:rPr>
              <w:t xml:space="preserve">BCG vaccination as defense against SARS-CoV-2 in health-care workers</w:t>
            </w:r>
          </w:p>
        </w:tc>
        <w:tc>
          <w:tcPr>
            <w:tcW w:type="dxa" w:w="2350"/>
            <w:shd w:fill="FFFFFF" w:val="clear"/>
            <w:tcMar>
              <w:top w:type="dxa" w:w="90"/>
              <w:left w:type="dxa" w:w="100"/>
              <w:bottom w:type="dxa" w:w="90"/>
              <w:right w:type="dxa" w:w="100"/>
            </w:tcMar>
          </w:tcPr>
          <w:p>
            <w:r>
              <w:rPr>
                <w:sz w:val="19"/>
                <w:szCs w:val="19"/>
              </w:rPr>
              <w:t xml:space="preserve">659 participants; randomized, placebo-controlled, Phase 4; USA</w:t>
            </w:r>
          </w:p>
        </w:tc>
        <w:tc>
          <w:tcPr>
            <w:tcW w:type="dxa" w:w="1900"/>
            <w:shd w:fill="FFFFFF" w:val="clear"/>
            <w:tcMar>
              <w:top w:type="dxa" w:w="90"/>
              <w:left w:type="dxa" w:w="100"/>
              <w:bottom w:type="dxa" w:w="90"/>
              <w:right w:type="dxa" w:w="100"/>
            </w:tcMar>
          </w:tcPr>
          <w:p>
            <w:r>
              <w:rPr>
                <w:sz w:val="19"/>
                <w:szCs w:val="19"/>
              </w:rPr>
              <w:t xml:space="preserve">COVID-19 incidence / severity</w:t>
            </w:r>
          </w:p>
        </w:tc>
        <w:tc>
          <w:tcPr>
            <w:tcW w:type="dxa" w:w="1450"/>
            <w:shd w:fill="FFFFFF" w:val="clear"/>
            <w:tcMar>
              <w:top w:type="dxa" w:w="90"/>
              <w:left w:type="dxa" w:w="100"/>
              <w:bottom w:type="dxa" w:w="90"/>
              <w:right w:type="dxa" w:w="100"/>
            </w:tcMar>
          </w:tcPr>
          <w:p>
            <w:r>
              <w:rPr>
                <w:sz w:val="19"/>
                <w:szCs w:val="19"/>
              </w:rPr>
              <w:t xml:space="preserve">Completed</w:t>
            </w:r>
          </w:p>
        </w:tc>
      </w:tr>
      <w:tr>
        <w:tc>
          <w:tcPr>
            <w:tcW w:type="dxa" w:w="1350"/>
            <w:shd w:fill="F2F5F9" w:val="clear"/>
            <w:tcMar>
              <w:top w:type="dxa" w:w="90"/>
              <w:left w:type="dxa" w:w="100"/>
              <w:bottom w:type="dxa" w:w="90"/>
              <w:right w:type="dxa" w:w="100"/>
            </w:tcMar>
          </w:tcPr>
          <w:p>
            <w:r>
              <w:rPr>
                <w:sz w:val="19"/>
                <w:szCs w:val="19"/>
              </w:rPr>
              <w:t xml:space="preserve">NCT04417335</w:t>
            </w:r>
          </w:p>
        </w:tc>
        <w:tc>
          <w:tcPr>
            <w:tcW w:type="dxa" w:w="2450"/>
            <w:shd w:fill="F2F5F9" w:val="clear"/>
            <w:tcMar>
              <w:top w:type="dxa" w:w="90"/>
              <w:left w:type="dxa" w:w="100"/>
              <w:bottom w:type="dxa" w:w="90"/>
              <w:right w:type="dxa" w:w="100"/>
            </w:tcMar>
          </w:tcPr>
          <w:p>
            <w:r>
              <w:rPr>
                <w:sz w:val="19"/>
                <w:szCs w:val="19"/>
              </w:rPr>
              <w:t xml:space="preserve">BCG to reduce hospital admission of the elderly during the pandemic</w:t>
            </w:r>
          </w:p>
        </w:tc>
        <w:tc>
          <w:tcPr>
            <w:tcW w:type="dxa" w:w="2350"/>
            <w:shd w:fill="F2F5F9" w:val="clear"/>
            <w:tcMar>
              <w:top w:type="dxa" w:w="90"/>
              <w:left w:type="dxa" w:w="100"/>
              <w:bottom w:type="dxa" w:w="90"/>
              <w:right w:type="dxa" w:w="100"/>
            </w:tcMar>
          </w:tcPr>
          <w:p>
            <w:r>
              <w:rPr>
                <w:sz w:val="19"/>
                <w:szCs w:val="19"/>
              </w:rPr>
              <w:t xml:space="preserve">2,014 participants; randomized, placebo-controlled, Phase 4; Netherlands</w:t>
            </w:r>
          </w:p>
        </w:tc>
        <w:tc>
          <w:tcPr>
            <w:tcW w:type="dxa" w:w="1900"/>
            <w:shd w:fill="F2F5F9" w:val="clear"/>
            <w:tcMar>
              <w:top w:type="dxa" w:w="90"/>
              <w:left w:type="dxa" w:w="100"/>
              <w:bottom w:type="dxa" w:w="90"/>
              <w:right w:type="dxa" w:w="100"/>
            </w:tcMar>
          </w:tcPr>
          <w:p>
            <w:r>
              <w:rPr>
                <w:sz w:val="19"/>
                <w:szCs w:val="19"/>
              </w:rPr>
              <w:t xml:space="preserve">Hospital admission incidence</w:t>
            </w:r>
          </w:p>
        </w:tc>
        <w:tc>
          <w:tcPr>
            <w:tcW w:type="dxa" w:w="1450"/>
            <w:shd w:fill="F2F5F9" w:val="clear"/>
            <w:tcMar>
              <w:top w:type="dxa" w:w="90"/>
              <w:left w:type="dxa" w:w="100"/>
              <w:bottom w:type="dxa" w:w="90"/>
              <w:right w:type="dxa" w:w="100"/>
            </w:tcMar>
          </w:tcPr>
          <w:p>
            <w:r>
              <w:rPr>
                <w:sz w:val="19"/>
                <w:szCs w:val="19"/>
              </w:rPr>
              <w:t xml:space="preserve">Status unknown</w:t>
            </w:r>
          </w:p>
        </w:tc>
      </w:tr>
      <w:tr>
        <w:tc>
          <w:tcPr>
            <w:tcW w:type="dxa" w:w="1350"/>
            <w:shd w:fill="FFFFFF" w:val="clear"/>
            <w:tcMar>
              <w:top w:type="dxa" w:w="90"/>
              <w:left w:type="dxa" w:w="100"/>
              <w:bottom w:type="dxa" w:w="90"/>
              <w:right w:type="dxa" w:w="100"/>
            </w:tcMar>
          </w:tcPr>
          <w:p>
            <w:r>
              <w:rPr>
                <w:sz w:val="19"/>
                <w:szCs w:val="19"/>
              </w:rPr>
              <w:t xml:space="preserve">NCT05507671</w:t>
            </w:r>
          </w:p>
        </w:tc>
        <w:tc>
          <w:tcPr>
            <w:tcW w:type="dxa" w:w="2450"/>
            <w:shd w:fill="FFFFFF" w:val="clear"/>
            <w:tcMar>
              <w:top w:type="dxa" w:w="90"/>
              <w:left w:type="dxa" w:w="100"/>
              <w:bottom w:type="dxa" w:w="90"/>
              <w:right w:type="dxa" w:w="100"/>
            </w:tcMar>
          </w:tcPr>
          <w:p>
            <w:r>
              <w:rPr>
                <w:sz w:val="19"/>
                <w:szCs w:val="19"/>
              </w:rPr>
              <w:t xml:space="preserve">BCG in the clinical course of COVID-19 and vaccine efficacy</w:t>
            </w:r>
          </w:p>
        </w:tc>
        <w:tc>
          <w:tcPr>
            <w:tcW w:type="dxa" w:w="2350"/>
            <w:shd w:fill="FFFFFF" w:val="clear"/>
            <w:tcMar>
              <w:top w:type="dxa" w:w="90"/>
              <w:left w:type="dxa" w:w="100"/>
              <w:bottom w:type="dxa" w:w="90"/>
              <w:right w:type="dxa" w:w="100"/>
            </w:tcMar>
          </w:tcPr>
          <w:p>
            <w:r>
              <w:rPr>
                <w:sz w:val="19"/>
                <w:szCs w:val="19"/>
              </w:rPr>
              <w:t xml:space="preserve">556 participants; randomized, placebo-controlled, Phase 3; Brazil</w:t>
            </w:r>
          </w:p>
        </w:tc>
        <w:tc>
          <w:tcPr>
            <w:tcW w:type="dxa" w:w="1900"/>
            <w:shd w:fill="FFFFFF" w:val="clear"/>
            <w:tcMar>
              <w:top w:type="dxa" w:w="90"/>
              <w:left w:type="dxa" w:w="100"/>
              <w:bottom w:type="dxa" w:w="90"/>
              <w:right w:type="dxa" w:w="100"/>
            </w:tcMar>
          </w:tcPr>
          <w:p>
            <w:r>
              <w:rPr>
                <w:sz w:val="19"/>
                <w:szCs w:val="19"/>
              </w:rPr>
              <w:t xml:space="preserve">COVID-19 clinical evolution</w:t>
            </w:r>
          </w:p>
        </w:tc>
        <w:tc>
          <w:tcPr>
            <w:tcW w:type="dxa" w:w="1450"/>
            <w:shd w:fill="FFFFFF" w:val="clear"/>
            <w:tcMar>
              <w:top w:type="dxa" w:w="90"/>
              <w:left w:type="dxa" w:w="100"/>
              <w:bottom w:type="dxa" w:w="90"/>
              <w:right w:type="dxa" w:w="100"/>
            </w:tcMar>
          </w:tcPr>
          <w:p>
            <w:r>
              <w:rPr>
                <w:sz w:val="19"/>
                <w:szCs w:val="19"/>
              </w:rPr>
              <w:t xml:space="preserve">Active, not recruiting</w:t>
            </w:r>
          </w:p>
        </w:tc>
      </w:tr>
      <w:tr>
        <w:tc>
          <w:tcPr>
            <w:tcW w:type="dxa" w:w="1350"/>
            <w:shd w:fill="F2F5F9" w:val="clear"/>
            <w:tcMar>
              <w:top w:type="dxa" w:w="90"/>
              <w:left w:type="dxa" w:w="100"/>
              <w:bottom w:type="dxa" w:w="90"/>
              <w:right w:type="dxa" w:w="100"/>
            </w:tcMar>
          </w:tcPr>
          <w:p>
            <w:r>
              <w:rPr>
                <w:sz w:val="19"/>
                <w:szCs w:val="19"/>
              </w:rPr>
              <w:t xml:space="preserve">NCT03400878</w:t>
            </w:r>
          </w:p>
        </w:tc>
        <w:tc>
          <w:tcPr>
            <w:tcW w:type="dxa" w:w="2450"/>
            <w:shd w:fill="F2F5F9" w:val="clear"/>
            <w:tcMar>
              <w:top w:type="dxa" w:w="90"/>
              <w:left w:type="dxa" w:w="100"/>
              <w:bottom w:type="dxa" w:w="90"/>
              <w:right w:type="dxa" w:w="100"/>
            </w:tcMar>
          </w:tcPr>
          <w:p>
            <w:r>
              <w:rPr>
                <w:sz w:val="19"/>
                <w:szCs w:val="19"/>
              </w:rPr>
              <w:t xml:space="preserve">Comparison of BCG-Japan vs. BCG-Russia strains on infant morbidity/mortality</w:t>
            </w:r>
          </w:p>
        </w:tc>
        <w:tc>
          <w:tcPr>
            <w:tcW w:type="dxa" w:w="2350"/>
            <w:shd w:fill="F2F5F9" w:val="clear"/>
            <w:tcMar>
              <w:top w:type="dxa" w:w="90"/>
              <w:left w:type="dxa" w:w="100"/>
              <w:bottom w:type="dxa" w:w="90"/>
              <w:right w:type="dxa" w:w="100"/>
            </w:tcMar>
          </w:tcPr>
          <w:p>
            <w:r>
              <w:rPr>
                <w:sz w:val="19"/>
                <w:szCs w:val="19"/>
              </w:rPr>
              <w:t xml:space="preserve">17,505 newborns; randomized, Phase 4; Guinea-Bissau</w:t>
            </w:r>
          </w:p>
        </w:tc>
        <w:tc>
          <w:tcPr>
            <w:tcW w:type="dxa" w:w="1900"/>
            <w:shd w:fill="F2F5F9" w:val="clear"/>
            <w:tcMar>
              <w:top w:type="dxa" w:w="90"/>
              <w:left w:type="dxa" w:w="100"/>
              <w:bottom w:type="dxa" w:w="90"/>
              <w:right w:type="dxa" w:w="100"/>
            </w:tcMar>
          </w:tcPr>
          <w:p>
            <w:r>
              <w:rPr>
                <w:sz w:val="19"/>
                <w:szCs w:val="19"/>
              </w:rPr>
              <w:t xml:space="preserve">Hospital admission by 6 weeks of age</w:t>
            </w:r>
          </w:p>
        </w:tc>
        <w:tc>
          <w:tcPr>
            <w:tcW w:type="dxa" w:w="1450"/>
            <w:shd w:fill="F2F5F9" w:val="clear"/>
            <w:tcMar>
              <w:top w:type="dxa" w:w="90"/>
              <w:left w:type="dxa" w:w="100"/>
              <w:bottom w:type="dxa" w:w="90"/>
              <w:right w:type="dxa" w:w="100"/>
            </w:tcMar>
          </w:tcPr>
          <w:p>
            <w:r>
              <w:rPr>
                <w:sz w:val="19"/>
                <w:szCs w:val="19"/>
              </w:rPr>
              <w:t xml:space="preserve">Completed</w:t>
            </w:r>
          </w:p>
        </w:tc>
      </w:tr>
      <w:tr>
        <w:tc>
          <w:tcPr>
            <w:tcW w:type="dxa" w:w="1350"/>
            <w:shd w:fill="FFFFFF" w:val="clear"/>
            <w:tcMar>
              <w:top w:type="dxa" w:w="90"/>
              <w:left w:type="dxa" w:w="100"/>
              <w:bottom w:type="dxa" w:w="90"/>
              <w:right w:type="dxa" w:w="100"/>
            </w:tcMar>
          </w:tcPr>
          <w:p>
            <w:r>
              <w:rPr>
                <w:sz w:val="19"/>
                <w:szCs w:val="19"/>
              </w:rPr>
              <w:t xml:space="preserve">NCT03296423</w:t>
            </w:r>
          </w:p>
        </w:tc>
        <w:tc>
          <w:tcPr>
            <w:tcW w:type="dxa" w:w="2450"/>
            <w:shd w:fill="FFFFFF" w:val="clear"/>
            <w:tcMar>
              <w:top w:type="dxa" w:w="90"/>
              <w:left w:type="dxa" w:w="100"/>
              <w:bottom w:type="dxa" w:w="90"/>
              <w:right w:type="dxa" w:w="100"/>
            </w:tcMar>
          </w:tcPr>
          <w:p>
            <w:r>
              <w:rPr>
                <w:sz w:val="19"/>
                <w:szCs w:val="19"/>
              </w:rPr>
              <w:t xml:space="preserve">BCG to prevent infections of the elderly via trained immunity</w:t>
            </w:r>
          </w:p>
        </w:tc>
        <w:tc>
          <w:tcPr>
            <w:tcW w:type="dxa" w:w="2350"/>
            <w:shd w:fill="FFFFFF" w:val="clear"/>
            <w:tcMar>
              <w:top w:type="dxa" w:w="90"/>
              <w:left w:type="dxa" w:w="100"/>
              <w:bottom w:type="dxa" w:w="90"/>
              <w:right w:type="dxa" w:w="100"/>
            </w:tcMar>
          </w:tcPr>
          <w:p>
            <w:r>
              <w:rPr>
                <w:sz w:val="19"/>
                <w:szCs w:val="19"/>
              </w:rPr>
              <w:t xml:space="preserve">200 participants; randomized, placebo-controlled, Phase 4; Greece</w:t>
            </w:r>
          </w:p>
        </w:tc>
        <w:tc>
          <w:tcPr>
            <w:tcW w:type="dxa" w:w="1900"/>
            <w:shd w:fill="FFFFFF" w:val="clear"/>
            <w:tcMar>
              <w:top w:type="dxa" w:w="90"/>
              <w:left w:type="dxa" w:w="100"/>
              <w:bottom w:type="dxa" w:w="90"/>
              <w:right w:type="dxa" w:w="100"/>
            </w:tcMar>
          </w:tcPr>
          <w:p>
            <w:r>
              <w:rPr>
                <w:sz w:val="19"/>
                <w:szCs w:val="19"/>
              </w:rPr>
              <w:t xml:space="preserve">Time to first infection</w:t>
            </w:r>
          </w:p>
        </w:tc>
        <w:tc>
          <w:tcPr>
            <w:tcW w:type="dxa" w:w="1450"/>
            <w:shd w:fill="FFFFFF" w:val="clear"/>
            <w:tcMar>
              <w:top w:type="dxa" w:w="90"/>
              <w:left w:type="dxa" w:w="100"/>
              <w:bottom w:type="dxa" w:w="90"/>
              <w:right w:type="dxa" w:w="100"/>
            </w:tcMar>
          </w:tcPr>
          <w:p>
            <w:r>
              <w:rPr>
                <w:sz w:val="19"/>
                <w:szCs w:val="19"/>
              </w:rPr>
              <w:t xml:space="preserve">Completed</w:t>
            </w:r>
          </w:p>
        </w:tc>
      </w:tr>
    </w:tbl>
    <w:p>
      <w:pPr>
        <w:spacing w:after="240" w:before="80"/>
      </w:pPr>
      <w:r>
        <w:rPr>
          <w:i/>
          <w:iCs/>
          <w:color w:val="444444"/>
          <w:sz w:val="19"/>
          <w:szCs w:val="19"/>
        </w:rPr>
        <w:t xml:space="preserve">Table 3. Selected registered clinical trials evaluating BCG-induced trained immunity against heterologous infection, compiled from ClinicalTrials.gov study records (accessed via the ClinicalTrials.gov API, August 2026). Enrollment, design, and endpoint fields are drawn directly from each trial's public registration; numeric outcome results were not publicly posted for these records at the time of writing and are therefore not reported here.</w:t>
      </w:r>
    </w:p>
    <w:p>
      <w:pPr>
        <w:pStyle w:val="Heading2"/>
        <w:spacing w:after="120" w:before="260"/>
      </w:pPr>
      <w:r>
        <w:t xml:space="preserve">5.3 Cancer Immunotherapy</w:t>
      </w:r>
    </w:p>
    <w:p>
      <w:pPr>
        <w:spacing w:after="160" w:line="276"/>
      </w:pPr>
      <w:r>
        <w:rPr>
          <w:sz w:val="22"/>
          <w:szCs w:val="22"/>
        </w:rPr>
        <w:t xml:space="preserve">The oldest and most firmly established clinical application of BCG-induced innate training is oncological rather than infectious: intravesical BCG, introduced by Morales and colleagues in 1976, remains the standard adjuvant therapy for non-muscle-invasive bladder cancer nearly fifty years later [1]. Its mechanism is now understood to substantially overlap with trained immunity — local instillation recruits and trains innate immune cells within the bladder wall, enhancing anti-tumor cytotoxicity. Efforts to engineer recombinant BCG strains expressing higher levels of key pathogen-associated molecular pattern (PAMP) molecules aim to potentiate this trained-immunity-dependent anti-tumor effect further [1].</w:t>
      </w:r>
    </w:p>
    <w:p>
      <w:pPr>
        <w:pStyle w:val="Heading2"/>
        <w:spacing w:after="120" w:before="260"/>
      </w:pPr>
      <w:r>
        <w:t xml:space="preserve">5.4 Trained-Immunity-Based Vaccines (TIbV)</w:t>
      </w:r>
    </w:p>
    <w:p>
      <w:pPr>
        <w:spacing w:after="160" w:line="276"/>
      </w:pPr>
      <w:r>
        <w:rPr>
          <w:sz w:val="22"/>
          <w:szCs w:val="22"/>
        </w:rPr>
        <w:t xml:space="preserve">The translational goal now emerging from this literature is the deliberate design of “trained-immunity-based vaccines” that pair a PRR-engaging adjuvant with conventional antigen-specific components to elicit both arms of memory simultaneously [3,11]. Baydemir et al. argue that incorporating TIbV principles into existing platforms could be particularly valuable for populations with blunted adaptive responses, such as the elderly and immunocompromised, and could extend the breadth of protection conferred by a single vaccination against antigenically unrelated pathogens [11]. Moorlag et al.'s 2024 multi-omics study adds an important nuance: BCG vaccination enhanced innate responses specifically in individuals who began in a relatively “dormant” immune state, rather than uniformly boosting immunity across all vaccinees, implying that TIbV efficacy may need to be personalized based on an individual's baseline epigenetic and immune profile [15].</w:t>
      </w:r>
    </w:p>
    <w:p>
      <w:pPr>
        <w:pStyle w:val="Heading1"/>
        <w:spacing w:after="160" w:before="320"/>
      </w:pPr>
      <w:r>
        <w:t xml:space="preserve">6. Potential Harms and Context-Dependence</w:t>
      </w:r>
    </w:p>
    <w:p>
      <w:pPr>
        <w:spacing w:after="160" w:line="276"/>
      </w:pPr>
      <w:r>
        <w:rPr>
          <w:sz w:val="22"/>
          <w:szCs w:val="22"/>
        </w:rPr>
        <w:t xml:space="preserve">Trained immunity is not uniformly beneficial. Because the trained phenotype is broadly pro-inflammatory rather than pathogen-specific, chronic or repeated activation could, in principle, exacerbate inflammatory disease; Chen et al. note evidence linking trained immunity to the progression of chronic inflammatory conditions such as atherosclerosis [1]. In a mouse model of pregnancy, Dang et al. found that pre-conceptional BCG training altered the natural killer cell and macrophage composition of the maternal–fetal interface and caused fetal growth restriction, despite not worsening fetal resorption rates — a cautionary finding for the timing of BCG-based interventions relative to pregnancy [12]. These findings collectively argue that trained immunity should be viewed as a tunable, context-dependent state rather than an unconditionally protective one, reinforcing the need for careful trial design (dose, timing, and population selection) in any therapeutic application.</w:t>
      </w:r>
    </w:p>
    <w:p>
      <w:pPr>
        <w:pStyle w:val="Heading1"/>
        <w:spacing w:after="160" w:before="320"/>
      </w:pPr>
      <w:r>
        <w:t xml:space="preserve">7. Discussion and Open Questions</w:t>
      </w:r>
    </w:p>
    <w:p>
      <w:pPr>
        <w:spacing w:after="160" w:line="276"/>
      </w:pPr>
      <w:r>
        <w:rPr>
          <w:sz w:val="22"/>
          <w:szCs w:val="22"/>
        </w:rPr>
        <w:t xml:space="preserve">Three open questions dominate the current trained-immunity research agenda. First, durability and reversibility: while functional training has been documented for at least three months in circulating monocytes and neutrophils, and considerably longer via HSPC-level reprogramming in animal models, the precise kinetics of decay in humans, and whether periodic re-exposure is required to sustain protection, remain incompletely defined [4,5]. Second, inter-individual variability: the 2024 multi-omics study by Moorlag et al. profiling 323 BCG vaccinees over a 90-day time course found that training magnitude depended on each individual's baseline chromatin accessibility and immune “dormancy,” meaning trained immunity is not a uniform boost but a state-dependent phenomenon — a finding with direct implications for who is likely to benefit from BCG-based interventions and by how much [15]. Third, translating mechanism into policy: the mixed results of the COVID-19 BCG trial program illustrate the gap between compelling mechanistic and small-cohort challenge data (such as the yellow fever experimental infection study [6]) and reproducible, adequately powered clinical benefit at the population level. Bibliometric analysis of the field indicates that trained-immunity-based vaccine development is now the dominant research focus, alongside continued mechanistic work on metabolic-epigenetic crosstalk [8].</w:t>
      </w:r>
    </w:p>
    <w:p>
      <w:pPr>
        <w:pStyle w:val="Heading1"/>
        <w:spacing w:after="160" w:before="320"/>
      </w:pPr>
      <w:r>
        <w:t xml:space="preserve">8. Conclusion</w:t>
      </w:r>
    </w:p>
    <w:p>
      <w:pPr>
        <w:spacing w:after="160" w:line="276"/>
      </w:pPr>
      <w:r>
        <w:rPr>
          <w:sz w:val="22"/>
          <w:szCs w:val="22"/>
        </w:rPr>
        <w:t xml:space="preserve">Trained immunity overturns a century-old assumption that innate immune cells cannot “learn” from experience. Beginning with century-old epidemiological hints from BCG vaccination campaigns and culminating in a detailed molecular picture of NOD2/Dectin-1 receptor engagement, H3K4me3/H3K27ac histone remodeling, Akt–mTOR–HIF-1α-driven metabolic reprogramming, and durable reprogramming of bone-marrow hematopoietic progenitors, this field has matured from an epidemiological curiosity into a mechanistically grounded and clinically active area of immunology. Its applications already span oncology (bladder cancer immunotherapy), infectious disease prevention, and next-generation vaccine design, while its double-edged potential to worsen chronic inflammatory disease or affect pregnancy outcomes demands continued caution. As trained-immunity-based vaccine platforms move toward the clinic, resolving the durability, inter-individual variability, and population-level efficacy of BCG-induced training will determine whether this century-old vaccine's second act lives up to its considerable promise.</w:t>
      </w:r>
    </w:p>
    <w:p>
      <w:r>
        <w:br w:type="page"/>
      </w:r>
    </w:p>
    <w:p>
      <w:pPr>
        <w:pStyle w:val="Heading1"/>
        <w:spacing w:after="160" w:before="320"/>
      </w:pPr>
      <w:r>
        <w:t xml:space="preserve">References</w:t>
      </w:r>
    </w:p>
    <w:p>
      <w:pPr>
        <w:spacing w:after="140" w:line="264"/>
        <w:ind w:left="360" w:hanging="360"/>
      </w:pPr>
      <w:r>
        <w:rPr>
          <w:b/>
          <w:bCs/>
          <w:sz w:val="20"/>
          <w:szCs w:val="20"/>
        </w:rPr>
        <w:t xml:space="preserve">[1] </w:t>
      </w:r>
      <w:r>
        <w:rPr>
          <w:sz w:val="20"/>
          <w:szCs w:val="20"/>
        </w:rPr>
        <w:t xml:space="preserve">Chen J, Gao L, Wu X, Fan Y, Liu M, Peng L, Song J, Li B, Liu A, Bao F. BCG-induced trained immunity: history, mechanisms and potential applications. J Transl Med. 2023;21(1):106. doi:10.1186/s12967-023-03944-8. PMID: 36765373.</w:t>
      </w:r>
    </w:p>
    <w:p>
      <w:pPr>
        <w:spacing w:after="140" w:line="264"/>
        <w:ind w:left="360" w:hanging="360"/>
      </w:pPr>
      <w:r>
        <w:rPr>
          <w:b/>
          <w:bCs/>
          <w:sz w:val="20"/>
          <w:szCs w:val="20"/>
        </w:rPr>
        <w:t xml:space="preserve">[2] </w:t>
      </w:r>
      <w:r>
        <w:rPr>
          <w:sz w:val="20"/>
          <w:szCs w:val="20"/>
        </w:rPr>
        <w:t xml:space="preserve">Kaufmann E, Sanz J, Dunn JL, Khan N, Mendça LE, Pacis A, Tzelepis F, Pernet E, Dumaine A, Grenier JC, Mailhot-Léonard F, Ahmed E, Belle J, Besla R, Mazer B, King IL, Nijnik A, Robbins CS, Barreiro LB, Divangahi M. BCG Educates Hematopoietic Stem Cells to Generate Protective Innate Immunity against Tuberculosis. Cell. 2018;172(1-2):176-190.e19. doi:10.1016/j.cell.2017.12.031. PMID: 29328912.</w:t>
      </w:r>
    </w:p>
    <w:p>
      <w:pPr>
        <w:spacing w:after="140" w:line="264"/>
        <w:ind w:left="360" w:hanging="360"/>
      </w:pPr>
      <w:r>
        <w:rPr>
          <w:b/>
          <w:bCs/>
          <w:sz w:val="20"/>
          <w:szCs w:val="20"/>
        </w:rPr>
        <w:t xml:space="preserve">[3] </w:t>
      </w:r>
      <w:r>
        <w:rPr>
          <w:sz w:val="20"/>
          <w:szCs w:val="20"/>
        </w:rPr>
        <w:t xml:space="preserve">Pal S, Rafiq Z, Kumari R, Al Aiyan A, Al-Ramadi B, Kishore U, Ponnachan P. Trained Innate Immunity. Adv Exp Med Biol. 2025;1476:275-296. doi:10.1007/978-3-031-85340-1_11. PMID: 40622547.</w:t>
      </w:r>
    </w:p>
    <w:p>
      <w:pPr>
        <w:spacing w:after="140" w:line="264"/>
        <w:ind w:left="360" w:hanging="360"/>
      </w:pPr>
      <w:r>
        <w:rPr>
          <w:b/>
          <w:bCs/>
          <w:sz w:val="20"/>
          <w:szCs w:val="20"/>
        </w:rPr>
        <w:t xml:space="preserve">[4] </w:t>
      </w:r>
      <w:r>
        <w:rPr>
          <w:sz w:val="20"/>
          <w:szCs w:val="20"/>
        </w:rPr>
        <w:t xml:space="preserve">Cirovic B, de Bree LCJ, Groh L, Blok BA, Chan J, van der Velden WJFM, Bremmers MEJ, van Crevel R, Händler K, Picelli S, Schulte-Schrepping J, Klee K, Oosting M, Koeken VACM, van Ingen J, Li Y, Benn CS, Schultze JL, Joosten LAB, Curtis N, Netea MG, Schlitzer A. BCG Vaccination in Humans Elicits Trained Immunity via the Hematopoietic Progenitor Compartment. Cell Host Microbe. 2020;28(2):322-334.e5. doi:10.1016/j.chom.2020.05.014. PMID: 32544459.</w:t>
      </w:r>
    </w:p>
    <w:p>
      <w:pPr>
        <w:spacing w:after="140" w:line="264"/>
        <w:ind w:left="360" w:hanging="360"/>
      </w:pPr>
      <w:r>
        <w:rPr>
          <w:b/>
          <w:bCs/>
          <w:sz w:val="20"/>
          <w:szCs w:val="20"/>
        </w:rPr>
        <w:t xml:space="preserve">[5] </w:t>
      </w:r>
      <w:r>
        <w:rPr>
          <w:sz w:val="20"/>
          <w:szCs w:val="20"/>
        </w:rPr>
        <w:t xml:space="preserve">Moorlag SJCFM, Rodriguez-Rosales YA, Gillard J, Fanucchi S, Theunissen K, Novakovic B, de Bont CM, Negishi Y, Fok ET, Kalafati L, Verginis P, Mourits VP, Koeken VACM, de Bree LCJ, Pruijn GJM, Fenwick C, van Crevel R, Joosten LAB, Joosten I, Koenen H, Mhlanga MM, Diavatopoulos DA, Chavakis T, Netea MG. BCG Vaccination Induces Long-Term Functional Reprogramming of Human Neutrophils. Cell Rep. 2020;33(7):108387. doi:10.1016/j.celrep.2020.108387. PMID: 33207187.</w:t>
      </w:r>
    </w:p>
    <w:p>
      <w:pPr>
        <w:spacing w:after="140" w:line="264"/>
        <w:ind w:left="360" w:hanging="360"/>
      </w:pPr>
      <w:r>
        <w:rPr>
          <w:b/>
          <w:bCs/>
          <w:sz w:val="20"/>
          <w:szCs w:val="20"/>
        </w:rPr>
        <w:t xml:space="preserve">[6] </w:t>
      </w:r>
      <w:r>
        <w:rPr>
          <w:sz w:val="20"/>
          <w:szCs w:val="20"/>
        </w:rPr>
        <w:t xml:space="preserve">Arts RJW, Moorlag SJCFM, Novakovic B, Li Y, Wang SY, Oosting M, Kumar V, Xavier RJ, Wijmenga C, Joosten LAB, Reusken CBEM, Benn CS, Aaby P, Koopmans MP, Stunnenberg HG, van Crevel R, Netea MG. BCG Vaccination Protects against Experimental Viral Infection in Humans through the Induction of Cytokines Associated with Trained Immunity. Cell Host Microbe. 2018;23(1):89-100.e5. doi:10.1016/j.chom.2017.12.010. PMID: 29324233.</w:t>
      </w:r>
    </w:p>
    <w:p>
      <w:pPr>
        <w:spacing w:after="140" w:line="264"/>
        <w:ind w:left="360" w:hanging="360"/>
      </w:pPr>
      <w:r>
        <w:rPr>
          <w:b/>
          <w:bCs/>
          <w:sz w:val="20"/>
          <w:szCs w:val="20"/>
        </w:rPr>
        <w:t xml:space="preserve">[7] </w:t>
      </w:r>
      <w:r>
        <w:rPr>
          <w:sz w:val="20"/>
          <w:szCs w:val="20"/>
        </w:rPr>
        <w:t xml:space="preserve">Kleinnijenhuis J, Quintin J, Preijers F, Joosten LAB, Ifrim DC, Saeed S, Jacobs C, van Loenhout J, de Jong D, Stunnenberg HG, Xavier RJ, van der Meer JWM, van Crevel R, Netea MG. Bacille Calmette-Guerin induces NOD2-dependent nonspecific protection from reinfection via epigenetic reprogramming of monocytes. Proc Natl Acad Sci U S A. 2012;109(43):17537-17542. doi:10.1073/pnas.1202870109. PMID: 22988082.</w:t>
      </w:r>
    </w:p>
    <w:p>
      <w:pPr>
        <w:spacing w:after="140" w:line="264"/>
        <w:ind w:left="360" w:hanging="360"/>
      </w:pPr>
      <w:r>
        <w:rPr>
          <w:b/>
          <w:bCs/>
          <w:sz w:val="20"/>
          <w:szCs w:val="20"/>
        </w:rPr>
        <w:t xml:space="preserve">[8] </w:t>
      </w:r>
      <w:r>
        <w:rPr>
          <w:sz w:val="20"/>
          <w:szCs w:val="20"/>
        </w:rPr>
        <w:t xml:space="preserve">He J, Cui H, Jiang G, Fang L, Hao J. Knowledge mapping of trained immunity/innate immune memory: Insights from two decades of studies. Hum Vaccin Immunother. 2024;20(1):2415823. doi:10.1080/21645515.2024.2415823. PMID: 39434217.</w:t>
      </w:r>
    </w:p>
    <w:p>
      <w:pPr>
        <w:spacing w:after="140" w:line="264"/>
        <w:ind w:left="360" w:hanging="360"/>
      </w:pPr>
      <w:r>
        <w:rPr>
          <w:b/>
          <w:bCs/>
          <w:sz w:val="20"/>
          <w:szCs w:val="20"/>
        </w:rPr>
        <w:t xml:space="preserve">[9] </w:t>
      </w:r>
      <w:r>
        <w:rPr>
          <w:sz w:val="20"/>
          <w:szCs w:val="20"/>
        </w:rPr>
        <w:t xml:space="preserve">Geckin B, Konstantin Föhse F, Domínguez-Andrés J, Netea MG. Trained immunity: implications for vaccination. Curr Opin Immunol. 2022;77:102190. doi:10.1016/j.coi.2022.102190. PMID: 35597182.</w:t>
      </w:r>
    </w:p>
    <w:p>
      <w:pPr>
        <w:spacing w:after="140" w:line="264"/>
        <w:ind w:left="360" w:hanging="360"/>
      </w:pPr>
      <w:r>
        <w:rPr>
          <w:b/>
          <w:bCs/>
          <w:sz w:val="20"/>
          <w:szCs w:val="20"/>
        </w:rPr>
        <w:t xml:space="preserve">[10] </w:t>
      </w:r>
      <w:r>
        <w:rPr>
          <w:sz w:val="20"/>
          <w:szCs w:val="20"/>
        </w:rPr>
        <w:t xml:space="preserve">van der Meer JWM, Joosten LAB, Riksen N, Netea MG. Trained immunity: A smart way to enhance innate immune defence. Mol Immunol. 2015;68(1):40-44. doi:10.1016/j.molimm.2015.06.019. PMID: 26597205.</w:t>
      </w:r>
    </w:p>
    <w:p>
      <w:pPr>
        <w:spacing w:after="140" w:line="264"/>
        <w:ind w:left="360" w:hanging="360"/>
      </w:pPr>
      <w:r>
        <w:rPr>
          <w:b/>
          <w:bCs/>
          <w:sz w:val="20"/>
          <w:szCs w:val="20"/>
        </w:rPr>
        <w:t xml:space="preserve">[11] </w:t>
      </w:r>
      <w:r>
        <w:rPr>
          <w:sz w:val="20"/>
          <w:szCs w:val="20"/>
        </w:rPr>
        <w:t xml:space="preserve">Baydemir I, Dulfer EA, Netea MG, Domínguez-Andrés J. Trained immunity-inducing vaccines: Harnessing innate memory for vaccine design and delivery. Clin Immunol. 2024;261:109930. doi:10.1016/j.clim.2024.109930. PMID: 38342415.</w:t>
      </w:r>
    </w:p>
    <w:p>
      <w:pPr>
        <w:spacing w:after="140" w:line="264"/>
        <w:ind w:left="360" w:hanging="360"/>
      </w:pPr>
      <w:r>
        <w:rPr>
          <w:b/>
          <w:bCs/>
          <w:sz w:val="20"/>
          <w:szCs w:val="20"/>
        </w:rPr>
        <w:t xml:space="preserve">[12] </w:t>
      </w:r>
      <w:r>
        <w:rPr>
          <w:sz w:val="20"/>
          <w:szCs w:val="20"/>
        </w:rPr>
        <w:t xml:space="preserve">Dang Y, Souchet C, Moresi F, Jeljeli M, Raquillet B, Nicco C, Chouzenoux S, Lagoutte I, Marcellin L, Batteux F, Doridot L. BCG-trained innate immunity leads to fetal growth restriction by altering immune cell profile in the mouse developing placenta. J Leukoc Biol. 2021;111(5):1009-1020. doi:10.1002/JLB.4A0720-458RR. PMID: 34533228.</w:t>
      </w:r>
    </w:p>
    <w:p>
      <w:pPr>
        <w:spacing w:after="140" w:line="264"/>
        <w:ind w:left="360" w:hanging="360"/>
      </w:pPr>
      <w:r>
        <w:rPr>
          <w:b/>
          <w:bCs/>
          <w:sz w:val="20"/>
          <w:szCs w:val="20"/>
        </w:rPr>
        <w:t xml:space="preserve">[13] </w:t>
      </w:r>
      <w:r>
        <w:rPr>
          <w:sz w:val="20"/>
          <w:szCs w:val="20"/>
        </w:rPr>
        <w:t xml:space="preserve">Jeyanathan M, Fritz DK, Afkhami S, Aguirre E, Howie KJ, Zganiacz A, Dvorkin-Gheva A, Thompson MR, Silver RF, Cusack RP, Lichty BD, Miller MS, O'Byrne PM, Satia I, Killian KJ, Xing Z. Parenteral BCG vaccine induces lung-resident memory macrophages and trained immunity via the gut–lung axis. Nat Immunol. 2022;23(11):1687-1702. Retrieved via Consensus (consensus.app).</w:t>
      </w:r>
    </w:p>
    <w:p>
      <w:pPr>
        <w:spacing w:after="140" w:line="264"/>
        <w:ind w:left="360" w:hanging="360"/>
      </w:pPr>
      <w:r>
        <w:rPr>
          <w:b/>
          <w:bCs/>
          <w:sz w:val="20"/>
          <w:szCs w:val="20"/>
        </w:rPr>
        <w:t xml:space="preserve">[14] </w:t>
      </w:r>
      <w:r>
        <w:rPr>
          <w:sz w:val="20"/>
          <w:szCs w:val="20"/>
        </w:rPr>
        <w:t xml:space="preserve">Covián C, Fernández-Fierro A, Retamal-Díaz A, Díaz FE, Vasquez AE, Lay MK, Riedel CA, González PA, Bueno SM, Kalergis AM. BCG-Induced Cross-Protection and Development of Trained Immunity: Implication for Vaccine Design. Front Immunol. 2019;10:2806. Retrieved via Consensus (consensus.app).</w:t>
      </w:r>
    </w:p>
    <w:p>
      <w:pPr>
        <w:spacing w:after="140" w:line="264"/>
        <w:ind w:left="360" w:hanging="360"/>
      </w:pPr>
      <w:r>
        <w:rPr>
          <w:b/>
          <w:bCs/>
          <w:sz w:val="20"/>
          <w:szCs w:val="20"/>
        </w:rPr>
        <w:t xml:space="preserve">[15] </w:t>
      </w:r>
      <w:r>
        <w:rPr>
          <w:sz w:val="20"/>
          <w:szCs w:val="20"/>
        </w:rPr>
        <w:t xml:space="preserve">Moorlag SJCFM, et al. Multi-omics analysis of innate and adaptive responses to BCG vaccination reveals epigenetic cell states that predict trained immunity. Immunity. 2024;57(1):171-187. Retrieved via Consensus (consensus.app).</w:t>
      </w:r>
    </w:p>
    <w:p>
      <w:pPr>
        <w:spacing w:after="140" w:line="264"/>
        <w:ind w:left="360" w:hanging="360"/>
      </w:pPr>
      <w:r>
        <w:rPr>
          <w:b/>
          <w:bCs/>
          <w:sz w:val="20"/>
          <w:szCs w:val="20"/>
        </w:rPr>
        <w:t xml:space="preserve">[16] </w:t>
      </w:r>
      <w:r>
        <w:rPr>
          <w:sz w:val="20"/>
          <w:szCs w:val="20"/>
        </w:rPr>
        <w:t xml:space="preserve">ClinicalTrials.gov. Trial registrations NCT04328441 (BCG-CORONA), NCT04348370, NCT04417335, NCT05507671, NCT03400878, NCT03296423. U.S. National Library of Medicine. Accessed August 2026 via the ClinicalTrials.gov API.</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1F3B5C"/>
      <w:sz w:val="30"/>
      <w:szCs w:val="30"/>
    </w:rPr>
  </w:style>
  <w:style w:type="paragraph" w:styleId="Heading2">
    <w:name w:val="Heading 2"/>
    <w:basedOn w:val="Normal"/>
    <w:next w:val="Normal"/>
    <w:qFormat/>
    <w:pPr>
      <w:spacing w:after="120" w:before="260"/>
      <w:outlineLvl w:val="1"/>
    </w:pPr>
    <w:rPr>
      <w:rFonts w:ascii="Calibri" w:cs="Calibri" w:eastAsia="Calibri" w:hAnsi="Calibri"/>
      <w:b/>
      <w:bCs/>
      <w:color w:val="2B4A7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57017fa5b3ea4307b9b36ad4861f177ee140ca8.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2026-08-11T13:20:55.471Z</dcterms:created>
  <dcterms:modified xsi:type="dcterms:W3CDTF">2026-08-11T13:20:55.472Z</dcterms:modified>
</cp:coreProperties>
</file>

<file path=docProps/custom.xml><?xml version="1.0" encoding="utf-8"?>
<Properties xmlns="http://schemas.openxmlformats.org/officeDocument/2006/custom-properties" xmlns:vt="http://schemas.openxmlformats.org/officeDocument/2006/docPropsVTypes"/>
</file>