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F4E79"/>
          <w:sz w:val="40"/>
        </w:rPr>
        <w:t>Optimización de Consultas de Mínimo en Rango (RMQ): De O(N) a O(1)</w:t>
      </w:r>
    </w:p>
    <w:p>
      <w:pPr>
        <w:spacing w:after="360"/>
        <w:jc w:val="center"/>
      </w:pPr>
      <w:r>
        <w:rPr>
          <w:rFonts w:ascii="Arial" w:hAnsi="Arial"/>
          <w:color w:val="646464"/>
          <w:sz w:val="21"/>
        </w:rPr>
        <w:t>Grupo de Investigación Algorítmica</w:t>
        <w:br/>
        <w:t>Universidad del Trabajo Final</w:t>
        <w:br/>
        <w:t>Repositorio Git: https://github.com/nicotitopp/trabajoFinal.git</w:t>
      </w:r>
    </w:p>
    <w:p>
      <w:pPr>
        <w:spacing w:before="240" w:after="80"/>
        <w:jc w:val="center"/>
      </w:pPr>
      <w:r>
        <w:rPr>
          <w:rFonts w:ascii="Arial" w:hAnsi="Arial"/>
          <w:b/>
          <w:color w:val="1F4E79"/>
          <w:sz w:val="22"/>
        </w:rPr>
        <w:t>Resumen</w:t>
      </w:r>
    </w:p>
    <w:p>
      <w:pPr>
        <w:spacing w:after="360" w:line="276" w:lineRule="auto"/>
        <w:ind w:left="576" w:right="576"/>
        <w:jc w:val="both"/>
      </w:pPr>
      <w:r>
        <w:rPr>
          <w:rFonts w:ascii="Arial" w:hAnsi="Arial"/>
          <w:i/>
          <w:sz w:val="19"/>
        </w:rPr>
        <w:t>El problema de Consulta de Mínimo en Rango (RMQ) consiste en hallar el valor mínimo dentro de un subarreglo arbitrario de una secuencia estática. El enfoque tradicional requiere recorrer secuencialmente el rango con un costo temporal de O(N) por consulta. En este trabajo se investiga, implementa y demuestra la optimización de este problema mediante la estructura de datos Sparse Table (Tabla Dispersa). Aprovechando la propiedad matemática de idempotencia del operador mínimo y precomputación mediante programación dinámica, esta estructura reduce la complejidad temporal de las consultas a un costo constante de O(1). Los resultados empíricos validan esta mejora asintótica, demostrando un incremento de rendimiento superior a 3700x en conjuntos de datos a gran escala. El código de los algoritmos y la documentación se encuentran en el repositorio oficial.</w:t>
      </w:r>
    </w:p>
    <w:p>
      <w:pPr>
        <w:keepNext/>
        <w:spacing w:before="280" w:after="120"/>
      </w:pPr>
      <w:r>
        <w:rPr>
          <w:rFonts w:ascii="Arial" w:hAnsi="Arial"/>
          <w:b/>
          <w:color w:val="1F4E79"/>
          <w:sz w:val="26"/>
        </w:rPr>
        <w:t>1. Introducción</w:t>
      </w:r>
    </w:p>
    <w:p>
      <w:pPr>
        <w:spacing w:after="120" w:line="276" w:lineRule="auto"/>
        <w:jc w:val="both"/>
      </w:pPr>
      <w:r>
        <w:rPr>
          <w:rFonts w:ascii="Arial" w:hAnsi="Arial"/>
          <w:sz w:val="22"/>
        </w:rPr>
        <w:t>El procesamiento eficiente de consultas sobre colecciones de datos es un pilar fundamental para la escalabilidad en el desarrollo de software. Consideremos el problema RMQ: dado un arreglo estático A de tamaño N, y un rango de consulta [L, R], deseamos encontrar el valor mínimo en ese intervalo.</w:t>
      </w:r>
    </w:p>
    <w:p>
      <w:pPr>
        <w:spacing w:after="120" w:line="276" w:lineRule="auto"/>
        <w:jc w:val="both"/>
      </w:pPr>
      <w:r>
        <w:rPr>
          <w:rFonts w:ascii="Arial" w:hAnsi="Arial"/>
          <w:sz w:val="22"/>
        </w:rPr>
        <w:t>La aproximación secuencial simple realiza un bucle desde L hasta R, acumulando el mínimo en tiempo lineal O(N). Cuando la cantidad de consultas Q es masiva, el costo total escala a O(Q * N), convirtiéndose en un cuello de botella computacional crítico en aplicaciones que manejan altos volúmenes de tráfico.</w:t>
      </w:r>
    </w:p>
    <w:p>
      <w:pPr>
        <w:keepNext/>
        <w:spacing w:before="280" w:after="120"/>
      </w:pPr>
      <w:r>
        <w:rPr>
          <w:rFonts w:ascii="Arial" w:hAnsi="Arial"/>
          <w:b/>
          <w:color w:val="1F4E79"/>
          <w:sz w:val="26"/>
        </w:rPr>
        <w:t>2. Desarrollo Matemático</w:t>
      </w:r>
    </w:p>
    <w:p>
      <w:pPr>
        <w:spacing w:after="120" w:line="276" w:lineRule="auto"/>
        <w:jc w:val="both"/>
      </w:pPr>
      <w:r>
        <w:rPr>
          <w:rFonts w:ascii="Arial" w:hAnsi="Arial"/>
          <w:sz w:val="22"/>
        </w:rPr>
        <w:t>Para optimizar el costo de consulta a tiempo constante O(1), empleamos la estructura de datos Sparse Table (Tabla Dispersa), la cual se basa en la precomputación de intervalos cuyas longitudes son potencias de dos.</w:t>
      </w:r>
    </w:p>
    <w:p>
      <w:pPr>
        <w:keepNext/>
        <w:spacing w:before="200" w:after="80"/>
      </w:pPr>
      <w:r>
        <w:rPr>
          <w:rFonts w:ascii="Arial" w:hAnsi="Arial"/>
          <w:b/>
          <w:color w:val="464646"/>
          <w:sz w:val="23"/>
        </w:rPr>
        <w:t>2.1 Precomputación por Programación Dinámica</w:t>
      </w:r>
    </w:p>
    <w:p>
      <w:pPr>
        <w:spacing w:after="120" w:line="276" w:lineRule="auto"/>
        <w:jc w:val="both"/>
      </w:pPr>
      <w:r>
        <w:rPr>
          <w:rFonts w:ascii="Arial" w:hAnsi="Arial"/>
          <w:sz w:val="22"/>
        </w:rPr>
        <w:t>Definimos la matriz ST[i][j] como el mínimo en el rango [i, i + 2^j - 1]. La construcción de esta tabla se formula recursivamente como:</w:t>
      </w:r>
    </w:p>
    <w:p>
      <w:pPr>
        <w:spacing w:before="120" w:after="120"/>
        <w:jc w:val="center"/>
      </w:pPr>
      <w:r>
        <w:rPr>
          <w:rFonts w:ascii="Consolas" w:hAnsi="Consolas"/>
          <w:b/>
          <w:color w:val="323232"/>
          <w:sz w:val="19"/>
        </w:rPr>
        <w:t>Caso base (j = 0):</w:t>
        <w:br/>
        <w:t>ST[i][0] = A[i]      ∀ i ∈ [0, N-1]</w:t>
        <w:br/>
        <w:br/>
        <w:t>Paso de transición (j &gt; 0):</w:t>
        <w:br/>
        <w:t>ST[i][j] = min( ST[i][j-1], \; ST[i + 2^(j-1)][j-1] )</w:t>
      </w:r>
    </w:p>
    <w:p>
      <w:pPr>
        <w:spacing w:after="120" w:line="276" w:lineRule="auto"/>
        <w:jc w:val="both"/>
      </w:pPr>
      <w:r>
        <w:rPr>
          <w:rFonts w:ascii="Arial" w:hAnsi="Arial"/>
          <w:sz w:val="22"/>
        </w:rPr>
        <w:t>Esta fase de precomputación requiere llenar una matriz de dimensiones N x (log2(N) + 1), lo que implica un costo computacional y espacial de O(N log N).</w:t>
      </w:r>
    </w:p>
    <w:p>
      <w:pPr>
        <w:keepNext/>
        <w:spacing w:before="200" w:after="80"/>
      </w:pPr>
      <w:r>
        <w:rPr>
          <w:rFonts w:ascii="Arial" w:hAnsi="Arial"/>
          <w:b/>
          <w:color w:val="464646"/>
          <w:sz w:val="23"/>
        </w:rPr>
        <w:t>2.2 Consulta en Tiempo Constante O(1)</w:t>
      </w:r>
    </w:p>
    <w:p>
      <w:pPr>
        <w:spacing w:after="120" w:line="276" w:lineRule="auto"/>
        <w:jc w:val="both"/>
      </w:pPr>
      <w:r>
        <w:rPr>
          <w:rFonts w:ascii="Arial" w:hAnsi="Arial"/>
          <w:sz w:val="22"/>
        </w:rPr>
        <w:t>La optimización clave se fundamenta en la propiedad matemática de idempotencia del operador mínimo, la cual establece que:</w:t>
      </w:r>
    </w:p>
    <w:p>
      <w:pPr>
        <w:spacing w:before="80" w:after="80"/>
        <w:jc w:val="center"/>
      </w:pPr>
      <w:r>
        <w:rPr>
          <w:rFonts w:ascii="Consolas" w:hAnsi="Consolas"/>
          <w:b/>
          <w:color w:val="323232"/>
          <w:sz w:val="20"/>
        </w:rPr>
        <w:t>min(x, x) = x</w:t>
      </w:r>
    </w:p>
    <w:p>
      <w:pPr>
        <w:spacing w:after="120" w:line="276" w:lineRule="auto"/>
        <w:jc w:val="both"/>
      </w:pPr>
      <w:r>
        <w:rPr>
          <w:rFonts w:ascii="Arial" w:hAnsi="Arial"/>
          <w:sz w:val="22"/>
        </w:rPr>
        <w:t>Dado un rango [L, R] de longitud len = R - L + 1, definimos k = floor(log2(len)). Como 2^k &lt;= len &lt; 2^(k+1), podemos cubrir el rango completo [L, R] mediante la unión de dos intervalos solapados de longitud 2^k: el primero iniciando en L y el segundo finalizando en R.</w:t>
      </w:r>
    </w:p>
    <w:p>
      <w:pPr>
        <w:spacing w:after="120" w:line="276" w:lineRule="auto"/>
        <w:jc w:val="both"/>
      </w:pPr>
      <w:r>
        <w:rPr>
          <w:rFonts w:ascii="Arial" w:hAnsi="Arial"/>
          <w:sz w:val="22"/>
        </w:rPr>
        <w:t>Por consiguiente, el valor mínimo se calcula directamente en O(1) mediante la siguiente fórmula de indexación directa:</w:t>
      </w:r>
    </w:p>
    <w:p>
      <w:pPr>
        <w:spacing w:before="120" w:after="120"/>
        <w:jc w:val="center"/>
      </w:pPr>
      <w:r>
        <w:rPr>
          <w:rFonts w:ascii="Consolas" w:hAnsi="Consolas"/>
          <w:b/>
          <w:color w:val="1F4E79"/>
          <w:sz w:val="20"/>
        </w:rPr>
        <w:t>RMQ(L, R) = min( ST[L][k], \; ST[R - 2^k + 1][k] )</w:t>
      </w:r>
    </w:p>
    <w:p>
      <w:pPr>
        <w:spacing w:after="120" w:line="276" w:lineRule="auto"/>
        <w:jc w:val="both"/>
      </w:pPr>
      <w:r>
        <w:rPr>
          <w:rFonts w:ascii="Arial" w:hAnsi="Arial"/>
          <w:sz w:val="22"/>
        </w:rPr>
        <w:t>Esto reduce drásticamente la complejidad acumulada de Q consultas de un costo de O(Q * N) a un costo altamente escalable de:</w:t>
      </w:r>
    </w:p>
    <w:p>
      <w:pPr>
        <w:spacing w:before="80" w:after="200"/>
        <w:jc w:val="center"/>
      </w:pPr>
      <w:r>
        <w:rPr>
          <w:rFonts w:ascii="Consolas" w:hAnsi="Consolas"/>
          <w:b/>
          <w:sz w:val="20"/>
        </w:rPr>
        <w:t>T_total = O(N log N + Q)</w:t>
      </w:r>
    </w:p>
    <w:p>
      <w:pPr>
        <w:keepNext/>
        <w:spacing w:before="280" w:after="120"/>
      </w:pPr>
      <w:r>
        <w:rPr>
          <w:rFonts w:ascii="Arial" w:hAnsi="Arial"/>
          <w:b/>
          <w:color w:val="1F4E79"/>
          <w:sz w:val="26"/>
        </w:rPr>
        <w:t>3. Resultados</w:t>
      </w:r>
    </w:p>
    <w:p>
      <w:pPr>
        <w:spacing w:after="120" w:line="276" w:lineRule="auto"/>
        <w:jc w:val="both"/>
      </w:pPr>
      <w:r>
        <w:rPr>
          <w:rFonts w:ascii="Arial" w:hAnsi="Arial"/>
          <w:sz w:val="22"/>
        </w:rPr>
        <w:t>Las pruebas empíricas se ejecutaron en Python 3.11 sobre arreglos y consultas aleatorias. Para un escenario masivo con N = 500,000 y Q = 1,000,000:</w:t>
      </w:r>
    </w:p>
    <w:p>
      <w:pPr>
        <w:pStyle w:val="ListBullet"/>
        <w:spacing w:after="60"/>
      </w:pPr>
      <w:r>
        <w:rPr>
          <w:rFonts w:ascii="Arial" w:hAnsi="Arial"/>
          <w:b/>
          <w:sz w:val="22"/>
        </w:rPr>
        <w:t xml:space="preserve">Método ingenuo lineal: </w:t>
      </w:r>
      <w:r>
        <w:rPr>
          <w:rFonts w:ascii="Arial" w:hAnsi="Arial"/>
          <w:sz w:val="22"/>
        </w:rPr>
        <w:t>tarda aproximadamente 3104.67 segundos (más de 51 minutos).</w:t>
      </w:r>
    </w:p>
    <w:p>
      <w:pPr>
        <w:pStyle w:val="ListBullet"/>
        <w:spacing w:after="160"/>
      </w:pPr>
      <w:r>
        <w:rPr>
          <w:rFonts w:ascii="Arial" w:hAnsi="Arial"/>
          <w:b/>
          <w:sz w:val="22"/>
        </w:rPr>
        <w:t xml:space="preserve">Método optimizado (Sparse Table): </w:t>
      </w:r>
      <w:r>
        <w:rPr>
          <w:rFonts w:ascii="Arial" w:hAnsi="Arial"/>
          <w:sz w:val="22"/>
        </w:rPr>
        <w:t>resuelve la totalidad de las consultas en solo 0.829 segundos (de forma instantánea).</w:t>
      </w:r>
    </w:p>
    <w:p>
      <w:pPr>
        <w:spacing w:after="120" w:line="276" w:lineRule="auto"/>
        <w:jc w:val="both"/>
      </w:pPr>
      <w:r>
        <w:rPr>
          <w:rFonts w:ascii="Arial" w:hAnsi="Arial"/>
          <w:sz w:val="22"/>
        </w:rPr>
        <w:t>El incremento de velocidad (speedup) específico en las consultas alcanza un factor de 3743.1x, demostrando la viabilidad de la optimización en sistemas de alta disponibilidad.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shd w:fill="1F4E79"/>
            <w:tcMar>
              <w:top w:w="120" w:type="dxa"/>
              <w:bottom w:w="120" w:type="dxa"/>
              <w:left w:w="150" w:type="dxa"/>
              <w:right w:w="150" w:type="dxa"/>
            </w:tcMar>
          </w:tcPr>
          <w:p>
            <w:pPr>
              <w:jc w:val="left"/>
            </w:pPr>
            <w:r>
              <w:rPr>
                <w:rFonts w:ascii="Arial" w:hAnsi="Arial"/>
                <w:b/>
                <w:color w:val="FFFFFF"/>
                <w:sz w:val="19"/>
              </w:rPr>
              <w:t>Arreglo (N)</w:t>
            </w:r>
          </w:p>
        </w:tc>
        <w:tc>
          <w:tcPr>
            <w:tcW w:type="dxa" w:w="1337"/>
            <w:shd w:fill="1F4E79"/>
            <w:tcMar>
              <w:top w:w="120" w:type="dxa"/>
              <w:bottom w:w="120" w:type="dxa"/>
              <w:left w:w="150" w:type="dxa"/>
              <w:right w:w="150" w:type="dxa"/>
            </w:tcMar>
          </w:tcPr>
          <w:p>
            <w:pPr>
              <w:jc w:val="left"/>
            </w:pPr>
            <w:r>
              <w:rPr>
                <w:rFonts w:ascii="Arial" w:hAnsi="Arial"/>
                <w:b/>
                <w:color w:val="FFFFFF"/>
                <w:sz w:val="19"/>
              </w:rPr>
              <w:t>Consultas (Q)</w:t>
            </w:r>
          </w:p>
        </w:tc>
        <w:tc>
          <w:tcPr>
            <w:tcW w:type="dxa" w:w="1337"/>
            <w:shd w:fill="1F4E79"/>
            <w:tcMar>
              <w:top w:w="120" w:type="dxa"/>
              <w:bottom w:w="120" w:type="dxa"/>
              <w:left w:w="150" w:type="dxa"/>
              <w:right w:w="150" w:type="dxa"/>
            </w:tcMar>
          </w:tcPr>
          <w:p>
            <w:pPr>
              <w:jc w:val="right"/>
            </w:pPr>
            <w:r>
              <w:rPr>
                <w:rFonts w:ascii="Arial" w:hAnsi="Arial"/>
                <w:b/>
                <w:color w:val="FFFFFF"/>
                <w:sz w:val="19"/>
              </w:rPr>
              <w:t>Const. Naive (s)</w:t>
            </w:r>
          </w:p>
        </w:tc>
        <w:tc>
          <w:tcPr>
            <w:tcW w:type="dxa" w:w="1337"/>
            <w:shd w:fill="1F4E79"/>
            <w:tcMar>
              <w:top w:w="120" w:type="dxa"/>
              <w:bottom w:w="120" w:type="dxa"/>
              <w:left w:w="150" w:type="dxa"/>
              <w:right w:w="150" w:type="dxa"/>
            </w:tcMar>
          </w:tcPr>
          <w:p>
            <w:pPr>
              <w:jc w:val="right"/>
            </w:pPr>
            <w:r>
              <w:rPr>
                <w:rFonts w:ascii="Arial" w:hAnsi="Arial"/>
                <w:b/>
                <w:color w:val="FFFFFF"/>
                <w:sz w:val="19"/>
              </w:rPr>
              <w:t>Consultas Naive (s)</w:t>
            </w:r>
          </w:p>
        </w:tc>
        <w:tc>
          <w:tcPr>
            <w:tcW w:type="dxa" w:w="1337"/>
            <w:shd w:fill="1F4E79"/>
            <w:tcMar>
              <w:top w:w="120" w:type="dxa"/>
              <w:bottom w:w="120" w:type="dxa"/>
              <w:left w:w="150" w:type="dxa"/>
              <w:right w:w="150" w:type="dxa"/>
            </w:tcMar>
          </w:tcPr>
          <w:p>
            <w:pPr>
              <w:jc w:val="right"/>
            </w:pPr>
            <w:r>
              <w:rPr>
                <w:rFonts w:ascii="Arial" w:hAnsi="Arial"/>
                <w:b/>
                <w:color w:val="FFFFFF"/>
                <w:sz w:val="19"/>
              </w:rPr>
              <w:t>Prec. ST (s)</w:t>
            </w:r>
          </w:p>
        </w:tc>
        <w:tc>
          <w:tcPr>
            <w:tcW w:type="dxa" w:w="1337"/>
            <w:shd w:fill="1F4E79"/>
            <w:tcMar>
              <w:top w:w="120" w:type="dxa"/>
              <w:bottom w:w="120" w:type="dxa"/>
              <w:left w:w="150" w:type="dxa"/>
              <w:right w:w="150" w:type="dxa"/>
            </w:tcMar>
          </w:tcPr>
          <w:p>
            <w:pPr>
              <w:jc w:val="right"/>
            </w:pPr>
            <w:r>
              <w:rPr>
                <w:rFonts w:ascii="Arial" w:hAnsi="Arial"/>
                <w:b/>
                <w:color w:val="FFFFFF"/>
                <w:sz w:val="19"/>
              </w:rPr>
              <w:t>Consultas ST (s)</w:t>
            </w:r>
          </w:p>
        </w:tc>
        <w:tc>
          <w:tcPr>
            <w:tcW w:type="dxa" w:w="1337"/>
            <w:shd w:fill="1F4E79"/>
            <w:tcMar>
              <w:top w:w="120" w:type="dxa"/>
              <w:bottom w:w="120" w:type="dxa"/>
              <w:left w:w="150" w:type="dxa"/>
              <w:right w:w="150" w:type="dxa"/>
            </w:tcMar>
          </w:tcPr>
          <w:p>
            <w:pPr>
              <w:jc w:val="right"/>
            </w:pPr>
            <w:r>
              <w:rPr>
                <w:rFonts w:ascii="Arial" w:hAnsi="Arial"/>
                <w:b/>
                <w:color w:val="FFFFFF"/>
                <w:sz w:val="19"/>
              </w:rPr>
              <w:t>Speedup</w:t>
            </w:r>
          </w:p>
        </w:tc>
      </w:tr>
      <w:tr>
        <w:trPr>
          <w:cantSplit/>
        </w:trPr>
        <w:tc>
          <w:tcPr>
            <w:tcW w:type="dxa" w:w="1337"/>
            <w:shd w:fill="F2F5F8"/>
            <w:tcMar>
              <w:top w:w="120" w:type="dxa"/>
              <w:bottom w:w="120" w:type="dxa"/>
              <w:left w:w="150" w:type="dxa"/>
              <w:right w:w="150" w:type="dxa"/>
            </w:tcMar>
          </w:tcPr>
          <w:p>
            <w:pPr>
              <w:jc w:val="left"/>
            </w:pPr>
            <w:r>
              <w:rPr>
                <w:rFonts w:ascii="Arial" w:hAnsi="Arial"/>
                <w:sz w:val="19"/>
              </w:rPr>
              <w:t>100</w:t>
            </w:r>
          </w:p>
        </w:tc>
        <w:tc>
          <w:tcPr>
            <w:tcW w:type="dxa" w:w="1337"/>
            <w:shd w:fill="F2F5F8"/>
            <w:tcMar>
              <w:top w:w="120" w:type="dxa"/>
              <w:bottom w:w="120" w:type="dxa"/>
              <w:left w:w="150" w:type="dxa"/>
              <w:right w:w="150" w:type="dxa"/>
            </w:tcMar>
          </w:tcPr>
          <w:p>
            <w:pPr>
              <w:jc w:val="left"/>
            </w:pPr>
            <w:r>
              <w:rPr>
                <w:rFonts w:ascii="Arial" w:hAnsi="Arial"/>
                <w:sz w:val="19"/>
              </w:rPr>
              <w:t>1,000</w:t>
            </w:r>
          </w:p>
        </w:tc>
        <w:tc>
          <w:tcPr>
            <w:tcW w:type="dxa" w:w="1337"/>
            <w:shd w:fill="F2F5F8"/>
            <w:tcMar>
              <w:top w:w="120" w:type="dxa"/>
              <w:bottom w:w="120" w:type="dxa"/>
              <w:left w:w="150" w:type="dxa"/>
              <w:right w:w="150" w:type="dxa"/>
            </w:tcMar>
          </w:tcPr>
          <w:p>
            <w:pPr>
              <w:jc w:val="right"/>
            </w:pPr>
            <w:r>
              <w:rPr>
                <w:rFonts w:ascii="Arial" w:hAnsi="Arial"/>
                <w:sz w:val="19"/>
              </w:rPr>
              <w:t>0.000001</w:t>
            </w:r>
          </w:p>
        </w:tc>
        <w:tc>
          <w:tcPr>
            <w:tcW w:type="dxa" w:w="1337"/>
            <w:shd w:fill="F2F5F8"/>
            <w:tcMar>
              <w:top w:w="120" w:type="dxa"/>
              <w:bottom w:w="120" w:type="dxa"/>
              <w:left w:w="150" w:type="dxa"/>
              <w:right w:w="150" w:type="dxa"/>
            </w:tcMar>
          </w:tcPr>
          <w:p>
            <w:pPr>
              <w:jc w:val="right"/>
            </w:pPr>
            <w:r>
              <w:rPr>
                <w:rFonts w:ascii="Arial" w:hAnsi="Arial"/>
                <w:sz w:val="19"/>
              </w:rPr>
              <w:t>0.000710</w:t>
            </w:r>
          </w:p>
        </w:tc>
        <w:tc>
          <w:tcPr>
            <w:tcW w:type="dxa" w:w="1337"/>
            <w:shd w:fill="F2F5F8"/>
            <w:tcMar>
              <w:top w:w="120" w:type="dxa"/>
              <w:bottom w:w="120" w:type="dxa"/>
              <w:left w:w="150" w:type="dxa"/>
              <w:right w:w="150" w:type="dxa"/>
            </w:tcMar>
          </w:tcPr>
          <w:p>
            <w:pPr>
              <w:jc w:val="right"/>
            </w:pPr>
            <w:r>
              <w:rPr>
                <w:rFonts w:ascii="Arial" w:hAnsi="Arial"/>
                <w:sz w:val="19"/>
              </w:rPr>
              <w:t>0.000084</w:t>
            </w:r>
          </w:p>
        </w:tc>
        <w:tc>
          <w:tcPr>
            <w:tcW w:type="dxa" w:w="1337"/>
            <w:shd w:fill="F2F5F8"/>
            <w:tcMar>
              <w:top w:w="120" w:type="dxa"/>
              <w:bottom w:w="120" w:type="dxa"/>
              <w:left w:w="150" w:type="dxa"/>
              <w:right w:w="150" w:type="dxa"/>
            </w:tcMar>
          </w:tcPr>
          <w:p>
            <w:pPr>
              <w:jc w:val="right"/>
            </w:pPr>
            <w:r>
              <w:rPr>
                <w:rFonts w:ascii="Arial" w:hAnsi="Arial"/>
                <w:sz w:val="19"/>
              </w:rPr>
              <w:t>0.000239</w:t>
            </w:r>
          </w:p>
        </w:tc>
        <w:tc>
          <w:tcPr>
            <w:tcW w:type="dxa" w:w="1337"/>
            <w:shd w:fill="F2F5F8"/>
            <w:tcMar>
              <w:top w:w="120" w:type="dxa"/>
              <w:bottom w:w="120" w:type="dxa"/>
              <w:left w:w="150" w:type="dxa"/>
              <w:right w:w="150" w:type="dxa"/>
            </w:tcMar>
          </w:tcPr>
          <w:p>
            <w:pPr>
              <w:jc w:val="right"/>
            </w:pPr>
            <w:r>
              <w:rPr>
                <w:rFonts w:ascii="Arial" w:hAnsi="Arial"/>
                <w:sz w:val="19"/>
              </w:rPr>
              <w:t>3.0x</w:t>
            </w:r>
          </w:p>
        </w:tc>
      </w:tr>
      <w:tr>
        <w:trPr>
          <w:cantSplit/>
        </w:trPr>
        <w:tc>
          <w:tcPr>
            <w:tcW w:type="dxa" w:w="1337"/>
            <w:tcMar>
              <w:top w:w="120" w:type="dxa"/>
              <w:bottom w:w="120" w:type="dxa"/>
              <w:left w:w="150" w:type="dxa"/>
              <w:right w:w="150" w:type="dxa"/>
            </w:tcMar>
          </w:tcPr>
          <w:p>
            <w:pPr>
              <w:jc w:val="left"/>
            </w:pPr>
            <w:r>
              <w:rPr>
                <w:rFonts w:ascii="Arial" w:hAnsi="Arial"/>
                <w:sz w:val="19"/>
              </w:rPr>
              <w:t>1,000</w:t>
            </w:r>
          </w:p>
        </w:tc>
        <w:tc>
          <w:tcPr>
            <w:tcW w:type="dxa" w:w="1337"/>
            <w:tcMar>
              <w:top w:w="120" w:type="dxa"/>
              <w:bottom w:w="120" w:type="dxa"/>
              <w:left w:w="150" w:type="dxa"/>
              <w:right w:w="150" w:type="dxa"/>
            </w:tcMar>
          </w:tcPr>
          <w:p>
            <w:pPr>
              <w:jc w:val="left"/>
            </w:pPr>
            <w:r>
              <w:rPr>
                <w:rFonts w:ascii="Arial" w:hAnsi="Arial"/>
                <w:sz w:val="19"/>
              </w:rPr>
              <w:t>5,000</w:t>
            </w:r>
          </w:p>
        </w:tc>
        <w:tc>
          <w:tcPr>
            <w:tcW w:type="dxa" w:w="1337"/>
            <w:tcMar>
              <w:top w:w="120" w:type="dxa"/>
              <w:bottom w:w="120" w:type="dxa"/>
              <w:left w:w="150" w:type="dxa"/>
              <w:right w:w="150" w:type="dxa"/>
            </w:tcMar>
          </w:tcPr>
          <w:p>
            <w:pPr>
              <w:jc w:val="right"/>
            </w:pPr>
            <w:r>
              <w:rPr>
                <w:rFonts w:ascii="Arial" w:hAnsi="Arial"/>
                <w:sz w:val="19"/>
              </w:rPr>
              <w:t>0.000002</w:t>
            </w:r>
          </w:p>
        </w:tc>
        <w:tc>
          <w:tcPr>
            <w:tcW w:type="dxa" w:w="1337"/>
            <w:tcMar>
              <w:top w:w="120" w:type="dxa"/>
              <w:bottom w:w="120" w:type="dxa"/>
              <w:left w:w="150" w:type="dxa"/>
              <w:right w:w="150" w:type="dxa"/>
            </w:tcMar>
          </w:tcPr>
          <w:p>
            <w:pPr>
              <w:jc w:val="right"/>
            </w:pPr>
            <w:r>
              <w:rPr>
                <w:rFonts w:ascii="Arial" w:hAnsi="Arial"/>
                <w:sz w:val="19"/>
              </w:rPr>
              <w:t>0.028931</w:t>
            </w:r>
          </w:p>
        </w:tc>
        <w:tc>
          <w:tcPr>
            <w:tcW w:type="dxa" w:w="1337"/>
            <w:tcMar>
              <w:top w:w="120" w:type="dxa"/>
              <w:bottom w:w="120" w:type="dxa"/>
              <w:left w:w="150" w:type="dxa"/>
              <w:right w:w="150" w:type="dxa"/>
            </w:tcMar>
          </w:tcPr>
          <w:p>
            <w:pPr>
              <w:jc w:val="right"/>
            </w:pPr>
            <w:r>
              <w:rPr>
                <w:rFonts w:ascii="Arial" w:hAnsi="Arial"/>
                <w:sz w:val="19"/>
              </w:rPr>
              <w:t>0.001370</w:t>
            </w:r>
          </w:p>
        </w:tc>
        <w:tc>
          <w:tcPr>
            <w:tcW w:type="dxa" w:w="1337"/>
            <w:tcMar>
              <w:top w:w="120" w:type="dxa"/>
              <w:bottom w:w="120" w:type="dxa"/>
              <w:left w:w="150" w:type="dxa"/>
              <w:right w:w="150" w:type="dxa"/>
            </w:tcMar>
          </w:tcPr>
          <w:p>
            <w:pPr>
              <w:jc w:val="right"/>
            </w:pPr>
            <w:r>
              <w:rPr>
                <w:rFonts w:ascii="Arial" w:hAnsi="Arial"/>
                <w:sz w:val="19"/>
              </w:rPr>
              <w:t>0.001299</w:t>
            </w:r>
          </w:p>
        </w:tc>
        <w:tc>
          <w:tcPr>
            <w:tcW w:type="dxa" w:w="1337"/>
            <w:tcMar>
              <w:top w:w="120" w:type="dxa"/>
              <w:bottom w:w="120" w:type="dxa"/>
              <w:left w:w="150" w:type="dxa"/>
              <w:right w:w="150" w:type="dxa"/>
            </w:tcMar>
          </w:tcPr>
          <w:p>
            <w:pPr>
              <w:jc w:val="right"/>
            </w:pPr>
            <w:r>
              <w:rPr>
                <w:rFonts w:ascii="Arial" w:hAnsi="Arial"/>
                <w:sz w:val="19"/>
              </w:rPr>
              <w:t>22.3x</w:t>
            </w:r>
          </w:p>
        </w:tc>
      </w:tr>
      <w:tr>
        <w:trPr>
          <w:cantSplit/>
        </w:trPr>
        <w:tc>
          <w:tcPr>
            <w:tcW w:type="dxa" w:w="1337"/>
            <w:shd w:fill="F2F5F8"/>
            <w:tcMar>
              <w:top w:w="120" w:type="dxa"/>
              <w:bottom w:w="120" w:type="dxa"/>
              <w:left w:w="150" w:type="dxa"/>
              <w:right w:w="150" w:type="dxa"/>
            </w:tcMar>
          </w:tcPr>
          <w:p>
            <w:pPr>
              <w:jc w:val="left"/>
            </w:pPr>
            <w:r>
              <w:rPr>
                <w:rFonts w:ascii="Arial" w:hAnsi="Arial"/>
                <w:sz w:val="19"/>
              </w:rPr>
              <w:t>5,000</w:t>
            </w:r>
          </w:p>
        </w:tc>
        <w:tc>
          <w:tcPr>
            <w:tcW w:type="dxa" w:w="1337"/>
            <w:shd w:fill="F2F5F8"/>
            <w:tcMar>
              <w:top w:w="120" w:type="dxa"/>
              <w:bottom w:w="120" w:type="dxa"/>
              <w:left w:w="150" w:type="dxa"/>
              <w:right w:w="150" w:type="dxa"/>
            </w:tcMar>
          </w:tcPr>
          <w:p>
            <w:pPr>
              <w:jc w:val="left"/>
            </w:pPr>
            <w:r>
              <w:rPr>
                <w:rFonts w:ascii="Arial" w:hAnsi="Arial"/>
                <w:sz w:val="19"/>
              </w:rPr>
              <w:t>10,000</w:t>
            </w:r>
          </w:p>
        </w:tc>
        <w:tc>
          <w:tcPr>
            <w:tcW w:type="dxa" w:w="1337"/>
            <w:shd w:fill="F2F5F8"/>
            <w:tcMar>
              <w:top w:w="120" w:type="dxa"/>
              <w:bottom w:w="120" w:type="dxa"/>
              <w:left w:w="150" w:type="dxa"/>
              <w:right w:w="150" w:type="dxa"/>
            </w:tcMar>
          </w:tcPr>
          <w:p>
            <w:pPr>
              <w:jc w:val="right"/>
            </w:pPr>
            <w:r>
              <w:rPr>
                <w:rFonts w:ascii="Arial" w:hAnsi="Arial"/>
                <w:sz w:val="19"/>
              </w:rPr>
              <w:t>0.000005</w:t>
            </w:r>
          </w:p>
        </w:tc>
        <w:tc>
          <w:tcPr>
            <w:tcW w:type="dxa" w:w="1337"/>
            <w:shd w:fill="F2F5F8"/>
            <w:tcMar>
              <w:top w:w="120" w:type="dxa"/>
              <w:bottom w:w="120" w:type="dxa"/>
              <w:left w:w="150" w:type="dxa"/>
              <w:right w:w="150" w:type="dxa"/>
            </w:tcMar>
          </w:tcPr>
          <w:p>
            <w:pPr>
              <w:jc w:val="right"/>
            </w:pPr>
            <w:r>
              <w:rPr>
                <w:rFonts w:ascii="Arial" w:hAnsi="Arial"/>
                <w:sz w:val="19"/>
              </w:rPr>
              <w:t>0.278195</w:t>
            </w:r>
          </w:p>
        </w:tc>
        <w:tc>
          <w:tcPr>
            <w:tcW w:type="dxa" w:w="1337"/>
            <w:shd w:fill="F2F5F8"/>
            <w:tcMar>
              <w:top w:w="120" w:type="dxa"/>
              <w:bottom w:w="120" w:type="dxa"/>
              <w:left w:w="150" w:type="dxa"/>
              <w:right w:w="150" w:type="dxa"/>
            </w:tcMar>
          </w:tcPr>
          <w:p>
            <w:pPr>
              <w:jc w:val="right"/>
            </w:pPr>
            <w:r>
              <w:rPr>
                <w:rFonts w:ascii="Arial" w:hAnsi="Arial"/>
                <w:sz w:val="19"/>
              </w:rPr>
              <w:t>0.008548</w:t>
            </w:r>
          </w:p>
        </w:tc>
        <w:tc>
          <w:tcPr>
            <w:tcW w:type="dxa" w:w="1337"/>
            <w:shd w:fill="F2F5F8"/>
            <w:tcMar>
              <w:top w:w="120" w:type="dxa"/>
              <w:bottom w:w="120" w:type="dxa"/>
              <w:left w:w="150" w:type="dxa"/>
              <w:right w:w="150" w:type="dxa"/>
            </w:tcMar>
          </w:tcPr>
          <w:p>
            <w:pPr>
              <w:jc w:val="right"/>
            </w:pPr>
            <w:r>
              <w:rPr>
                <w:rFonts w:ascii="Arial" w:hAnsi="Arial"/>
                <w:sz w:val="19"/>
              </w:rPr>
              <w:t>0.002953</w:t>
            </w:r>
          </w:p>
        </w:tc>
        <w:tc>
          <w:tcPr>
            <w:tcW w:type="dxa" w:w="1337"/>
            <w:shd w:fill="F2F5F8"/>
            <w:tcMar>
              <w:top w:w="120" w:type="dxa"/>
              <w:bottom w:w="120" w:type="dxa"/>
              <w:left w:w="150" w:type="dxa"/>
              <w:right w:w="150" w:type="dxa"/>
            </w:tcMar>
          </w:tcPr>
          <w:p>
            <w:pPr>
              <w:jc w:val="right"/>
            </w:pPr>
            <w:r>
              <w:rPr>
                <w:rFonts w:ascii="Arial" w:hAnsi="Arial"/>
                <w:sz w:val="19"/>
              </w:rPr>
              <w:t>94.2x</w:t>
            </w:r>
          </w:p>
        </w:tc>
      </w:tr>
      <w:tr>
        <w:trPr>
          <w:cantSplit/>
        </w:trPr>
        <w:tc>
          <w:tcPr>
            <w:tcW w:type="dxa" w:w="1337"/>
            <w:tcMar>
              <w:top w:w="120" w:type="dxa"/>
              <w:bottom w:w="120" w:type="dxa"/>
              <w:left w:w="150" w:type="dxa"/>
              <w:right w:w="150" w:type="dxa"/>
            </w:tcMar>
          </w:tcPr>
          <w:p>
            <w:pPr>
              <w:jc w:val="left"/>
            </w:pPr>
            <w:r>
              <w:rPr>
                <w:rFonts w:ascii="Arial" w:hAnsi="Arial"/>
                <w:sz w:val="19"/>
              </w:rPr>
              <w:t>10,000</w:t>
            </w:r>
          </w:p>
        </w:tc>
        <w:tc>
          <w:tcPr>
            <w:tcW w:type="dxa" w:w="1337"/>
            <w:tcMar>
              <w:top w:w="120" w:type="dxa"/>
              <w:bottom w:w="120" w:type="dxa"/>
              <w:left w:w="150" w:type="dxa"/>
              <w:right w:w="150" w:type="dxa"/>
            </w:tcMar>
          </w:tcPr>
          <w:p>
            <w:pPr>
              <w:jc w:val="left"/>
            </w:pPr>
            <w:r>
              <w:rPr>
                <w:rFonts w:ascii="Arial" w:hAnsi="Arial"/>
                <w:sz w:val="19"/>
              </w:rPr>
              <w:t>20,000</w:t>
            </w:r>
          </w:p>
        </w:tc>
        <w:tc>
          <w:tcPr>
            <w:tcW w:type="dxa" w:w="1337"/>
            <w:tcMar>
              <w:top w:w="120" w:type="dxa"/>
              <w:bottom w:w="120" w:type="dxa"/>
              <w:left w:w="150" w:type="dxa"/>
              <w:right w:w="150" w:type="dxa"/>
            </w:tcMar>
          </w:tcPr>
          <w:p>
            <w:pPr>
              <w:jc w:val="right"/>
            </w:pPr>
            <w:r>
              <w:rPr>
                <w:rFonts w:ascii="Arial" w:hAnsi="Arial"/>
                <w:sz w:val="19"/>
              </w:rPr>
              <w:t>0.000022</w:t>
            </w:r>
          </w:p>
        </w:tc>
        <w:tc>
          <w:tcPr>
            <w:tcW w:type="dxa" w:w="1337"/>
            <w:tcMar>
              <w:top w:w="120" w:type="dxa"/>
              <w:bottom w:w="120" w:type="dxa"/>
              <w:left w:w="150" w:type="dxa"/>
              <w:right w:w="150" w:type="dxa"/>
            </w:tcMar>
          </w:tcPr>
          <w:p>
            <w:pPr>
              <w:jc w:val="right"/>
            </w:pPr>
            <w:r>
              <w:rPr>
                <w:rFonts w:ascii="Arial" w:hAnsi="Arial"/>
                <w:sz w:val="19"/>
              </w:rPr>
              <w:t>1.096940*</w:t>
            </w:r>
          </w:p>
        </w:tc>
        <w:tc>
          <w:tcPr>
            <w:tcW w:type="dxa" w:w="1337"/>
            <w:tcMar>
              <w:top w:w="120" w:type="dxa"/>
              <w:bottom w:w="120" w:type="dxa"/>
              <w:left w:w="150" w:type="dxa"/>
              <w:right w:w="150" w:type="dxa"/>
            </w:tcMar>
          </w:tcPr>
          <w:p>
            <w:pPr>
              <w:jc w:val="right"/>
            </w:pPr>
            <w:r>
              <w:rPr>
                <w:rFonts w:ascii="Arial" w:hAnsi="Arial"/>
                <w:sz w:val="19"/>
              </w:rPr>
              <w:t>0.018902</w:t>
            </w:r>
          </w:p>
        </w:tc>
        <w:tc>
          <w:tcPr>
            <w:tcW w:type="dxa" w:w="1337"/>
            <w:tcMar>
              <w:top w:w="120" w:type="dxa"/>
              <w:bottom w:w="120" w:type="dxa"/>
              <w:left w:w="150" w:type="dxa"/>
              <w:right w:w="150" w:type="dxa"/>
            </w:tcMar>
          </w:tcPr>
          <w:p>
            <w:pPr>
              <w:jc w:val="right"/>
            </w:pPr>
            <w:r>
              <w:rPr>
                <w:rFonts w:ascii="Arial" w:hAnsi="Arial"/>
                <w:sz w:val="19"/>
              </w:rPr>
              <w:t>0.006228</w:t>
            </w:r>
          </w:p>
        </w:tc>
        <w:tc>
          <w:tcPr>
            <w:tcW w:type="dxa" w:w="1337"/>
            <w:tcMar>
              <w:top w:w="120" w:type="dxa"/>
              <w:bottom w:w="120" w:type="dxa"/>
              <w:left w:w="150" w:type="dxa"/>
              <w:right w:w="150" w:type="dxa"/>
            </w:tcMar>
          </w:tcPr>
          <w:p>
            <w:pPr>
              <w:jc w:val="right"/>
            </w:pPr>
            <w:r>
              <w:rPr>
                <w:rFonts w:ascii="Arial" w:hAnsi="Arial"/>
                <w:sz w:val="19"/>
              </w:rPr>
              <w:t>176.1x</w:t>
            </w:r>
          </w:p>
        </w:tc>
      </w:tr>
      <w:tr>
        <w:trPr>
          <w:cantSplit/>
        </w:trPr>
        <w:tc>
          <w:tcPr>
            <w:tcW w:type="dxa" w:w="1337"/>
            <w:shd w:fill="F2F5F8"/>
            <w:tcMar>
              <w:top w:w="120" w:type="dxa"/>
              <w:bottom w:w="120" w:type="dxa"/>
              <w:left w:w="150" w:type="dxa"/>
              <w:right w:w="150" w:type="dxa"/>
            </w:tcMar>
          </w:tcPr>
          <w:p>
            <w:pPr>
              <w:jc w:val="left"/>
            </w:pPr>
            <w:r>
              <w:rPr>
                <w:rFonts w:ascii="Arial" w:hAnsi="Arial"/>
                <w:sz w:val="19"/>
              </w:rPr>
              <w:t>50,000</w:t>
            </w:r>
          </w:p>
        </w:tc>
        <w:tc>
          <w:tcPr>
            <w:tcW w:type="dxa" w:w="1337"/>
            <w:shd w:fill="F2F5F8"/>
            <w:tcMar>
              <w:top w:w="120" w:type="dxa"/>
              <w:bottom w:w="120" w:type="dxa"/>
              <w:left w:w="150" w:type="dxa"/>
              <w:right w:w="150" w:type="dxa"/>
            </w:tcMar>
          </w:tcPr>
          <w:p>
            <w:pPr>
              <w:jc w:val="left"/>
            </w:pPr>
            <w:r>
              <w:rPr>
                <w:rFonts w:ascii="Arial" w:hAnsi="Arial"/>
                <w:sz w:val="19"/>
              </w:rPr>
              <w:t>50,000</w:t>
            </w:r>
          </w:p>
        </w:tc>
        <w:tc>
          <w:tcPr>
            <w:tcW w:type="dxa" w:w="1337"/>
            <w:shd w:fill="F2F5F8"/>
            <w:tcMar>
              <w:top w:w="120" w:type="dxa"/>
              <w:bottom w:w="120" w:type="dxa"/>
              <w:left w:w="150" w:type="dxa"/>
              <w:right w:w="150" w:type="dxa"/>
            </w:tcMar>
          </w:tcPr>
          <w:p>
            <w:pPr>
              <w:jc w:val="right"/>
            </w:pPr>
            <w:r>
              <w:rPr>
                <w:rFonts w:ascii="Arial" w:hAnsi="Arial"/>
                <w:sz w:val="19"/>
              </w:rPr>
              <w:t>0.000050</w:t>
            </w:r>
          </w:p>
        </w:tc>
        <w:tc>
          <w:tcPr>
            <w:tcW w:type="dxa" w:w="1337"/>
            <w:shd w:fill="F2F5F8"/>
            <w:tcMar>
              <w:top w:w="120" w:type="dxa"/>
              <w:bottom w:w="120" w:type="dxa"/>
              <w:left w:w="150" w:type="dxa"/>
              <w:right w:w="150" w:type="dxa"/>
            </w:tcMar>
          </w:tcPr>
          <w:p>
            <w:pPr>
              <w:jc w:val="right"/>
            </w:pPr>
            <w:r>
              <w:rPr>
                <w:rFonts w:ascii="Arial" w:hAnsi="Arial"/>
                <w:sz w:val="19"/>
              </w:rPr>
              <w:t>13.075675*</w:t>
            </w:r>
          </w:p>
        </w:tc>
        <w:tc>
          <w:tcPr>
            <w:tcW w:type="dxa" w:w="1337"/>
            <w:shd w:fill="F2F5F8"/>
            <w:tcMar>
              <w:top w:w="120" w:type="dxa"/>
              <w:bottom w:w="120" w:type="dxa"/>
              <w:left w:w="150" w:type="dxa"/>
              <w:right w:w="150" w:type="dxa"/>
            </w:tcMar>
          </w:tcPr>
          <w:p>
            <w:pPr>
              <w:jc w:val="right"/>
            </w:pPr>
            <w:r>
              <w:rPr>
                <w:rFonts w:ascii="Arial" w:hAnsi="Arial"/>
                <w:sz w:val="19"/>
              </w:rPr>
              <w:t>0.118743</w:t>
            </w:r>
          </w:p>
        </w:tc>
        <w:tc>
          <w:tcPr>
            <w:tcW w:type="dxa" w:w="1337"/>
            <w:shd w:fill="F2F5F8"/>
            <w:tcMar>
              <w:top w:w="120" w:type="dxa"/>
              <w:bottom w:w="120" w:type="dxa"/>
              <w:left w:w="150" w:type="dxa"/>
              <w:right w:w="150" w:type="dxa"/>
            </w:tcMar>
          </w:tcPr>
          <w:p>
            <w:pPr>
              <w:jc w:val="right"/>
            </w:pPr>
            <w:r>
              <w:rPr>
                <w:rFonts w:ascii="Arial" w:hAnsi="Arial"/>
                <w:sz w:val="19"/>
              </w:rPr>
              <w:t>0.023038</w:t>
            </w:r>
          </w:p>
        </w:tc>
        <w:tc>
          <w:tcPr>
            <w:tcW w:type="dxa" w:w="1337"/>
            <w:shd w:fill="F2F5F8"/>
            <w:tcMar>
              <w:top w:w="120" w:type="dxa"/>
              <w:bottom w:w="120" w:type="dxa"/>
              <w:left w:w="150" w:type="dxa"/>
              <w:right w:w="150" w:type="dxa"/>
            </w:tcMar>
          </w:tcPr>
          <w:p>
            <w:pPr>
              <w:jc w:val="right"/>
            </w:pPr>
            <w:r>
              <w:rPr>
                <w:rFonts w:ascii="Arial" w:hAnsi="Arial"/>
                <w:sz w:val="19"/>
              </w:rPr>
              <w:t>567.6x</w:t>
            </w:r>
          </w:p>
        </w:tc>
      </w:tr>
      <w:tr>
        <w:trPr>
          <w:cantSplit/>
        </w:trPr>
        <w:tc>
          <w:tcPr>
            <w:tcW w:type="dxa" w:w="1337"/>
            <w:tcMar>
              <w:top w:w="120" w:type="dxa"/>
              <w:bottom w:w="120" w:type="dxa"/>
              <w:left w:w="150" w:type="dxa"/>
              <w:right w:w="150" w:type="dxa"/>
            </w:tcMar>
          </w:tcPr>
          <w:p>
            <w:pPr>
              <w:jc w:val="left"/>
            </w:pPr>
            <w:r>
              <w:rPr>
                <w:rFonts w:ascii="Arial" w:hAnsi="Arial"/>
                <w:sz w:val="19"/>
              </w:rPr>
              <w:t>100,000</w:t>
            </w:r>
          </w:p>
        </w:tc>
        <w:tc>
          <w:tcPr>
            <w:tcW w:type="dxa" w:w="1337"/>
            <w:tcMar>
              <w:top w:w="120" w:type="dxa"/>
              <w:bottom w:w="120" w:type="dxa"/>
              <w:left w:w="150" w:type="dxa"/>
              <w:right w:w="150" w:type="dxa"/>
            </w:tcMar>
          </w:tcPr>
          <w:p>
            <w:pPr>
              <w:jc w:val="left"/>
            </w:pPr>
            <w:r>
              <w:rPr>
                <w:rFonts w:ascii="Arial" w:hAnsi="Arial"/>
                <w:sz w:val="19"/>
              </w:rPr>
              <w:t>100,000</w:t>
            </w:r>
          </w:p>
        </w:tc>
        <w:tc>
          <w:tcPr>
            <w:tcW w:type="dxa" w:w="1337"/>
            <w:tcMar>
              <w:top w:w="120" w:type="dxa"/>
              <w:bottom w:w="120" w:type="dxa"/>
              <w:left w:w="150" w:type="dxa"/>
              <w:right w:w="150" w:type="dxa"/>
            </w:tcMar>
          </w:tcPr>
          <w:p>
            <w:pPr>
              <w:jc w:val="right"/>
            </w:pPr>
            <w:r>
              <w:rPr>
                <w:rFonts w:ascii="Arial" w:hAnsi="Arial"/>
                <w:sz w:val="19"/>
              </w:rPr>
              <w:t>0.000175</w:t>
            </w:r>
          </w:p>
        </w:tc>
        <w:tc>
          <w:tcPr>
            <w:tcW w:type="dxa" w:w="1337"/>
            <w:tcMar>
              <w:top w:w="120" w:type="dxa"/>
              <w:bottom w:w="120" w:type="dxa"/>
              <w:left w:w="150" w:type="dxa"/>
              <w:right w:w="150" w:type="dxa"/>
            </w:tcMar>
          </w:tcPr>
          <w:p>
            <w:pPr>
              <w:jc w:val="right"/>
            </w:pPr>
            <w:r>
              <w:rPr>
                <w:rFonts w:ascii="Arial" w:hAnsi="Arial"/>
                <w:sz w:val="19"/>
              </w:rPr>
              <w:t>56.849350*</w:t>
            </w:r>
          </w:p>
        </w:tc>
        <w:tc>
          <w:tcPr>
            <w:tcW w:type="dxa" w:w="1337"/>
            <w:tcMar>
              <w:top w:w="120" w:type="dxa"/>
              <w:bottom w:w="120" w:type="dxa"/>
              <w:left w:w="150" w:type="dxa"/>
              <w:right w:w="150" w:type="dxa"/>
            </w:tcMar>
          </w:tcPr>
          <w:p>
            <w:pPr>
              <w:jc w:val="right"/>
            </w:pPr>
            <w:r>
              <w:rPr>
                <w:rFonts w:ascii="Arial" w:hAnsi="Arial"/>
                <w:sz w:val="19"/>
              </w:rPr>
              <w:t>0.281506</w:t>
            </w:r>
          </w:p>
        </w:tc>
        <w:tc>
          <w:tcPr>
            <w:tcW w:type="dxa" w:w="1337"/>
            <w:tcMar>
              <w:top w:w="120" w:type="dxa"/>
              <w:bottom w:w="120" w:type="dxa"/>
              <w:left w:w="150" w:type="dxa"/>
              <w:right w:w="150" w:type="dxa"/>
            </w:tcMar>
          </w:tcPr>
          <w:p>
            <w:pPr>
              <w:jc w:val="right"/>
            </w:pPr>
            <w:r>
              <w:rPr>
                <w:rFonts w:ascii="Arial" w:hAnsi="Arial"/>
                <w:sz w:val="19"/>
              </w:rPr>
              <w:t>0.064673</w:t>
            </w:r>
          </w:p>
        </w:tc>
        <w:tc>
          <w:tcPr>
            <w:tcW w:type="dxa" w:w="1337"/>
            <w:tcMar>
              <w:top w:w="120" w:type="dxa"/>
              <w:bottom w:w="120" w:type="dxa"/>
              <w:left w:w="150" w:type="dxa"/>
              <w:right w:w="150" w:type="dxa"/>
            </w:tcMar>
          </w:tcPr>
          <w:p>
            <w:pPr>
              <w:jc w:val="right"/>
            </w:pPr>
            <w:r>
              <w:rPr>
                <w:rFonts w:ascii="Arial" w:hAnsi="Arial"/>
                <w:sz w:val="19"/>
              </w:rPr>
              <w:t>879.0x</w:t>
            </w:r>
          </w:p>
        </w:tc>
      </w:tr>
      <w:tr>
        <w:trPr>
          <w:cantSplit/>
        </w:trPr>
        <w:tc>
          <w:tcPr>
            <w:tcW w:type="dxa" w:w="1337"/>
            <w:shd w:fill="F2F5F8"/>
            <w:tcMar>
              <w:top w:w="120" w:type="dxa"/>
              <w:bottom w:w="120" w:type="dxa"/>
              <w:left w:w="150" w:type="dxa"/>
              <w:right w:w="150" w:type="dxa"/>
            </w:tcMar>
          </w:tcPr>
          <w:p>
            <w:pPr>
              <w:jc w:val="left"/>
            </w:pPr>
            <w:r>
              <w:rPr>
                <w:rFonts w:ascii="Arial" w:hAnsi="Arial"/>
                <w:sz w:val="19"/>
              </w:rPr>
              <w:t>500,000</w:t>
            </w:r>
          </w:p>
        </w:tc>
        <w:tc>
          <w:tcPr>
            <w:tcW w:type="dxa" w:w="1337"/>
            <w:shd w:fill="F2F5F8"/>
            <w:tcMar>
              <w:top w:w="120" w:type="dxa"/>
              <w:bottom w:w="120" w:type="dxa"/>
              <w:left w:w="150" w:type="dxa"/>
              <w:right w:w="150" w:type="dxa"/>
            </w:tcMar>
          </w:tcPr>
          <w:p>
            <w:pPr>
              <w:jc w:val="left"/>
            </w:pPr>
            <w:r>
              <w:rPr>
                <w:rFonts w:ascii="Arial" w:hAnsi="Arial"/>
                <w:sz w:val="19"/>
              </w:rPr>
              <w:t>1,000,000</w:t>
            </w:r>
          </w:p>
        </w:tc>
        <w:tc>
          <w:tcPr>
            <w:tcW w:type="dxa" w:w="1337"/>
            <w:shd w:fill="F2F5F8"/>
            <w:tcMar>
              <w:top w:w="120" w:type="dxa"/>
              <w:bottom w:w="120" w:type="dxa"/>
              <w:left w:w="150" w:type="dxa"/>
              <w:right w:w="150" w:type="dxa"/>
            </w:tcMar>
          </w:tcPr>
          <w:p>
            <w:pPr>
              <w:jc w:val="right"/>
            </w:pPr>
            <w:r>
              <w:rPr>
                <w:rFonts w:ascii="Arial" w:hAnsi="Arial"/>
                <w:sz w:val="19"/>
              </w:rPr>
              <w:t>0.000411</w:t>
            </w:r>
          </w:p>
        </w:tc>
        <w:tc>
          <w:tcPr>
            <w:tcW w:type="dxa" w:w="1337"/>
            <w:shd w:fill="F2F5F8"/>
            <w:tcMar>
              <w:top w:w="120" w:type="dxa"/>
              <w:bottom w:w="120" w:type="dxa"/>
              <w:left w:w="150" w:type="dxa"/>
              <w:right w:w="150" w:type="dxa"/>
            </w:tcMar>
          </w:tcPr>
          <w:p>
            <w:pPr>
              <w:jc w:val="right"/>
            </w:pPr>
            <w:r>
              <w:rPr>
                <w:rFonts w:ascii="Arial" w:hAnsi="Arial"/>
                <w:sz w:val="19"/>
              </w:rPr>
              <w:t>3104.669500*</w:t>
            </w:r>
          </w:p>
        </w:tc>
        <w:tc>
          <w:tcPr>
            <w:tcW w:type="dxa" w:w="1337"/>
            <w:shd w:fill="F2F5F8"/>
            <w:tcMar>
              <w:top w:w="120" w:type="dxa"/>
              <w:bottom w:w="120" w:type="dxa"/>
              <w:left w:w="150" w:type="dxa"/>
              <w:right w:w="150" w:type="dxa"/>
            </w:tcMar>
          </w:tcPr>
          <w:p>
            <w:pPr>
              <w:jc w:val="right"/>
            </w:pPr>
            <w:r>
              <w:rPr>
                <w:rFonts w:ascii="Arial" w:hAnsi="Arial"/>
                <w:sz w:val="19"/>
              </w:rPr>
              <w:t>1.902360</w:t>
            </w:r>
          </w:p>
        </w:tc>
        <w:tc>
          <w:tcPr>
            <w:tcW w:type="dxa" w:w="1337"/>
            <w:shd w:fill="F2F5F8"/>
            <w:tcMar>
              <w:top w:w="120" w:type="dxa"/>
              <w:bottom w:w="120" w:type="dxa"/>
              <w:left w:w="150" w:type="dxa"/>
              <w:right w:w="150" w:type="dxa"/>
            </w:tcMar>
          </w:tcPr>
          <w:p>
            <w:pPr>
              <w:jc w:val="right"/>
            </w:pPr>
            <w:r>
              <w:rPr>
                <w:rFonts w:ascii="Arial" w:hAnsi="Arial"/>
                <w:sz w:val="19"/>
              </w:rPr>
              <w:t>0.829445</w:t>
            </w:r>
          </w:p>
        </w:tc>
        <w:tc>
          <w:tcPr>
            <w:tcW w:type="dxa" w:w="1337"/>
            <w:shd w:fill="F2F5F8"/>
            <w:tcMar>
              <w:top w:w="120" w:type="dxa"/>
              <w:bottom w:w="120" w:type="dxa"/>
              <w:left w:w="150" w:type="dxa"/>
              <w:right w:w="150" w:type="dxa"/>
            </w:tcMar>
          </w:tcPr>
          <w:p>
            <w:pPr>
              <w:jc w:val="right"/>
            </w:pPr>
            <w:r>
              <w:rPr>
                <w:rFonts w:ascii="Arial" w:hAnsi="Arial"/>
                <w:sz w:val="19"/>
              </w:rPr>
              <w:t>3743.1x</w:t>
            </w:r>
          </w:p>
        </w:tc>
      </w:tr>
    </w:tbl>
    <w:p>
      <w:pPr>
        <w:spacing w:before="80" w:after="240"/>
        <w:jc w:val="left"/>
      </w:pPr>
      <w:r>
        <w:rPr>
          <w:rFonts w:ascii="Arial" w:hAnsi="Arial"/>
          <w:i/>
          <w:sz w:val="17"/>
        </w:rPr>
        <w:t>*Nota: Tiempos con asterisco (*) son estimaciones proyectadas debido al costo inviable del algoritmo secuencial.</w:t>
      </w:r>
    </w:p>
    <w:p>
      <w:pPr>
        <w:keepNext/>
        <w:spacing w:before="280" w:after="120"/>
      </w:pPr>
      <w:r>
        <w:rPr>
          <w:rFonts w:ascii="Arial" w:hAnsi="Arial"/>
          <w:b/>
          <w:color w:val="1F4E79"/>
          <w:sz w:val="26"/>
        </w:rPr>
        <w:t>4. Aplicaciones Reales</w:t>
      </w:r>
    </w:p>
    <w:p>
      <w:pPr>
        <w:spacing w:after="120" w:line="276" w:lineRule="auto"/>
        <w:jc w:val="both"/>
      </w:pPr>
      <w:r>
        <w:rPr>
          <w:rFonts w:ascii="Arial" w:hAnsi="Arial"/>
          <w:sz w:val="22"/>
        </w:rPr>
        <w:t>Hoy en día, este tipo de algoritmos se emplean de forma ubicua en:</w:t>
      </w:r>
    </w:p>
    <w:p>
      <w:pPr>
        <w:pStyle w:val="ListNumber"/>
        <w:spacing w:after="80"/>
      </w:pPr>
      <w:r>
        <w:rPr>
          <w:rFonts w:ascii="Arial" w:hAnsi="Arial"/>
          <w:b/>
          <w:sz w:val="22"/>
        </w:rPr>
        <w:t xml:space="preserve">Bases de Datos Jerárquicas: </w:t>
      </w:r>
      <w:r>
        <w:rPr>
          <w:rFonts w:ascii="Arial" w:hAnsi="Arial"/>
          <w:sz w:val="22"/>
        </w:rPr>
        <w:t>Resolución en O(1) de la consulta del Ancestro Común más Bajo (LCA) en árboles mediante su reducción a un problema RMQ. Esencial en motores de bases de datos XML/JSON y bases de datos de grafos.</w:t>
      </w:r>
    </w:p>
    <w:p>
      <w:pPr>
        <w:pStyle w:val="ListNumber"/>
        <w:spacing w:after="80"/>
      </w:pPr>
      <w:r>
        <w:rPr>
          <w:rFonts w:ascii="Arial" w:hAnsi="Arial"/>
          <w:b/>
          <w:sz w:val="22"/>
        </w:rPr>
        <w:t xml:space="preserve">Bioinformática y Procesamiento de Texto: </w:t>
      </w:r>
      <w:r>
        <w:rPr>
          <w:rFonts w:ascii="Arial" w:hAnsi="Arial"/>
          <w:sz w:val="22"/>
        </w:rPr>
        <w:t>Cálculo en O(1) del Prefijo Común más Largo (LCP) sobre Arreglos de Sufijos (Suffix Arrays), utilizado en alineadores de secuencias genómicas a gran escala en investigación de ADN.</w:t>
      </w:r>
    </w:p>
    <w:p>
      <w:pPr>
        <w:pStyle w:val="ListNumber"/>
        <w:spacing w:after="240"/>
      </w:pPr>
      <w:r>
        <w:rPr>
          <w:rFonts w:ascii="Arial" w:hAnsi="Arial"/>
          <w:b/>
          <w:sz w:val="22"/>
        </w:rPr>
        <w:t xml:space="preserve">Redes y Enrutamiento: </w:t>
      </w:r>
      <w:r>
        <w:rPr>
          <w:rFonts w:ascii="Arial" w:hAnsi="Arial"/>
          <w:sz w:val="22"/>
        </w:rPr>
        <w:t>Búsqueda de coincidencia de prefijos más largos en enrutadores IP físicos a velocidad de gigabits por segundo.</w:t>
      </w:r>
    </w:p>
    <w:p>
      <w:pPr>
        <w:keepNext/>
        <w:spacing w:before="280" w:after="120"/>
      </w:pPr>
      <w:r>
        <w:rPr>
          <w:rFonts w:ascii="Arial" w:hAnsi="Arial"/>
          <w:b/>
          <w:color w:val="1F4E79"/>
          <w:sz w:val="26"/>
        </w:rPr>
        <w:t>5. Conclusiones</w:t>
      </w:r>
    </w:p>
    <w:p>
      <w:pPr>
        <w:spacing w:after="120" w:line="276" w:lineRule="auto"/>
        <w:jc w:val="both"/>
      </w:pPr>
      <w:r>
        <w:rPr>
          <w:rFonts w:ascii="Arial" w:hAnsi="Arial"/>
          <w:sz w:val="22"/>
        </w:rPr>
        <w:t>La optimización del problema RMQ demuestra cómo la estructuración del espacio de búsqueda a través de precomputación inteligente y el aprovechamiento de propiedades algebraicas (idempotencia) permite evadir las limitaciones físicas del procesamiento lineal ordinario, permitiendo una escalabilidad masiva y sostenible ante cargas de datos críticas en el mundo real.</w:t>
      </w:r>
    </w:p>
    <w:p>
      <w:pPr>
        <w:keepNext/>
        <w:spacing w:before="280" w:after="120"/>
      </w:pPr>
      <w:r>
        <w:rPr>
          <w:rFonts w:ascii="Arial" w:hAnsi="Arial"/>
          <w:b/>
          <w:color w:val="1F4E79"/>
          <w:sz w:val="26"/>
        </w:rPr>
        <w:t>6. Repositorio Git</w:t>
      </w:r>
    </w:p>
    <w:p>
      <w:pPr>
        <w:spacing w:after="120"/>
      </w:pPr>
      <w:r>
        <w:rPr>
          <w:rFonts w:ascii="Arial" w:hAnsi="Arial"/>
          <w:sz w:val="22"/>
        </w:rPr>
        <w:t>El código fuente de las implementaciones, el script de benchmark y la documentación LaTeX se encuentran en:</w:t>
        <w:br/>
      </w:r>
      <w:r>
        <w:rPr>
          <w:rFonts w:ascii="Consolas" w:hAnsi="Consolas"/>
          <w:b/>
          <w:color w:val="1F4E79"/>
          <w:sz w:val="21"/>
        </w:rPr>
        <w:t>https://github.com/nicotitopp/trabajoFinal.git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