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4C3E7" w14:textId="77777777" w:rsidR="00407DCB" w:rsidRPr="005B28EC" w:rsidRDefault="00266907">
      <w:pPr>
        <w:rPr>
          <w:rFonts w:ascii="Times New Roman" w:hAnsi="Times New Roman"/>
          <w:sz w:val="28"/>
          <w:szCs w:val="28"/>
        </w:rPr>
      </w:pPr>
      <w:r w:rsidRPr="005B28EC">
        <w:rPr>
          <w:rFonts w:ascii="Times New Roman" w:hAnsi="Times New Roman"/>
          <w:sz w:val="28"/>
          <w:szCs w:val="28"/>
        </w:rPr>
        <w:t>NGOUNOU TSESSILEDE GUSTAVE NICO</w:t>
      </w:r>
      <w:r w:rsidRPr="005B28EC">
        <w:rPr>
          <w:rFonts w:ascii="Times New Roman" w:hAnsi="Times New Roman"/>
          <w:sz w:val="28"/>
          <w:szCs w:val="28"/>
        </w:rPr>
        <w:tab/>
      </w:r>
      <w:r w:rsidRPr="005B28EC">
        <w:rPr>
          <w:rFonts w:ascii="Times New Roman" w:hAnsi="Times New Roman"/>
          <w:sz w:val="28"/>
          <w:szCs w:val="28"/>
        </w:rPr>
        <w:tab/>
      </w:r>
      <w:r w:rsidRPr="005B28EC">
        <w:rPr>
          <w:rFonts w:ascii="Times New Roman" w:hAnsi="Times New Roman"/>
          <w:sz w:val="28"/>
          <w:szCs w:val="28"/>
        </w:rPr>
        <w:tab/>
      </w:r>
      <w:r w:rsidRPr="005B28EC">
        <w:rPr>
          <w:rFonts w:ascii="Times New Roman" w:hAnsi="Times New Roman"/>
          <w:sz w:val="28"/>
          <w:szCs w:val="28"/>
        </w:rPr>
        <w:tab/>
      </w:r>
      <w:r w:rsidRPr="005B28EC">
        <w:rPr>
          <w:rFonts w:ascii="Times New Roman" w:hAnsi="Times New Roman"/>
          <w:sz w:val="28"/>
          <w:szCs w:val="28"/>
        </w:rPr>
        <w:tab/>
        <w:t>19M2602</w:t>
      </w:r>
    </w:p>
    <w:p w14:paraId="59EC1F1A" w14:textId="4BB1BE97" w:rsidR="00407DCB" w:rsidRDefault="00266907">
      <w:pPr>
        <w:jc w:val="center"/>
        <w:rPr>
          <w:rFonts w:ascii="Times New Roman" w:hAnsi="Times New Roman"/>
          <w:b/>
          <w:bCs/>
          <w:sz w:val="28"/>
          <w:szCs w:val="28"/>
          <w:u w:val="single"/>
        </w:rPr>
      </w:pPr>
      <w:r>
        <w:rPr>
          <w:rFonts w:ascii="Times New Roman" w:hAnsi="Times New Roman"/>
          <w:b/>
          <w:bCs/>
          <w:sz w:val="28"/>
          <w:szCs w:val="28"/>
          <w:u w:val="single"/>
        </w:rPr>
        <w:t>DEVOIR</w:t>
      </w:r>
      <w:r w:rsidR="00D2423D">
        <w:rPr>
          <w:rFonts w:ascii="Times New Roman" w:hAnsi="Times New Roman"/>
          <w:b/>
          <w:bCs/>
          <w:sz w:val="28"/>
          <w:szCs w:val="28"/>
          <w:u w:val="single"/>
        </w:rPr>
        <w:t>-1</w:t>
      </w:r>
      <w:r>
        <w:rPr>
          <w:rFonts w:ascii="Times New Roman" w:hAnsi="Times New Roman"/>
          <w:b/>
          <w:bCs/>
          <w:sz w:val="28"/>
          <w:szCs w:val="28"/>
          <w:u w:val="single"/>
        </w:rPr>
        <w:t xml:space="preserve"> INF2044</w:t>
      </w:r>
    </w:p>
    <w:p w14:paraId="52720C66" w14:textId="77777777" w:rsidR="00407DCB" w:rsidRDefault="00266907">
      <w:pPr>
        <w:spacing w:after="60" w:line="240" w:lineRule="auto"/>
        <w:jc w:val="center"/>
        <w:outlineLvl w:val="0"/>
        <w:rPr>
          <w:rFonts w:ascii="Times New Roman" w:eastAsia="Times New Roman" w:hAnsi="Times New Roman"/>
          <w:color w:val="000000"/>
          <w:kern w:val="3"/>
          <w:sz w:val="28"/>
          <w:szCs w:val="28"/>
          <w:lang w:eastAsia="fr-FR"/>
        </w:rPr>
      </w:pPr>
      <w:r>
        <w:rPr>
          <w:rFonts w:ascii="Times New Roman" w:eastAsia="Times New Roman" w:hAnsi="Times New Roman"/>
          <w:color w:val="000000"/>
          <w:kern w:val="3"/>
          <w:sz w:val="28"/>
          <w:szCs w:val="28"/>
          <w:lang w:eastAsia="fr-FR"/>
        </w:rPr>
        <w:t>Analyse en Composantes Principales (ACP)</w:t>
      </w:r>
    </w:p>
    <w:p w14:paraId="7C528ABB" w14:textId="77777777" w:rsidR="00407DCB" w:rsidRDefault="00407DCB">
      <w:pPr>
        <w:pStyle w:val="NormalWeb"/>
        <w:shd w:val="clear" w:color="auto" w:fill="FFFFFF"/>
        <w:spacing w:before="120" w:after="120"/>
        <w:rPr>
          <w:color w:val="202122"/>
        </w:rPr>
      </w:pPr>
    </w:p>
    <w:p w14:paraId="05A1146F" w14:textId="77777777" w:rsidR="00407DCB" w:rsidRDefault="00266907">
      <w:pPr>
        <w:pStyle w:val="NormalWeb"/>
        <w:shd w:val="clear" w:color="auto" w:fill="FFFFFF"/>
        <w:spacing w:before="120" w:after="120"/>
        <w:ind w:firstLine="708"/>
      </w:pPr>
      <w:r>
        <w:rPr>
          <w:color w:val="202122"/>
        </w:rPr>
        <w:t>L'</w:t>
      </w:r>
      <w:r>
        <w:rPr>
          <w:b/>
          <w:bCs/>
          <w:color w:val="202122"/>
        </w:rPr>
        <w:t>analyse en composantes principales</w:t>
      </w:r>
      <w:r>
        <w:rPr>
          <w:color w:val="202122"/>
        </w:rPr>
        <w:t> (</w:t>
      </w:r>
      <w:r>
        <w:rPr>
          <w:b/>
          <w:bCs/>
          <w:color w:val="202122"/>
        </w:rPr>
        <w:t>ACP</w:t>
      </w:r>
      <w:r>
        <w:rPr>
          <w:color w:val="202122"/>
        </w:rPr>
        <w:t> ou </w:t>
      </w:r>
      <w:r>
        <w:rPr>
          <w:b/>
          <w:bCs/>
          <w:color w:val="202122"/>
        </w:rPr>
        <w:t>PCA</w:t>
      </w:r>
      <w:r>
        <w:rPr>
          <w:color w:val="202122"/>
        </w:rPr>
        <w:t> en anglais pour </w:t>
      </w:r>
      <w:r>
        <w:rPr>
          <w:rStyle w:val="lang-en"/>
          <w:i/>
          <w:iCs/>
          <w:color w:val="202122"/>
        </w:rPr>
        <w:t xml:space="preserve">principal component </w:t>
      </w:r>
      <w:proofErr w:type="spellStart"/>
      <w:r>
        <w:rPr>
          <w:rStyle w:val="lang-en"/>
          <w:i/>
          <w:iCs/>
          <w:color w:val="202122"/>
        </w:rPr>
        <w:t>analysis</w:t>
      </w:r>
      <w:proofErr w:type="spellEnd"/>
      <w:r>
        <w:rPr>
          <w:color w:val="202122"/>
        </w:rPr>
        <w:t xml:space="preserve">), ou selon le domaine </w:t>
      </w:r>
      <w:r>
        <w:rPr>
          <w:color w:val="202122"/>
        </w:rPr>
        <w:t>d'application la </w:t>
      </w:r>
      <w:r>
        <w:rPr>
          <w:b/>
          <w:bCs/>
          <w:color w:val="202122"/>
        </w:rPr>
        <w:t xml:space="preserve">transformation de </w:t>
      </w:r>
      <w:proofErr w:type="spellStart"/>
      <w:r>
        <w:rPr>
          <w:b/>
          <w:bCs/>
          <w:color w:val="202122"/>
        </w:rPr>
        <w:t>Karhunen</w:t>
      </w:r>
      <w:proofErr w:type="spellEnd"/>
      <w:r>
        <w:rPr>
          <w:b/>
          <w:bCs/>
          <w:color w:val="202122"/>
        </w:rPr>
        <w:t>–</w:t>
      </w:r>
      <w:proofErr w:type="spellStart"/>
      <w:r>
        <w:rPr>
          <w:b/>
          <w:bCs/>
          <w:color w:val="202122"/>
        </w:rPr>
        <w:t>Loève</w:t>
      </w:r>
      <w:proofErr w:type="spellEnd"/>
      <w:r>
        <w:rPr>
          <w:color w:val="202122"/>
        </w:rPr>
        <w:t> (</w:t>
      </w:r>
      <w:r>
        <w:rPr>
          <w:b/>
          <w:bCs/>
          <w:color w:val="202122"/>
        </w:rPr>
        <w:t>KLT</w:t>
      </w:r>
      <w:r>
        <w:rPr>
          <w:color w:val="202122"/>
        </w:rPr>
        <w:t>)</w:t>
      </w:r>
      <w:hyperlink r:id="rId7" w:history="1">
        <w:r>
          <w:rPr>
            <w:rStyle w:val="Lienhypertexte"/>
            <w:color w:val="0645AD"/>
            <w:vertAlign w:val="superscript"/>
          </w:rPr>
          <w:t>1</w:t>
        </w:r>
      </w:hyperlink>
      <w:r>
        <w:rPr>
          <w:color w:val="202122"/>
        </w:rPr>
        <w:t>, est une méthode de la famille de l'</w:t>
      </w:r>
      <w:hyperlink r:id="rId8" w:tooltip="Analyse des données" w:history="1">
        <w:r>
          <w:rPr>
            <w:rStyle w:val="Lienhypertexte"/>
            <w:color w:val="0645AD"/>
          </w:rPr>
          <w:t>analyse des données</w:t>
        </w:r>
      </w:hyperlink>
      <w:r>
        <w:rPr>
          <w:color w:val="202122"/>
        </w:rPr>
        <w:t> et plus généralement de la </w:t>
      </w:r>
      <w:hyperlink r:id="rId9" w:history="1">
        <w:r>
          <w:rPr>
            <w:rStyle w:val="Lienhypertexte"/>
            <w:color w:val="0645AD"/>
          </w:rPr>
          <w:t>statistique multivariée</w:t>
        </w:r>
      </w:hyperlink>
      <w:r>
        <w:rPr>
          <w:color w:val="202122"/>
        </w:rPr>
        <w:t xml:space="preserve">, qui consiste à transformer des variables liées entre elles (dites </w:t>
      </w:r>
      <w:r>
        <w:rPr>
          <w:color w:val="202122"/>
        </w:rPr>
        <w:t>« corrélées » en statistique) en nouvelles variables décorrélées les unes des autres. Ces nouvelles variables sont nommées « composantes principales », ou axes principaux. Elle permet au praticien de réduire le nombre de variables et de rendre l'informatio</w:t>
      </w:r>
      <w:r>
        <w:rPr>
          <w:color w:val="202122"/>
        </w:rPr>
        <w:t>n moins redondante.</w:t>
      </w:r>
    </w:p>
    <w:p w14:paraId="0F999A67" w14:textId="3F8F962B" w:rsidR="00407DCB" w:rsidRDefault="00266907">
      <w:pPr>
        <w:pStyle w:val="NormalWeb"/>
        <w:shd w:val="clear" w:color="auto" w:fill="FFFFFF"/>
        <w:spacing w:before="120" w:after="120"/>
      </w:pPr>
      <w:r>
        <w:rPr>
          <w:color w:val="202122"/>
        </w:rPr>
        <w:t>Il s'agit d'une approche à la fois géométrique</w:t>
      </w:r>
      <w:hyperlink r:id="rId10" w:history="1">
        <w:r>
          <w:rPr>
            <w:rStyle w:val="Lienhypertexte"/>
            <w:color w:val="0645AD"/>
            <w:vertAlign w:val="superscript"/>
          </w:rPr>
          <w:t>2</w:t>
        </w:r>
      </w:hyperlink>
      <w:r>
        <w:rPr>
          <w:color w:val="202122"/>
        </w:rPr>
        <w:t> (les variables étant représentées dans un nouvel espace, selon des directions d'inertie maxim</w:t>
      </w:r>
      <w:r>
        <w:rPr>
          <w:color w:val="202122"/>
        </w:rPr>
        <w:t>ale) et statistique (la recherche portant sur des axes indépendants expliquant au mieux la variabilité — la </w:t>
      </w:r>
      <w:hyperlink r:id="rId11" w:tooltip="Variance (statistiques et probabilités)" w:history="1">
        <w:r>
          <w:rPr>
            <w:rStyle w:val="Lienhypertexte"/>
            <w:color w:val="0645AD"/>
          </w:rPr>
          <w:t>variance</w:t>
        </w:r>
      </w:hyperlink>
      <w:r>
        <w:rPr>
          <w:color w:val="202122"/>
        </w:rPr>
        <w:t> — des d</w:t>
      </w:r>
      <w:r>
        <w:rPr>
          <w:color w:val="202122"/>
        </w:rPr>
        <w:t>onnées). Lorsqu'on veut </w:t>
      </w:r>
      <w:r>
        <w:rPr>
          <w:i/>
          <w:iCs/>
          <w:color w:val="202122"/>
        </w:rPr>
        <w:t>compresser</w:t>
      </w:r>
      <w:r>
        <w:rPr>
          <w:color w:val="202122"/>
        </w:rPr>
        <w:t> un ensemble de </w:t>
      </w:r>
      <w:r>
        <w:rPr>
          <w:rStyle w:val="mwe-math-mathml-inline"/>
          <w:vanish/>
          <w:color w:val="202122"/>
        </w:rPr>
        <w:t>{\displaystyle N}</w:t>
      </w:r>
      <w:r>
        <w:rPr>
          <w:color w:val="202122"/>
        </w:rPr>
        <w:t> variables aléatoires, les </w:t>
      </w:r>
      <w:r>
        <w:rPr>
          <w:rStyle w:val="mwe-math-mathml-inline"/>
          <w:vanish/>
          <w:color w:val="202122"/>
        </w:rPr>
        <w:t>{\displaystyle n}</w:t>
      </w:r>
      <w:r>
        <w:rPr>
          <w:color w:val="202122"/>
        </w:rPr>
        <w:t> </w:t>
      </w:r>
      <w:r>
        <w:rPr>
          <w:i/>
          <w:iCs/>
          <w:color w:val="202122"/>
        </w:rPr>
        <w:t>premiers axes</w:t>
      </w:r>
      <w:r>
        <w:rPr>
          <w:color w:val="202122"/>
        </w:rPr>
        <w:t> de l'analyse en composantes principales sont un </w:t>
      </w:r>
      <w:r>
        <w:rPr>
          <w:i/>
          <w:iCs/>
          <w:color w:val="202122"/>
        </w:rPr>
        <w:t>meilleur choix</w:t>
      </w:r>
      <w:r>
        <w:rPr>
          <w:color w:val="202122"/>
        </w:rPr>
        <w:t>, du point de vue de l'inertie ou de la variance.</w:t>
      </w:r>
    </w:p>
    <w:p w14:paraId="12C51E1D" w14:textId="0280D407" w:rsidR="00407DCB" w:rsidRDefault="005B28EC">
      <w:pPr>
        <w:pStyle w:val="NormalWeb"/>
        <w:shd w:val="clear" w:color="auto" w:fill="FFFFFF"/>
        <w:spacing w:before="120" w:after="120"/>
      </w:pPr>
      <w:r>
        <w:rPr>
          <w:noProof/>
        </w:rPr>
        <w:drawing>
          <wp:anchor distT="0" distB="0" distL="114300" distR="114300" simplePos="0" relativeHeight="251658240" behindDoc="0" locked="0" layoutInCell="1" allowOverlap="1" wp14:anchorId="6598849A" wp14:editId="64BEEC65">
            <wp:simplePos x="0" y="0"/>
            <wp:positionH relativeFrom="page">
              <wp:posOffset>6340253</wp:posOffset>
            </wp:positionH>
            <wp:positionV relativeFrom="paragraph">
              <wp:posOffset>15240</wp:posOffset>
            </wp:positionV>
            <wp:extent cx="1288415" cy="1211580"/>
            <wp:effectExtent l="0" t="0" r="6985" b="7620"/>
            <wp:wrapNone/>
            <wp:docPr id="1" name="Image 3" descr="Image dans Infobox."/>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288415" cy="12115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66907">
        <w:rPr>
          <w:color w:val="202122"/>
        </w:rPr>
        <w:t>L'outil mathématiq</w:t>
      </w:r>
      <w:r w:rsidR="00266907">
        <w:rPr>
          <w:color w:val="202122"/>
        </w:rPr>
        <w:t>ue est appliqué dans d'autres domaines que les statistiques et est parfois appelé </w:t>
      </w:r>
      <w:r w:rsidR="00266907">
        <w:rPr>
          <w:b/>
          <w:bCs/>
          <w:color w:val="202122"/>
        </w:rPr>
        <w:t>décomposition orthogonale aux valeurs propres</w:t>
      </w:r>
      <w:r w:rsidR="00266907">
        <w:rPr>
          <w:color w:val="202122"/>
        </w:rPr>
        <w:t> ou </w:t>
      </w:r>
      <w:r w:rsidR="00266907">
        <w:rPr>
          <w:b/>
          <w:bCs/>
          <w:color w:val="202122"/>
        </w:rPr>
        <w:t>POD</w:t>
      </w:r>
      <w:r w:rsidR="00266907">
        <w:rPr>
          <w:color w:val="202122"/>
        </w:rPr>
        <w:t> (</w:t>
      </w:r>
      <w:hyperlink r:id="rId13" w:tooltip="Anglais" w:history="1">
        <w:r w:rsidR="00266907">
          <w:rPr>
            <w:rStyle w:val="Lienhypertexte"/>
            <w:color w:val="0645AD"/>
          </w:rPr>
          <w:t>anglais</w:t>
        </w:r>
      </w:hyperlink>
      <w:r w:rsidR="00266907">
        <w:rPr>
          <w:color w:val="202122"/>
        </w:rPr>
        <w:t> : </w:t>
      </w:r>
      <w:proofErr w:type="spellStart"/>
      <w:r w:rsidR="00266907">
        <w:rPr>
          <w:rStyle w:val="lang-en"/>
          <w:i/>
          <w:iCs/>
          <w:color w:val="202122"/>
        </w:rPr>
        <w:t>proper</w:t>
      </w:r>
      <w:proofErr w:type="spellEnd"/>
      <w:r w:rsidR="00266907">
        <w:rPr>
          <w:rStyle w:val="lang-en"/>
          <w:i/>
          <w:iCs/>
          <w:color w:val="202122"/>
        </w:rPr>
        <w:t xml:space="preserve"> orthogonal </w:t>
      </w:r>
      <w:proofErr w:type="spellStart"/>
      <w:r w:rsidR="00266907">
        <w:rPr>
          <w:rStyle w:val="lang-en"/>
          <w:i/>
          <w:iCs/>
          <w:color w:val="202122"/>
        </w:rPr>
        <w:t>decomposition</w:t>
      </w:r>
      <w:proofErr w:type="spellEnd"/>
      <w:r w:rsidR="00266907">
        <w:rPr>
          <w:color w:val="202122"/>
        </w:rPr>
        <w:t>).</w:t>
      </w:r>
    </w:p>
    <w:p w14:paraId="2F20F6F5" w14:textId="77777777" w:rsidR="00407DCB" w:rsidRDefault="00407DCB">
      <w:pPr>
        <w:rPr>
          <w:rFonts w:ascii="Times New Roman" w:hAnsi="Times New Roman"/>
          <w:sz w:val="24"/>
          <w:szCs w:val="24"/>
        </w:rPr>
      </w:pPr>
    </w:p>
    <w:p w14:paraId="1EAEE63B" w14:textId="77777777" w:rsidR="00407DCB" w:rsidRDefault="00266907">
      <w:pPr>
        <w:pStyle w:val="Titre1"/>
        <w:shd w:val="clear" w:color="auto" w:fill="FFFFFF"/>
        <w:spacing w:before="0" w:after="60"/>
        <w:jc w:val="center"/>
        <w:rPr>
          <w:b w:val="0"/>
          <w:bCs w:val="0"/>
          <w:color w:val="000000"/>
          <w:sz w:val="28"/>
          <w:szCs w:val="28"/>
        </w:rPr>
      </w:pPr>
      <w:r>
        <w:rPr>
          <w:b w:val="0"/>
          <w:bCs w:val="0"/>
          <w:color w:val="000000"/>
          <w:sz w:val="28"/>
          <w:szCs w:val="28"/>
        </w:rPr>
        <w:t>Analyse</w:t>
      </w:r>
      <w:r>
        <w:rPr>
          <w:b w:val="0"/>
          <w:bCs w:val="0"/>
          <w:color w:val="000000"/>
          <w:sz w:val="28"/>
          <w:szCs w:val="28"/>
        </w:rPr>
        <w:t xml:space="preserve"> factorielle des correspondances</w:t>
      </w:r>
    </w:p>
    <w:p w14:paraId="36C31504" w14:textId="77777777" w:rsidR="00407DCB" w:rsidRDefault="00407DCB">
      <w:pPr>
        <w:rPr>
          <w:sz w:val="28"/>
          <w:szCs w:val="28"/>
        </w:rPr>
      </w:pPr>
    </w:p>
    <w:p w14:paraId="7509FB0A" w14:textId="0DCBE5A6" w:rsidR="00407DCB" w:rsidRDefault="00266907">
      <w:r>
        <w:rPr>
          <w:rFonts w:ascii="Times New Roman" w:hAnsi="Times New Roman"/>
          <w:b/>
          <w:bCs/>
          <w:color w:val="202122"/>
          <w:sz w:val="24"/>
          <w:szCs w:val="24"/>
          <w:shd w:val="clear" w:color="auto" w:fill="FFFFFF"/>
        </w:rPr>
        <w:t>Introduction</w:t>
      </w:r>
      <w:r>
        <w:rPr>
          <w:rFonts w:ascii="Times New Roman" w:hAnsi="Times New Roman"/>
          <w:color w:val="202122"/>
          <w:sz w:val="24"/>
          <w:szCs w:val="24"/>
          <w:shd w:val="clear" w:color="auto" w:fill="FFFFFF"/>
        </w:rPr>
        <w:t> :</w:t>
      </w:r>
      <w:r>
        <w:rPr>
          <w:rFonts w:ascii="Times New Roman" w:hAnsi="Times New Roman"/>
          <w:color w:val="202122"/>
          <w:sz w:val="24"/>
          <w:szCs w:val="24"/>
          <w:shd w:val="clear" w:color="auto" w:fill="FFFFFF"/>
        </w:rPr>
        <w:tab/>
        <w:t xml:space="preserve"> Les méthodes d'</w:t>
      </w:r>
      <w:hyperlink r:id="rId14" w:tooltip="Analyse factorielle" w:history="1">
        <w:r>
          <w:rPr>
            <w:rStyle w:val="Lienhypertexte"/>
            <w:rFonts w:ascii="Times New Roman" w:hAnsi="Times New Roman"/>
            <w:color w:val="0645AD"/>
            <w:sz w:val="24"/>
            <w:szCs w:val="24"/>
            <w:shd w:val="clear" w:color="auto" w:fill="FFFFFF"/>
          </w:rPr>
          <w:t>analyse factorielle</w:t>
        </w:r>
      </w:hyperlink>
      <w:r>
        <w:rPr>
          <w:rFonts w:ascii="Times New Roman" w:hAnsi="Times New Roman"/>
          <w:color w:val="202122"/>
          <w:sz w:val="24"/>
          <w:szCs w:val="24"/>
          <w:shd w:val="clear" w:color="auto" w:fill="FFFFFF"/>
        </w:rPr>
        <w:t> des correspondances (AFC) tout comme celles d'</w:t>
      </w:r>
      <w:hyperlink r:id="rId15" w:tooltip="Analyse en composantes principales" w:history="1">
        <w:r>
          <w:rPr>
            <w:rStyle w:val="Lienhypertexte"/>
            <w:rFonts w:ascii="Times New Roman" w:hAnsi="Times New Roman"/>
            <w:color w:val="0645AD"/>
            <w:sz w:val="24"/>
            <w:szCs w:val="24"/>
            <w:shd w:val="clear" w:color="auto" w:fill="FFFFFF"/>
          </w:rPr>
          <w:t>analyse en composantes principales</w:t>
        </w:r>
      </w:hyperlink>
      <w:r>
        <w:rPr>
          <w:rFonts w:ascii="Times New Roman" w:hAnsi="Times New Roman"/>
          <w:color w:val="202122"/>
          <w:sz w:val="24"/>
          <w:szCs w:val="24"/>
          <w:shd w:val="clear" w:color="auto" w:fill="FFFFFF"/>
        </w:rPr>
        <w:t> (ACP) s'utilisent pour décrire et hiérarchiser les relations statistiques qui peuvent exister entre d</w:t>
      </w:r>
      <w:r>
        <w:rPr>
          <w:rFonts w:ascii="Times New Roman" w:hAnsi="Times New Roman"/>
          <w:color w:val="202122"/>
          <w:sz w:val="24"/>
          <w:szCs w:val="24"/>
          <w:shd w:val="clear" w:color="auto" w:fill="FFFFFF"/>
        </w:rPr>
        <w:t>es individus placés en ligne et des variables placées en colonnes dans un tableau rectangulaire de données. L’une et l’autre de ces deux méthodes considèrent le tableau de données comme un nuage de points dans un espace mathématique ayant autant de dimensi</w:t>
      </w:r>
      <w:r>
        <w:rPr>
          <w:rFonts w:ascii="Times New Roman" w:hAnsi="Times New Roman"/>
          <w:color w:val="202122"/>
          <w:sz w:val="24"/>
          <w:szCs w:val="24"/>
          <w:shd w:val="clear" w:color="auto" w:fill="FFFFFF"/>
        </w:rPr>
        <w:t>ons qu’il y a de colonnes dans le tableau de données ; elles cherchent à le projeter sur des axes ou des plans (appelés factoriels) de façon que l’on puisse en visualiser et étudier au mieux la forme et donc rechercher globalement des corrélations. La spéc</w:t>
      </w:r>
      <w:r>
        <w:rPr>
          <w:rFonts w:ascii="Times New Roman" w:hAnsi="Times New Roman"/>
          <w:color w:val="202122"/>
          <w:sz w:val="24"/>
          <w:szCs w:val="24"/>
          <w:shd w:val="clear" w:color="auto" w:fill="FFFFFF"/>
        </w:rPr>
        <w:t>ificité de l’AFC est qu’elle considère en même temps un nuage de point représentant les lignes (individus) et un autre représentant les colonnes (variables).  Les logiciels d’AFC fournissent donc en sortie une ou plusieurs figures de plans factoriels sur l</w:t>
      </w:r>
      <w:r>
        <w:rPr>
          <w:rFonts w:ascii="Times New Roman" w:hAnsi="Times New Roman"/>
          <w:color w:val="202122"/>
          <w:sz w:val="24"/>
          <w:szCs w:val="24"/>
          <w:shd w:val="clear" w:color="auto" w:fill="FFFFFF"/>
        </w:rPr>
        <w:t>esquels sont positionnés à la fois les individus et les variables.</w:t>
      </w:r>
    </w:p>
    <w:p w14:paraId="1AF09E81" w14:textId="7C889289" w:rsidR="00407DCB" w:rsidRDefault="005B28EC">
      <w:r>
        <w:rPr>
          <w:rFonts w:ascii="Times New Roman" w:hAnsi="Times New Roman"/>
          <w:noProof/>
          <w:sz w:val="24"/>
          <w:szCs w:val="24"/>
        </w:rPr>
        <w:drawing>
          <wp:anchor distT="0" distB="0" distL="114300" distR="114300" simplePos="0" relativeHeight="251659264" behindDoc="0" locked="0" layoutInCell="1" allowOverlap="1" wp14:anchorId="798706D3" wp14:editId="1F267E25">
            <wp:simplePos x="0" y="0"/>
            <wp:positionH relativeFrom="column">
              <wp:posOffset>2054225</wp:posOffset>
            </wp:positionH>
            <wp:positionV relativeFrom="paragraph">
              <wp:posOffset>841375</wp:posOffset>
            </wp:positionV>
            <wp:extent cx="2698750" cy="2156460"/>
            <wp:effectExtent l="0" t="0" r="635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875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907">
        <w:rPr>
          <w:rFonts w:ascii="Times New Roman" w:hAnsi="Times New Roman"/>
          <w:b/>
          <w:bCs/>
          <w:color w:val="202122"/>
          <w:sz w:val="24"/>
          <w:szCs w:val="24"/>
          <w:shd w:val="clear" w:color="auto" w:fill="FFFFFF"/>
        </w:rPr>
        <w:t>Principe</w:t>
      </w:r>
      <w:r w:rsidR="00266907">
        <w:rPr>
          <w:rFonts w:ascii="Times New Roman" w:hAnsi="Times New Roman"/>
          <w:color w:val="202122"/>
          <w:sz w:val="24"/>
          <w:szCs w:val="24"/>
          <w:shd w:val="clear" w:color="auto" w:fill="FFFFFF"/>
        </w:rPr>
        <w:t> :</w:t>
      </w:r>
      <w:r w:rsidR="00266907">
        <w:rPr>
          <w:rFonts w:ascii="Times New Roman" w:hAnsi="Times New Roman"/>
          <w:color w:val="202122"/>
          <w:sz w:val="24"/>
          <w:szCs w:val="24"/>
          <w:shd w:val="clear" w:color="auto" w:fill="FFFFFF"/>
        </w:rPr>
        <w:tab/>
        <w:t>Le principe de ces méthodes est de partir sans </w:t>
      </w:r>
      <w:r w:rsidR="00266907">
        <w:rPr>
          <w:rFonts w:ascii="Times New Roman" w:hAnsi="Times New Roman"/>
          <w:i/>
          <w:iCs/>
          <w:color w:val="202122"/>
          <w:sz w:val="24"/>
          <w:szCs w:val="24"/>
          <w:shd w:val="clear" w:color="auto" w:fill="FFFFFF"/>
        </w:rPr>
        <w:t>a priori</w:t>
      </w:r>
      <w:r w:rsidR="00266907">
        <w:rPr>
          <w:rFonts w:ascii="Times New Roman" w:hAnsi="Times New Roman"/>
          <w:color w:val="202122"/>
          <w:sz w:val="24"/>
          <w:szCs w:val="24"/>
          <w:shd w:val="clear" w:color="auto" w:fill="FFFFFF"/>
        </w:rPr>
        <w:t> sur les données et de les décrire en analysant la hiérarchisation de l'information présente dans les données. Pour ce fair</w:t>
      </w:r>
      <w:r w:rsidR="00266907">
        <w:rPr>
          <w:rFonts w:ascii="Times New Roman" w:hAnsi="Times New Roman"/>
          <w:color w:val="202122"/>
          <w:sz w:val="24"/>
          <w:szCs w:val="24"/>
          <w:shd w:val="clear" w:color="auto" w:fill="FFFFFF"/>
        </w:rPr>
        <w:t>e, les analyses factorielles étudient l'inertie du nuage de points ayant pour coordonnées les valeurs présentes sur les lignes du tableau de données.</w:t>
      </w:r>
    </w:p>
    <w:p w14:paraId="1BFD75AF" w14:textId="5127E84D" w:rsidR="00407DCB" w:rsidRDefault="00407DCB">
      <w:pPr>
        <w:rPr>
          <w:rFonts w:ascii="Times New Roman" w:hAnsi="Times New Roman"/>
          <w:sz w:val="24"/>
          <w:szCs w:val="24"/>
        </w:rPr>
      </w:pPr>
    </w:p>
    <w:p w14:paraId="0307A9B8" w14:textId="58069FDB" w:rsidR="003C4023" w:rsidRDefault="003C4023">
      <w:pPr>
        <w:rPr>
          <w:rFonts w:ascii="Times New Roman" w:hAnsi="Times New Roman"/>
          <w:sz w:val="24"/>
          <w:szCs w:val="24"/>
        </w:rPr>
      </w:pPr>
    </w:p>
    <w:p w14:paraId="112F6E41" w14:textId="63A567FC" w:rsidR="003C4023" w:rsidRDefault="003C4023">
      <w:pPr>
        <w:rPr>
          <w:rFonts w:ascii="Times New Roman" w:hAnsi="Times New Roman"/>
          <w:sz w:val="24"/>
          <w:szCs w:val="24"/>
        </w:rPr>
      </w:pPr>
    </w:p>
    <w:p w14:paraId="5B932D79" w14:textId="38446F9F" w:rsidR="003C4023" w:rsidRDefault="003C4023">
      <w:pPr>
        <w:rPr>
          <w:rFonts w:ascii="Times New Roman" w:hAnsi="Times New Roman"/>
          <w:sz w:val="24"/>
          <w:szCs w:val="24"/>
        </w:rPr>
      </w:pPr>
    </w:p>
    <w:p w14:paraId="347AF97C" w14:textId="6CC1D1E7" w:rsidR="003C4023" w:rsidRDefault="003C4023">
      <w:pPr>
        <w:rPr>
          <w:rFonts w:ascii="Times New Roman" w:hAnsi="Times New Roman"/>
          <w:sz w:val="24"/>
          <w:szCs w:val="24"/>
        </w:rPr>
      </w:pPr>
    </w:p>
    <w:p w14:paraId="629E6C2C" w14:textId="72A8CB7E" w:rsidR="003C4023" w:rsidRDefault="003C4023">
      <w:pPr>
        <w:rPr>
          <w:rFonts w:ascii="Times New Roman" w:hAnsi="Times New Roman"/>
          <w:sz w:val="24"/>
          <w:szCs w:val="24"/>
        </w:rPr>
      </w:pPr>
    </w:p>
    <w:p w14:paraId="5093961C" w14:textId="48F29B65" w:rsidR="003C4023" w:rsidRDefault="003C4023">
      <w:pPr>
        <w:rPr>
          <w:rFonts w:ascii="Times New Roman" w:hAnsi="Times New Roman"/>
          <w:sz w:val="24"/>
          <w:szCs w:val="24"/>
        </w:rPr>
      </w:pPr>
    </w:p>
    <w:p w14:paraId="4F815DC1" w14:textId="7E02165E" w:rsidR="003C4023" w:rsidRDefault="003C4023" w:rsidP="003C4023">
      <w:pPr>
        <w:jc w:val="center"/>
        <w:rPr>
          <w:rFonts w:ascii="Times New Roman" w:hAnsi="Times New Roman"/>
          <w:b/>
          <w:bCs/>
          <w:sz w:val="28"/>
          <w:szCs w:val="28"/>
          <w:u w:val="single"/>
        </w:rPr>
      </w:pPr>
      <w:r>
        <w:rPr>
          <w:rFonts w:ascii="Times New Roman" w:hAnsi="Times New Roman"/>
          <w:b/>
          <w:bCs/>
          <w:sz w:val="28"/>
          <w:szCs w:val="28"/>
          <w:u w:val="single"/>
        </w:rPr>
        <w:t>DEVOIR-</w:t>
      </w:r>
      <w:r>
        <w:rPr>
          <w:rFonts w:ascii="Times New Roman" w:hAnsi="Times New Roman"/>
          <w:b/>
          <w:bCs/>
          <w:sz w:val="28"/>
          <w:szCs w:val="28"/>
          <w:u w:val="single"/>
        </w:rPr>
        <w:t>2</w:t>
      </w:r>
      <w:r>
        <w:rPr>
          <w:rFonts w:ascii="Times New Roman" w:hAnsi="Times New Roman"/>
          <w:b/>
          <w:bCs/>
          <w:sz w:val="28"/>
          <w:szCs w:val="28"/>
          <w:u w:val="single"/>
        </w:rPr>
        <w:t xml:space="preserve"> INF2044</w:t>
      </w:r>
    </w:p>
    <w:p w14:paraId="205DF4B4" w14:textId="26112BC6" w:rsidR="003C4023" w:rsidRDefault="007F3BC8" w:rsidP="001E27D6">
      <w:pPr>
        <w:spacing w:before="240" w:line="360" w:lineRule="auto"/>
        <w:rPr>
          <w:rFonts w:ascii="Times New Roman" w:hAnsi="Times New Roman"/>
          <w:b/>
          <w:bCs/>
          <w:sz w:val="28"/>
          <w:szCs w:val="28"/>
        </w:rPr>
      </w:pPr>
      <w:r w:rsidRPr="007F3BC8">
        <w:rPr>
          <w:rFonts w:ascii="Times New Roman" w:hAnsi="Times New Roman"/>
          <w:b/>
          <w:bCs/>
          <w:sz w:val="28"/>
          <w:szCs w:val="28"/>
        </w:rPr>
        <w:t>Problème</w:t>
      </w:r>
      <w:r>
        <w:rPr>
          <w:rFonts w:ascii="Times New Roman" w:hAnsi="Times New Roman"/>
          <w:b/>
          <w:bCs/>
          <w:sz w:val="28"/>
          <w:szCs w:val="28"/>
        </w:rPr>
        <w:t> :</w:t>
      </w:r>
    </w:p>
    <w:p w14:paraId="7BC9115C" w14:textId="12D63854" w:rsidR="007F3BC8" w:rsidRDefault="008E58D6" w:rsidP="001E27D6">
      <w:pPr>
        <w:spacing w:before="240" w:line="360" w:lineRule="auto"/>
        <w:rPr>
          <w:rFonts w:ascii="Times New Roman" w:hAnsi="Times New Roman"/>
          <w:color w:val="202124"/>
          <w:sz w:val="24"/>
          <w:szCs w:val="24"/>
          <w:shd w:val="clear" w:color="auto" w:fill="FFFFFF"/>
        </w:rPr>
      </w:pPr>
      <w:r>
        <w:rPr>
          <w:rFonts w:ascii="Times New Roman" w:hAnsi="Times New Roman"/>
          <w:color w:val="202124"/>
          <w:sz w:val="24"/>
          <w:szCs w:val="24"/>
          <w:shd w:val="clear" w:color="auto" w:fill="FFFFFF"/>
        </w:rPr>
        <w:t>L’</w:t>
      </w:r>
      <w:r w:rsidR="005A6885">
        <w:rPr>
          <w:rFonts w:ascii="Times New Roman" w:hAnsi="Times New Roman"/>
          <w:color w:val="202124"/>
          <w:sz w:val="24"/>
          <w:szCs w:val="24"/>
          <w:shd w:val="clear" w:color="auto" w:fill="FFFFFF"/>
        </w:rPr>
        <w:t>état</w:t>
      </w:r>
      <w:r>
        <w:rPr>
          <w:rFonts w:ascii="Times New Roman" w:hAnsi="Times New Roman"/>
          <w:color w:val="202124"/>
          <w:sz w:val="24"/>
          <w:szCs w:val="24"/>
          <w:shd w:val="clear" w:color="auto" w:fill="FFFFFF"/>
        </w:rPr>
        <w:t xml:space="preserve"> </w:t>
      </w:r>
      <w:r w:rsidR="009E0C61">
        <w:rPr>
          <w:rFonts w:ascii="Times New Roman" w:hAnsi="Times New Roman"/>
          <w:color w:val="202124"/>
          <w:sz w:val="24"/>
          <w:szCs w:val="24"/>
          <w:shd w:val="clear" w:color="auto" w:fill="FFFFFF"/>
        </w:rPr>
        <w:t>Camerounaise souhaite</w:t>
      </w:r>
      <w:r w:rsidR="007F3BC8">
        <w:rPr>
          <w:rFonts w:ascii="Times New Roman" w:hAnsi="Times New Roman"/>
          <w:color w:val="202124"/>
          <w:sz w:val="24"/>
          <w:szCs w:val="24"/>
          <w:shd w:val="clear" w:color="auto" w:fill="FFFFFF"/>
        </w:rPr>
        <w:t xml:space="preserve"> </w:t>
      </w:r>
      <w:r w:rsidR="006D0E93">
        <w:rPr>
          <w:rFonts w:ascii="Times New Roman" w:hAnsi="Times New Roman"/>
          <w:color w:val="202124"/>
          <w:sz w:val="24"/>
          <w:szCs w:val="24"/>
          <w:shd w:val="clear" w:color="auto" w:fill="FFFFFF"/>
        </w:rPr>
        <w:t>réduire</w:t>
      </w:r>
      <w:r w:rsidR="007F3BC8">
        <w:rPr>
          <w:rFonts w:ascii="Times New Roman" w:hAnsi="Times New Roman"/>
          <w:color w:val="202124"/>
          <w:sz w:val="24"/>
          <w:szCs w:val="24"/>
          <w:shd w:val="clear" w:color="auto" w:fill="FFFFFF"/>
        </w:rPr>
        <w:t xml:space="preserve"> le taux d’i</w:t>
      </w:r>
      <w:r w:rsidR="007F3BC8" w:rsidRPr="007F3BC8">
        <w:rPr>
          <w:rFonts w:ascii="Times New Roman" w:hAnsi="Times New Roman"/>
          <w:color w:val="202124"/>
          <w:sz w:val="24"/>
          <w:szCs w:val="24"/>
          <w:shd w:val="clear" w:color="auto" w:fill="FFFFFF"/>
        </w:rPr>
        <w:t>llectronisme</w:t>
      </w:r>
      <w:r w:rsidR="007F3BC8">
        <w:rPr>
          <w:rFonts w:ascii="Times New Roman" w:hAnsi="Times New Roman"/>
          <w:color w:val="202124"/>
          <w:sz w:val="24"/>
          <w:szCs w:val="24"/>
          <w:shd w:val="clear" w:color="auto" w:fill="FFFFFF"/>
        </w:rPr>
        <w:t xml:space="preserve"> dans </w:t>
      </w:r>
      <w:r>
        <w:rPr>
          <w:rFonts w:ascii="Times New Roman" w:hAnsi="Times New Roman"/>
          <w:color w:val="202124"/>
          <w:sz w:val="24"/>
          <w:szCs w:val="24"/>
          <w:shd w:val="clear" w:color="auto" w:fill="FFFFFF"/>
        </w:rPr>
        <w:t>le pays.</w:t>
      </w:r>
    </w:p>
    <w:p w14:paraId="1588B2D5" w14:textId="47CCFF81" w:rsidR="005A6885" w:rsidRDefault="005A6885" w:rsidP="001E27D6">
      <w:pPr>
        <w:spacing w:before="240" w:line="360" w:lineRule="auto"/>
        <w:rPr>
          <w:rFonts w:ascii="Times New Roman" w:hAnsi="Times New Roman"/>
          <w:b/>
          <w:bCs/>
          <w:sz w:val="28"/>
          <w:szCs w:val="28"/>
        </w:rPr>
      </w:pPr>
      <w:r w:rsidRPr="005A6885">
        <w:rPr>
          <w:rFonts w:ascii="Times New Roman" w:hAnsi="Times New Roman"/>
          <w:b/>
          <w:bCs/>
          <w:sz w:val="28"/>
          <w:szCs w:val="28"/>
        </w:rPr>
        <w:t>Données disponibles</w:t>
      </w:r>
      <w:r>
        <w:rPr>
          <w:rFonts w:ascii="Times New Roman" w:hAnsi="Times New Roman"/>
          <w:b/>
          <w:bCs/>
          <w:sz w:val="28"/>
          <w:szCs w:val="28"/>
        </w:rPr>
        <w:t> :</w:t>
      </w:r>
    </w:p>
    <w:p w14:paraId="253E7FF5" w14:textId="4FCB74D1" w:rsidR="00874394" w:rsidRDefault="00495FA5" w:rsidP="001E27D6">
      <w:pPr>
        <w:spacing w:before="240" w:line="360" w:lineRule="auto"/>
        <w:rPr>
          <w:rFonts w:ascii="Times New Roman" w:hAnsi="Times New Roman"/>
          <w:sz w:val="24"/>
          <w:szCs w:val="24"/>
        </w:rPr>
      </w:pPr>
      <w:r w:rsidRPr="00495FA5">
        <w:rPr>
          <w:rFonts w:ascii="Times New Roman" w:hAnsi="Times New Roman"/>
          <w:sz w:val="24"/>
          <w:szCs w:val="24"/>
        </w:rPr>
        <w:t>Historique</w:t>
      </w:r>
      <w:r>
        <w:rPr>
          <w:rFonts w:ascii="Times New Roman" w:hAnsi="Times New Roman"/>
          <w:sz w:val="24"/>
          <w:szCs w:val="24"/>
        </w:rPr>
        <w:t xml:space="preserve"> </w:t>
      </w:r>
      <w:r w:rsidR="003A2F9C">
        <w:rPr>
          <w:rFonts w:ascii="Times New Roman" w:hAnsi="Times New Roman"/>
          <w:sz w:val="24"/>
          <w:szCs w:val="24"/>
        </w:rPr>
        <w:t xml:space="preserve">des </w:t>
      </w:r>
      <w:r w:rsidR="004431A7">
        <w:rPr>
          <w:rFonts w:ascii="Times New Roman" w:hAnsi="Times New Roman"/>
          <w:sz w:val="24"/>
          <w:szCs w:val="24"/>
        </w:rPr>
        <w:t>recherches sur le p</w:t>
      </w:r>
      <w:r w:rsidR="004431A7" w:rsidRPr="004431A7">
        <w:rPr>
          <w:rFonts w:ascii="Times New Roman" w:hAnsi="Times New Roman"/>
          <w:sz w:val="24"/>
          <w:szCs w:val="24"/>
        </w:rPr>
        <w:t>ourcentage de la population n'ayant pas d'accès à internet ou pas de compétences numériques</w:t>
      </w:r>
      <w:r w:rsidR="004431A7">
        <w:rPr>
          <w:rFonts w:ascii="Times New Roman" w:hAnsi="Times New Roman"/>
          <w:sz w:val="24"/>
          <w:szCs w:val="24"/>
        </w:rPr>
        <w:t>.</w:t>
      </w:r>
    </w:p>
    <w:p w14:paraId="4B4D47D2" w14:textId="60B8BD23" w:rsidR="000D336B" w:rsidRDefault="000D336B" w:rsidP="001E27D6">
      <w:pPr>
        <w:spacing w:before="240" w:line="360" w:lineRule="auto"/>
        <w:rPr>
          <w:rFonts w:ascii="Times New Roman" w:hAnsi="Times New Roman"/>
          <w:b/>
          <w:bCs/>
          <w:sz w:val="28"/>
          <w:szCs w:val="28"/>
        </w:rPr>
      </w:pPr>
      <w:r w:rsidRPr="000D336B">
        <w:rPr>
          <w:rFonts w:ascii="Times New Roman" w:hAnsi="Times New Roman"/>
          <w:b/>
          <w:bCs/>
          <w:sz w:val="28"/>
          <w:szCs w:val="28"/>
        </w:rPr>
        <w:t>Critères</w:t>
      </w:r>
      <w:r w:rsidRPr="000D336B">
        <w:rPr>
          <w:rFonts w:ascii="Times New Roman" w:hAnsi="Times New Roman"/>
          <w:b/>
          <w:bCs/>
          <w:sz w:val="28"/>
          <w:szCs w:val="28"/>
        </w:rPr>
        <w:t xml:space="preserve"> à étudier</w:t>
      </w:r>
      <w:r>
        <w:rPr>
          <w:rFonts w:ascii="Times New Roman" w:hAnsi="Times New Roman"/>
          <w:b/>
          <w:bCs/>
          <w:sz w:val="28"/>
          <w:szCs w:val="28"/>
        </w:rPr>
        <w:t> :</w:t>
      </w:r>
    </w:p>
    <w:p w14:paraId="2A3CE080" w14:textId="6DF13C77" w:rsidR="000D336B" w:rsidRDefault="008B4B68" w:rsidP="001E27D6">
      <w:pPr>
        <w:spacing w:before="240" w:line="360" w:lineRule="auto"/>
        <w:rPr>
          <w:rFonts w:ascii="Times New Roman" w:hAnsi="Times New Roman"/>
          <w:sz w:val="24"/>
          <w:szCs w:val="24"/>
        </w:rPr>
      </w:pPr>
      <w:r>
        <w:rPr>
          <w:rFonts w:ascii="Times New Roman" w:hAnsi="Times New Roman"/>
          <w:sz w:val="24"/>
          <w:szCs w:val="24"/>
        </w:rPr>
        <w:t xml:space="preserve">Le nombres de personnes utilisant internet sellons leurres </w:t>
      </w:r>
      <w:r w:rsidR="006E6DBE">
        <w:rPr>
          <w:rFonts w:ascii="Times New Roman" w:hAnsi="Times New Roman"/>
          <w:sz w:val="24"/>
          <w:szCs w:val="24"/>
        </w:rPr>
        <w:t>Age.</w:t>
      </w:r>
    </w:p>
    <w:p w14:paraId="3C6DB42E" w14:textId="0CD9486E" w:rsidR="003601E2" w:rsidRDefault="003601E2" w:rsidP="001E27D6">
      <w:pPr>
        <w:spacing w:before="240" w:line="360" w:lineRule="auto"/>
        <w:rPr>
          <w:rFonts w:ascii="Times New Roman" w:hAnsi="Times New Roman"/>
          <w:b/>
          <w:bCs/>
          <w:sz w:val="28"/>
          <w:szCs w:val="28"/>
        </w:rPr>
      </w:pPr>
      <w:r w:rsidRPr="003601E2">
        <w:rPr>
          <w:rFonts w:ascii="Times New Roman" w:hAnsi="Times New Roman"/>
          <w:b/>
          <w:bCs/>
          <w:sz w:val="28"/>
          <w:szCs w:val="28"/>
        </w:rPr>
        <w:t>Résultats et observations</w:t>
      </w:r>
      <w:r>
        <w:rPr>
          <w:rFonts w:ascii="Times New Roman" w:hAnsi="Times New Roman"/>
          <w:b/>
          <w:bCs/>
          <w:sz w:val="28"/>
          <w:szCs w:val="28"/>
        </w:rPr>
        <w:t> :</w:t>
      </w:r>
    </w:p>
    <w:p w14:paraId="06BC5A23" w14:textId="351F39A0" w:rsidR="003601E2" w:rsidRPr="00861AC2" w:rsidRDefault="00861AC2" w:rsidP="001E27D6">
      <w:pPr>
        <w:spacing w:before="240" w:line="360" w:lineRule="auto"/>
        <w:rPr>
          <w:rFonts w:ascii="Arial" w:hAnsi="Arial" w:cs="Arial"/>
          <w:color w:val="222222"/>
          <w:sz w:val="24"/>
          <w:szCs w:val="24"/>
          <w:shd w:val="clear" w:color="auto" w:fill="FFFFFF"/>
        </w:rPr>
      </w:pPr>
      <w:r w:rsidRPr="00861AC2">
        <w:rPr>
          <w:rFonts w:ascii="Arial" w:hAnsi="Arial" w:cs="Arial"/>
          <w:color w:val="222222"/>
          <w:sz w:val="24"/>
          <w:szCs w:val="24"/>
          <w:shd w:val="clear" w:color="auto" w:fill="FFFFFF"/>
        </w:rPr>
        <w:t>Ainsi, une personne de plus de 75 ans</w:t>
      </w:r>
      <w:r w:rsidR="006E6DBE">
        <w:rPr>
          <w:rFonts w:ascii="Arial" w:hAnsi="Arial" w:cs="Arial"/>
          <w:color w:val="222222"/>
          <w:sz w:val="24"/>
          <w:szCs w:val="24"/>
          <w:shd w:val="clear" w:color="auto" w:fill="FFFFFF"/>
        </w:rPr>
        <w:t xml:space="preserve"> X</w:t>
      </w:r>
      <w:r w:rsidRPr="00861AC2">
        <w:rPr>
          <w:rFonts w:ascii="Arial" w:hAnsi="Arial" w:cs="Arial"/>
          <w:color w:val="222222"/>
          <w:sz w:val="24"/>
          <w:szCs w:val="24"/>
          <w:shd w:val="clear" w:color="auto" w:fill="FFFFFF"/>
        </w:rPr>
        <w:t xml:space="preserve"> sur deux n'a pas d'accès à Internet depuis son domicile (53%), alors que seuls 2% des 15-29 ans ne sont pas équipés.</w:t>
      </w:r>
    </w:p>
    <w:p w14:paraId="1E3055F9" w14:textId="1C7CA310" w:rsidR="00861AC2" w:rsidRPr="00861AC2" w:rsidRDefault="00861AC2" w:rsidP="001E27D6">
      <w:pPr>
        <w:spacing w:before="240" w:line="360" w:lineRule="auto"/>
        <w:rPr>
          <w:rFonts w:ascii="Arial" w:hAnsi="Arial" w:cs="Arial"/>
          <w:color w:val="222222"/>
          <w:sz w:val="24"/>
          <w:szCs w:val="24"/>
          <w:shd w:val="clear" w:color="auto" w:fill="FFFFFF"/>
        </w:rPr>
      </w:pPr>
      <w:r w:rsidRPr="00861AC2">
        <w:rPr>
          <w:rFonts w:ascii="Arial" w:hAnsi="Arial" w:cs="Arial"/>
          <w:color w:val="222222"/>
          <w:sz w:val="24"/>
          <w:szCs w:val="24"/>
          <w:shd w:val="clear" w:color="auto" w:fill="FFFFFF"/>
        </w:rPr>
        <w:t>C'est également le cas de 34% des personnes peu ou pas diplômés (contre 3% des diplômés du supérieur), et de 16% des ménages les plus modestes (contre 4% des ménages les plus aisés). </w:t>
      </w:r>
    </w:p>
    <w:p w14:paraId="748852E8" w14:textId="1314885B" w:rsidR="00861AC2" w:rsidRPr="00861AC2" w:rsidRDefault="00861AC2" w:rsidP="001E27D6">
      <w:pPr>
        <w:spacing w:before="240" w:line="360" w:lineRule="auto"/>
        <w:rPr>
          <w:rFonts w:ascii="Arial" w:hAnsi="Arial" w:cs="Arial"/>
          <w:color w:val="222222"/>
          <w:sz w:val="24"/>
          <w:szCs w:val="24"/>
          <w:shd w:val="clear" w:color="auto" w:fill="FFFFFF"/>
        </w:rPr>
      </w:pPr>
      <w:r w:rsidRPr="00861AC2">
        <w:rPr>
          <w:rFonts w:ascii="Arial" w:hAnsi="Arial" w:cs="Arial"/>
          <w:color w:val="222222"/>
          <w:sz w:val="24"/>
          <w:szCs w:val="24"/>
          <w:shd w:val="clear" w:color="auto" w:fill="FFFFFF"/>
        </w:rPr>
        <w:t>Les personnes vivant seules, en couple sans enfant, ou encore résidant dans les départements d'outre-mer sont également touchées par ce défaut d’équipement. </w:t>
      </w:r>
    </w:p>
    <w:p w14:paraId="15BFB65F" w14:textId="2006592C" w:rsidR="00861AC2" w:rsidRDefault="00861AC2" w:rsidP="001E27D6">
      <w:pPr>
        <w:spacing w:before="240" w:line="360" w:lineRule="auto"/>
        <w:rPr>
          <w:rFonts w:ascii="Arial" w:hAnsi="Arial" w:cs="Arial"/>
          <w:color w:val="222222"/>
          <w:sz w:val="24"/>
          <w:szCs w:val="24"/>
          <w:shd w:val="clear" w:color="auto" w:fill="FFFFFF"/>
        </w:rPr>
      </w:pPr>
      <w:r w:rsidRPr="00861AC2">
        <w:rPr>
          <w:rFonts w:ascii="Arial" w:hAnsi="Arial" w:cs="Arial"/>
          <w:color w:val="222222"/>
          <w:sz w:val="24"/>
          <w:szCs w:val="24"/>
          <w:shd w:val="clear" w:color="auto" w:fill="FFFFFF"/>
        </w:rPr>
        <w:t>Mais utiliser Internet ne suffit pas pour maîtriser les fondamentaux du numérique. Ainsi, </w:t>
      </w:r>
      <w:r w:rsidRPr="00861AC2">
        <w:rPr>
          <w:rStyle w:val="lev"/>
          <w:rFonts w:ascii="Arial" w:hAnsi="Arial" w:cs="Arial"/>
          <w:color w:val="222222"/>
          <w:sz w:val="24"/>
          <w:szCs w:val="24"/>
          <w:shd w:val="clear" w:color="auto" w:fill="FFFFFF"/>
        </w:rPr>
        <w:t>38% des usagers apparaissent manquer d'une compétence numérique</w:t>
      </w:r>
      <w:r w:rsidRPr="00861AC2">
        <w:rPr>
          <w:rFonts w:ascii="Arial" w:hAnsi="Arial" w:cs="Arial"/>
          <w:color w:val="222222"/>
          <w:sz w:val="24"/>
          <w:szCs w:val="24"/>
          <w:shd w:val="clear" w:color="auto" w:fill="FFFFFF"/>
        </w:rPr>
        <w:t> dans au moins un de ces domaines : la recherche d'information, la communication, l'utilisation de logiciels et la résolution de problèmes. 2% ne savent pas utiliser un ordinateur, même s'ils ont l'équipement nécessaire.</w:t>
      </w:r>
    </w:p>
    <w:p w14:paraId="2E97A170" w14:textId="55C836AC" w:rsidR="00D10C83" w:rsidRDefault="00D10C83" w:rsidP="001E27D6">
      <w:pPr>
        <w:spacing w:before="240" w:line="360" w:lineRule="auto"/>
        <w:rPr>
          <w:rFonts w:ascii="Times New Roman" w:hAnsi="Times New Roman"/>
          <w:b/>
          <w:bCs/>
          <w:sz w:val="24"/>
          <w:szCs w:val="24"/>
        </w:rPr>
      </w:pPr>
      <w:r w:rsidRPr="00E77CEF">
        <w:rPr>
          <w:rFonts w:ascii="Times New Roman" w:hAnsi="Times New Roman"/>
          <w:b/>
          <w:bCs/>
          <w:sz w:val="28"/>
          <w:szCs w:val="28"/>
        </w:rPr>
        <w:t>Recommandations et décisions</w:t>
      </w:r>
      <w:r>
        <w:rPr>
          <w:rFonts w:ascii="Times New Roman" w:hAnsi="Times New Roman"/>
          <w:b/>
          <w:bCs/>
          <w:sz w:val="24"/>
          <w:szCs w:val="24"/>
        </w:rPr>
        <w:t> :</w:t>
      </w:r>
      <w:r w:rsidR="006E6DBE">
        <w:rPr>
          <w:rFonts w:ascii="Times New Roman" w:hAnsi="Times New Roman"/>
          <w:b/>
          <w:bCs/>
          <w:sz w:val="24"/>
          <w:szCs w:val="24"/>
        </w:rPr>
        <w:t xml:space="preserve"> </w:t>
      </w:r>
    </w:p>
    <w:p w14:paraId="7CE659E5" w14:textId="130F3F03" w:rsidR="00697CA3" w:rsidRPr="007A0853" w:rsidRDefault="007A0853" w:rsidP="001E27D6">
      <w:pPr>
        <w:spacing w:before="240" w:line="360" w:lineRule="auto"/>
        <w:rPr>
          <w:rFonts w:ascii="Times New Roman" w:hAnsi="Times New Roman"/>
          <w:b/>
          <w:bCs/>
          <w:sz w:val="24"/>
          <w:szCs w:val="24"/>
        </w:rPr>
      </w:pPr>
      <w:r w:rsidRPr="007A0853">
        <w:rPr>
          <w:rFonts w:ascii="Times New Roman" w:hAnsi="Times New Roman"/>
          <w:sz w:val="24"/>
          <w:szCs w:val="24"/>
          <w:shd w:val="clear" w:color="auto" w:fill="FFFFFF"/>
        </w:rPr>
        <w:t>La</w:t>
      </w:r>
      <w:r w:rsidR="00697CA3" w:rsidRPr="007A0853">
        <w:rPr>
          <w:rFonts w:ascii="Times New Roman" w:hAnsi="Times New Roman"/>
          <w:sz w:val="24"/>
          <w:szCs w:val="24"/>
          <w:shd w:val="clear" w:color="auto" w:fill="FFFFFF"/>
        </w:rPr>
        <w:t xml:space="preserve"> réduction de cette fracture numérique. Cela passera par de la formation,</w:t>
      </w:r>
      <w:r w:rsidR="00347C4A">
        <w:rPr>
          <w:rFonts w:ascii="Times New Roman" w:hAnsi="Times New Roman"/>
          <w:sz w:val="24"/>
          <w:szCs w:val="24"/>
          <w:shd w:val="clear" w:color="auto" w:fill="FFFFFF"/>
        </w:rPr>
        <w:t xml:space="preserve"> </w:t>
      </w:r>
      <w:r w:rsidR="00697CA3" w:rsidRPr="007A0853">
        <w:rPr>
          <w:rFonts w:ascii="Times New Roman" w:hAnsi="Times New Roman"/>
          <w:sz w:val="24"/>
          <w:szCs w:val="24"/>
          <w:shd w:val="clear" w:color="auto" w:fill="FFFFFF"/>
        </w:rPr>
        <w:t>distribués par Pôle emploi, la Caisse d’allocations familiales, l’Assurance maladie et les collectivités.</w:t>
      </w:r>
    </w:p>
    <w:p w14:paraId="1BB69B3A" w14:textId="77777777" w:rsidR="006E6DBE" w:rsidRPr="00861AC2" w:rsidRDefault="006E6DBE" w:rsidP="00495FA5">
      <w:pPr>
        <w:rPr>
          <w:rFonts w:ascii="Times New Roman" w:hAnsi="Times New Roman"/>
          <w:b/>
          <w:bCs/>
          <w:sz w:val="24"/>
          <w:szCs w:val="24"/>
        </w:rPr>
      </w:pPr>
    </w:p>
    <w:sectPr w:rsidR="006E6DBE" w:rsidRPr="00861AC2">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8E87A" w14:textId="77777777" w:rsidR="00266907" w:rsidRDefault="00266907">
      <w:pPr>
        <w:spacing w:after="0" w:line="240" w:lineRule="auto"/>
      </w:pPr>
      <w:r>
        <w:separator/>
      </w:r>
    </w:p>
  </w:endnote>
  <w:endnote w:type="continuationSeparator" w:id="0">
    <w:p w14:paraId="500614F6" w14:textId="77777777" w:rsidR="00266907" w:rsidRDefault="0026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5A16F" w14:textId="77777777" w:rsidR="00266907" w:rsidRDefault="00266907">
      <w:pPr>
        <w:spacing w:after="0" w:line="240" w:lineRule="auto"/>
      </w:pPr>
      <w:r>
        <w:rPr>
          <w:color w:val="000000"/>
        </w:rPr>
        <w:separator/>
      </w:r>
    </w:p>
  </w:footnote>
  <w:footnote w:type="continuationSeparator" w:id="0">
    <w:p w14:paraId="5B10DBB0" w14:textId="77777777" w:rsidR="00266907" w:rsidRDefault="00266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07DCB"/>
    <w:rsid w:val="00067E87"/>
    <w:rsid w:val="000C62DF"/>
    <w:rsid w:val="000D336B"/>
    <w:rsid w:val="001E27D6"/>
    <w:rsid w:val="002119DF"/>
    <w:rsid w:val="00266907"/>
    <w:rsid w:val="00273E60"/>
    <w:rsid w:val="00347C4A"/>
    <w:rsid w:val="003601E2"/>
    <w:rsid w:val="003A2F9C"/>
    <w:rsid w:val="003C4023"/>
    <w:rsid w:val="00407DCB"/>
    <w:rsid w:val="004431A7"/>
    <w:rsid w:val="00495FA5"/>
    <w:rsid w:val="00580E38"/>
    <w:rsid w:val="005A6885"/>
    <w:rsid w:val="005B28EC"/>
    <w:rsid w:val="00697CA3"/>
    <w:rsid w:val="006D0E93"/>
    <w:rsid w:val="006E6DBE"/>
    <w:rsid w:val="007A0853"/>
    <w:rsid w:val="007F3BC8"/>
    <w:rsid w:val="00861AC2"/>
    <w:rsid w:val="00874394"/>
    <w:rsid w:val="008B4B68"/>
    <w:rsid w:val="008E58D6"/>
    <w:rsid w:val="009E0C61"/>
    <w:rsid w:val="009F6815"/>
    <w:rsid w:val="00D10C83"/>
    <w:rsid w:val="00D2423D"/>
    <w:rsid w:val="00E77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C75A"/>
  <w15:docId w15:val="{30D54BE4-9C73-42CF-B729-177F7DEA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023"/>
    <w:pPr>
      <w:suppressAutoHyphens/>
    </w:pPr>
  </w:style>
  <w:style w:type="paragraph" w:styleId="Titre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eastAsia="fr-FR"/>
    </w:rPr>
  </w:style>
  <w:style w:type="character" w:customStyle="1" w:styleId="lang-en">
    <w:name w:val="lang-en"/>
    <w:basedOn w:val="Policepardfaut"/>
  </w:style>
  <w:style w:type="character" w:styleId="Lienhypertexte">
    <w:name w:val="Hyperlink"/>
    <w:basedOn w:val="Policepardfaut"/>
    <w:rPr>
      <w:color w:val="0000FF"/>
      <w:u w:val="single"/>
    </w:rPr>
  </w:style>
  <w:style w:type="character" w:customStyle="1" w:styleId="mwe-math-mathml-inline">
    <w:name w:val="mwe-math-mathml-inline"/>
    <w:basedOn w:val="Policepardfaut"/>
  </w:style>
  <w:style w:type="character" w:styleId="Mentionnonrsolue">
    <w:name w:val="Unresolved Mention"/>
    <w:basedOn w:val="Policepardfaut"/>
    <w:rPr>
      <w:color w:val="605E5C"/>
      <w:shd w:val="clear" w:color="auto" w:fill="E1DFDD"/>
    </w:rPr>
  </w:style>
  <w:style w:type="character" w:customStyle="1" w:styleId="Titre1Car">
    <w:name w:val="Titre 1 Car"/>
    <w:basedOn w:val="Policepardfaut"/>
    <w:rPr>
      <w:rFonts w:ascii="Times New Roman" w:eastAsia="Times New Roman" w:hAnsi="Times New Roman" w:cs="Times New Roman"/>
      <w:b/>
      <w:bCs/>
      <w:kern w:val="3"/>
      <w:sz w:val="48"/>
      <w:szCs w:val="48"/>
      <w:lang w:eastAsia="fr-FR"/>
    </w:rPr>
  </w:style>
  <w:style w:type="character" w:styleId="lev">
    <w:name w:val="Strong"/>
    <w:basedOn w:val="Policepardfaut"/>
    <w:uiPriority w:val="22"/>
    <w:qFormat/>
    <w:rsid w:val="00861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677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alyse_des_donn&#233;es" TargetMode="External"/><Relationship Id="rId13" Type="http://schemas.openxmlformats.org/officeDocument/2006/relationships/hyperlink" Target="https://fr.wikipedia.org/wiki/Angla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Analyse_en_composantes_principales#cite_note-1"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r.wikipedia.org/wiki/Variance_(statistiques_et_probabilit&#233;s)" TargetMode="External"/><Relationship Id="rId5" Type="http://schemas.openxmlformats.org/officeDocument/2006/relationships/footnotes" Target="footnotes.xml"/><Relationship Id="rId15" Type="http://schemas.openxmlformats.org/officeDocument/2006/relationships/hyperlink" Target="https://fr.wikipedia.org/wiki/Analyse_en_composantes_principales" TargetMode="External"/><Relationship Id="rId10" Type="http://schemas.openxmlformats.org/officeDocument/2006/relationships/hyperlink" Target="https://fr.wikipedia.org/wiki/Analyse_en_composantes_principales#cite_note-2" TargetMode="External"/><Relationship Id="rId4" Type="http://schemas.openxmlformats.org/officeDocument/2006/relationships/webSettings" Target="webSettings.xml"/><Relationship Id="rId9" Type="http://schemas.openxmlformats.org/officeDocument/2006/relationships/hyperlink" Target="https://fr.wikipedia.org/wiki/Statistique_multivari&#233;e" TargetMode="External"/><Relationship Id="rId14" Type="http://schemas.openxmlformats.org/officeDocument/2006/relationships/hyperlink" Target="https://fr.wikipedia.org/wiki/Analyse_factoriel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90861-C3AB-4775-8BDE-2437087D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785</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tsessilede</dc:creator>
  <dc:description/>
  <cp:lastModifiedBy>nico</cp:lastModifiedBy>
  <cp:revision>4</cp:revision>
  <cp:lastPrinted>2021-06-11T05:25:00Z</cp:lastPrinted>
  <dcterms:created xsi:type="dcterms:W3CDTF">2021-06-11T05:25:00Z</dcterms:created>
  <dcterms:modified xsi:type="dcterms:W3CDTF">2021-06-11T05:32:00Z</dcterms:modified>
</cp:coreProperties>
</file>