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t>Respuesta: No todas al día exacto, pero el flujo principal sí va dentro de la carta Gantt. Hoy, 19 de octubre, estamos al inicio de la semana 12. La semana 1 la contamos desde el 3 de agosto.</w:t>
            </w:r>
          </w:p>
          <w:p w14:paraId="1B0663A3" w14:textId="77777777" w:rsidR="004F2A8B" w:rsidRDefault="004F2A8B" w:rsidP="3D28A338">
            <w:pPr>
              <w:jc w:val="both"/>
              <w:rPr>
                <w:rFonts w:ascii="Calibri" w:hAnsi="Calibri"/>
                <w:b/>
                <w:bCs/>
                <w:color w:val="1F4E79" w:themeColor="accent1" w:themeShade="80"/>
              </w:rPr>
            </w:pPr>
            <w:r>
              <w:t>La definición de la Fase 1 quedó en agosto, dentro de las semanas 1 a 4. El modelo de datos y la seguridad por filas los cerramos en lo central entre las semanas 5 y 8: el esquema en español, el modelo entidad-relación y el diccionario. Los permisos de trabajos y pagos se nos corrieron a la semana 9, porque en la base real el pago desde la web seguía bloqueado.</w:t>
            </w:r>
          </w:p>
          <w:p w14:paraId="4B137E35" w14:textId="77777777" w:rsidR="004F2A8B" w:rsidRDefault="004F2A8B" w:rsidP="3D28A338">
            <w:pPr>
              <w:jc w:val="both"/>
              <w:rPr>
                <w:rFonts w:ascii="Calibri" w:hAnsi="Calibri"/>
                <w:b/>
                <w:bCs/>
                <w:color w:val="1F4E79" w:themeColor="accent1" w:themeShade="80"/>
              </w:rPr>
            </w:pPr>
            <w:r>
              <w:t xml:space="preserve">La </w:t>
            </w:r>
            <w:proofErr w:type="gramStart"/>
            <w:r>
              <w:t>app</w:t>
            </w:r>
            <w:proofErr w:type="gramEnd"/>
            <w:r>
              <w:t>, la web y el escritorio siguen en su ventana, hasta la semana 14. En la demo ya se puede pedir el servicio, aceptarlo, subir evidencia y dejar el pago retenido hasta la conformidad del cliente. El escritorio va más atrás: está alineado en diseño y tiene los paneles de soporte y ejecutivo, pero con menos profundidad. El cobro simulado funciona, y además abrimos Webpay en el ambiente de pruebas de Transbank. Eso no estaba en el plan con ese detalle y nos sacó tiempo. Las pruebas formales parten esta semana. Ya hay integración continua, pruebas de la web y una prueba de carga. El informe de avance iba en las semanas 9 y 10: la evidencia está en el repositorio, pero este diario lo estoy cerrando un poco después.</w:t>
            </w:r>
          </w:p>
          <w:p w14:paraId="1F17CAF9" w14:textId="5F293642" w:rsidR="004F2A8B" w:rsidRPr="00874D16" w:rsidRDefault="004F2A8B" w:rsidP="3D28A338">
            <w:pPr>
              <w:jc w:val="both"/>
              <w:rPr>
                <w:rFonts w:ascii="Calibri" w:hAnsi="Calibri"/>
                <w:b/>
                <w:bCs/>
                <w:color w:val="1F4E79" w:themeColor="accent1" w:themeShade="80"/>
              </w:rPr>
            </w:pPr>
            <w:r>
              <w:t xml:space="preserve">Lo que más nos facilitó fue llegar con el </w:t>
            </w:r>
            <w:proofErr w:type="spellStart"/>
            <w:r>
              <w:t>monorepo</w:t>
            </w:r>
            <w:proofErr w:type="spellEnd"/>
            <w:r>
              <w:t xml:space="preserve">, </w:t>
            </w:r>
            <w:proofErr w:type="spellStart"/>
            <w:r>
              <w:t>Supabase</w:t>
            </w:r>
            <w:proofErr w:type="spellEnd"/>
            <w:r>
              <w:t xml:space="preserve"> y un </w:t>
            </w:r>
            <w:proofErr w:type="spellStart"/>
            <w:r>
              <w:t>stack</w:t>
            </w:r>
            <w:proofErr w:type="spellEnd"/>
            <w:r>
              <w:t xml:space="preserve"> que ya conocemos. Lo que más nos dificultó fue sostener tres interfaces a la vez, los errores al solicitar el servicio y haber abierto el pago real cuando en la Fase 1 habíamos decidido dejarlo simulado.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2D8FEBF4" w14:textId="77777777" w:rsidR="00A36E76" w:rsidRDefault="00A36E76" w:rsidP="3D28A338">
      <w:pPr>
        <w:spacing w:after="0" w:line="360" w:lineRule="auto"/>
        <w:jc w:val="both"/>
        <w:rPr>
          <w:color w:val="595959" w:themeColor="text1" w:themeTint="A6"/>
          <w:sz w:val="24"/>
          <w:szCs w:val="24"/>
          <w:lang w:eastAsia="ja-JP"/>
        </w:rPr>
      </w:pPr>
    </w:p>
    <w:p w14:paraId="2DCBBFAB" w14:textId="77777777" w:rsidR="00A36E76" w:rsidRDefault="00A36E76" w:rsidP="3D28A338">
      <w:pPr>
        <w:spacing w:after="0" w:line="360" w:lineRule="auto"/>
        <w:jc w:val="both"/>
        <w:rPr>
          <w:color w:val="595959" w:themeColor="text1" w:themeTint="A6"/>
          <w:sz w:val="24"/>
          <w:szCs w:val="24"/>
          <w:lang w:eastAsia="ja-JP"/>
        </w:rPr>
      </w:pPr>
    </w:p>
    <w:p w14:paraId="0BDF0BED" w14:textId="77777777" w:rsidR="00A36E76" w:rsidRDefault="00A36E76" w:rsidP="3D28A338">
      <w:pPr>
        <w:spacing w:after="0" w:line="360" w:lineRule="auto"/>
        <w:jc w:val="both"/>
        <w:rPr>
          <w:color w:val="595959" w:themeColor="text1" w:themeTint="A6"/>
          <w:sz w:val="24"/>
          <w:szCs w:val="24"/>
          <w:lang w:eastAsia="ja-JP"/>
        </w:rPr>
      </w:pPr>
    </w:p>
    <w:p w14:paraId="59794FC2" w14:textId="77777777" w:rsidR="00A36E76" w:rsidRDefault="00A36E76" w:rsidP="3D28A338">
      <w:pPr>
        <w:spacing w:after="0" w:line="360" w:lineRule="auto"/>
        <w:jc w:val="both"/>
        <w:rPr>
          <w:color w:val="595959" w:themeColor="text1" w:themeTint="A6"/>
          <w:sz w:val="24"/>
          <w:szCs w:val="24"/>
          <w:lang w:eastAsia="ja-JP"/>
        </w:rPr>
      </w:pPr>
    </w:p>
    <w:p w14:paraId="74D6621C" w14:textId="77777777" w:rsidR="00A36E76" w:rsidRDefault="00A36E76" w:rsidP="3D28A338">
      <w:pPr>
        <w:spacing w:after="0" w:line="360" w:lineRule="auto"/>
        <w:jc w:val="both"/>
        <w:rPr>
          <w:color w:val="595959" w:themeColor="text1" w:themeTint="A6"/>
          <w:sz w:val="24"/>
          <w:szCs w:val="24"/>
          <w:lang w:eastAsia="ja-JP"/>
        </w:rPr>
      </w:pPr>
    </w:p>
    <w:p w14:paraId="1CE0E2BB" w14:textId="77777777" w:rsidR="00A36E76" w:rsidRDefault="00A36E76" w:rsidP="3D28A338">
      <w:pPr>
        <w:spacing w:after="0" w:line="360" w:lineRule="auto"/>
        <w:jc w:val="both"/>
        <w:rPr>
          <w:color w:val="595959" w:themeColor="text1" w:themeTint="A6"/>
          <w:sz w:val="24"/>
          <w:szCs w:val="24"/>
          <w:lang w:eastAsia="ja-JP"/>
        </w:rPr>
      </w:pPr>
    </w:p>
    <w:p w14:paraId="56FCC6FA" w14:textId="77777777" w:rsidR="00A36E76" w:rsidRDefault="00A36E76"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t>Respuesta: Las enfrentamos recortando alcance, no el flujo crítico. Cuando el GPS, el teclado o la pantalla de solicitar servicio fallaban, paramos las funcionalidades nuevas y corregimos eso primero. Esos arreglos quedaron en los primeros días de octubre. Con la base pasó algo parecido: en vez de parchar cada pantalla, alineamos el esquema del repositorio con la base que estamos usando y cerramos las funciones que dejaban al cliente fijar el precio o reutilizar un alta.</w:t>
            </w:r>
          </w:p>
          <w:p w14:paraId="348C2F04" w14:textId="77777777" w:rsidR="004F2A8B" w:rsidRDefault="004F2A8B" w:rsidP="3D28A338">
            <w:pPr>
              <w:jc w:val="both"/>
              <w:rPr>
                <w:rFonts w:ascii="Calibri" w:hAnsi="Calibri"/>
                <w:b/>
                <w:bCs/>
                <w:color w:val="1F4E79" w:themeColor="accent1" w:themeShade="80"/>
              </w:rPr>
            </w:pPr>
            <w:r>
              <w:t xml:space="preserve">El pago lo dejamos en dos capas para no perder el objetivo. El cobro en garantía simulado es el que cumple el MVP. La integración con Webpay queda en ambiente de pruebas y no la vamos a llevar a producción dentro de la asignatura. Las notificaciones </w:t>
            </w:r>
            <w:proofErr w:type="spellStart"/>
            <w:r>
              <w:t>push</w:t>
            </w:r>
            <w:proofErr w:type="spellEnd"/>
            <w:r>
              <w:t xml:space="preserve"> y la publicación en tiendas siguen fuera, como lo escribimos en la factibilidad de la Fase 1.</w:t>
            </w:r>
          </w:p>
          <w:p w14:paraId="3BBA6BFE" w14:textId="77777777" w:rsidR="004F2A8B" w:rsidRDefault="004F2A8B" w:rsidP="3D28A338">
            <w:pPr>
              <w:jc w:val="both"/>
              <w:rPr>
                <w:rFonts w:ascii="Calibri" w:hAnsi="Calibri"/>
                <w:b/>
                <w:bCs/>
                <w:color w:val="1F4E79" w:themeColor="accent1" w:themeShade="80"/>
              </w:rPr>
            </w:pPr>
            <w:r>
              <w:t xml:space="preserve">De aquí a la semana 14 el criterio es no abrir módulos nuevos. Gabriel cierra los casos de datos y pago que todavía fallen, yo dejo estable la </w:t>
            </w:r>
            <w:proofErr w:type="gramStart"/>
            <w:r>
              <w:t>app</w:t>
            </w:r>
            <w:proofErr w:type="gramEnd"/>
            <w:r>
              <w:t xml:space="preserve"> y la integración entre interfaces, y Nicolas ordena la evidencia del recorrido del usuario. Esta semana partimos la matriz del flujo crítico en </w:t>
            </w:r>
            <w:proofErr w:type="gramStart"/>
            <w:r>
              <w:t>app</w:t>
            </w:r>
            <w:proofErr w:type="gramEnd"/>
            <w:r>
              <w:t>, web y escritorio. Si algo no alcanza, se saca de la demo. No vamos a improvisar un atajo.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t>Respuesta: Me evalúo bien en la construcción y más débil en cómo repartí la carga y en los tiempos del documento. Lo que destaco es que las tres interfaces quedaron sobre la misma sesión y los mismos datos, y que el ciclo del trabajo se puede recorrer en la demo: el cliente pide, el trabajador acepta, sube evidencia y el pago se retiene hasta que el cliente da la conformidad. También dejé la integración continua y la auditoría del 5 de octubre, para no seguir avanzando sin saber qué estaba roto.</w:t>
            </w:r>
          </w:p>
          <w:p w14:paraId="3BE9AC1F" w14:textId="77777777" w:rsidR="004F2A8B" w:rsidRDefault="004F2A8B" w:rsidP="3D28A338">
            <w:pPr>
              <w:jc w:val="both"/>
              <w:rPr>
                <w:rFonts w:ascii="Calibri" w:hAnsi="Calibri"/>
                <w:b/>
                <w:bCs/>
                <w:color w:val="1F4E79" w:themeColor="accent1" w:themeShade="80"/>
              </w:rPr>
            </w:pPr>
            <w:r>
              <w:t xml:space="preserve">Para mejorar tengo que soltar antes. Me quedé con demasiada </w:t>
            </w:r>
            <w:proofErr w:type="gramStart"/>
            <w:r>
              <w:t>app</w:t>
            </w:r>
            <w:proofErr w:type="gramEnd"/>
            <w:r>
              <w:t>, web y escritorio al mismo tiempo, y por eso la mayoría de los cambios del repositorio están a mi nombre. Eso acelera cuando todo sale, pero el equipo queda corto si yo me trabo. También escribí código más rápido que la evidencia de la asignatura: este monitoreo iba en las semanas 9 y 10, y lo estoy dejando por escrito al entrar a la semana 12. De ahora en adelante voy a reservar tiempo de la misma semana para el documento, no solo para el código, y voy a pasar a Nicolas y a Gabriel partes que hoy sigo tocando yo solo.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p w14:paraId="1C4924EC" w14:textId="77777777" w:rsidR="00A36E76" w:rsidRDefault="00A36E76" w:rsidP="3D28A338"/>
    <w:p w14:paraId="1BCCCA38" w14:textId="77777777" w:rsidR="00A36E76" w:rsidRDefault="00A36E76" w:rsidP="3D28A338"/>
    <w:p w14:paraId="33E0A2F0" w14:textId="77777777" w:rsidR="00A36E76" w:rsidRDefault="00A36E76" w:rsidP="3D28A338"/>
    <w:p w14:paraId="2BDA3C71" w14:textId="77777777" w:rsidR="00A36E76" w:rsidRDefault="00A36E76"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t>Respuesta: La inquietud que me queda es no volvernos a pasar del MVP justo ahora que entramos a las pruebas. Tengo duda de si lo que vamos a mostrar en la Fase 3 es el flujo crítico en las tres interfaces, con el pago simulado estable, o si también se espera ver la pasarela de Transbank como parte de la entrega. Si es lo segundo, las semanas 12 a 14 no alcanzan para dejarla presentable y además probar todo el recorrido.</w:t>
            </w:r>
          </w:p>
          <w:p w14:paraId="4D9260D8" w14:textId="77777777" w:rsidR="004F2A8B" w:rsidRDefault="004F2A8B" w:rsidP="3D28A338">
            <w:pPr>
              <w:jc w:val="both"/>
              <w:rPr>
                <w:rFonts w:ascii="Calibri" w:hAnsi="Calibri"/>
                <w:b/>
                <w:bCs/>
                <w:color w:val="1F4E79" w:themeColor="accent1" w:themeShade="80"/>
              </w:rPr>
            </w:pPr>
            <w:r>
              <w:t>La pregunta que le haría al docente es esta: para el informe de avance, ¿basta con el modelo entidad-relación, el diccionario de datos, la descripción de la arquitectura y la evidencia del repositorio, o todavía necesitan un diagrama UML mínimo y una matriz de pruebas escrita como documento aparte antes de la Fase 3? A Nicolas y a Gabriel les preguntaría, en corto, qué pantalla del escritorio y qué caso de pago damos por cerrados, para no seguir corrigiendo detalles mientras la matriz espera.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t>Respuesta: Sí. No cambiamos los roles que ya escribimos en el plan, pero sí hay que ajustar la carga de aquí al cierre de la semana 14.</w:t>
            </w:r>
          </w:p>
          <w:p w14:paraId="0C5F9ED3" w14:textId="77777777" w:rsidR="004F2A8B" w:rsidRDefault="004F2A8B" w:rsidP="3D28A338">
            <w:pPr>
              <w:jc w:val="both"/>
              <w:rPr>
                <w:rFonts w:eastAsiaTheme="majorEastAsia"/>
                <w:color w:val="767171" w:themeColor="background2" w:themeShade="80"/>
                <w:sz w:val="24"/>
                <w:szCs w:val="24"/>
              </w:rPr>
            </w:pPr>
            <w:r>
              <w:t xml:space="preserve">Yo me quedo con el núcleo de la </w:t>
            </w:r>
            <w:proofErr w:type="gramStart"/>
            <w:r>
              <w:t>app</w:t>
            </w:r>
            <w:proofErr w:type="gramEnd"/>
            <w:r>
              <w:t xml:space="preserve"> </w:t>
            </w:r>
            <w:proofErr w:type="spellStart"/>
            <w:r>
              <w:t>Flutter</w:t>
            </w:r>
            <w:proofErr w:type="spellEnd"/>
            <w:r>
              <w:t>, la integración entre las tres interfaces y la integración continua. Dejo de ser el único que avanza la web y el escritorio en paralelo. Gabriel Valderas sigue con el modelo, la seguridad por filas y los cobros, que es lo que ya tenía en la Gantt, y además toma los casos de la matriz que tocan pago, retención y permisos. Nicolas Chiguay se hace cargo de la evidencia del flujo de cliente, trabajador y operación interna, y del panel de soporte y ejecutivo en el escritorio, junto con la autenticación por roles que ya dejó hecha. También coordina que el escrito de la fase no se vuelva a atrasar.</w:t>
            </w:r>
          </w:p>
          <w:p w14:paraId="3C35FF15" w14:textId="77777777" w:rsidR="004F2A8B" w:rsidRDefault="004F2A8B" w:rsidP="3D28A338">
            <w:pPr>
              <w:jc w:val="both"/>
              <w:rPr>
                <w:rFonts w:eastAsiaTheme="majorEastAsia"/>
                <w:color w:val="767171" w:themeColor="background2" w:themeShade="80"/>
                <w:sz w:val="24"/>
                <w:szCs w:val="24"/>
              </w:rPr>
            </w:pPr>
            <w:r>
              <w:t>La actividad nueva es esa matriz de pruebas del flujo crítico, partida esta semana y repartida en esas tres partes. No asignamos funcionalidades nuevas.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52371067" w14:textId="77777777" w:rsidR="00A36E76" w:rsidRDefault="00A36E76" w:rsidP="3D28A338">
      <w:pPr>
        <w:spacing w:after="0" w:line="360" w:lineRule="auto"/>
        <w:jc w:val="both"/>
        <w:rPr>
          <w:color w:val="595959" w:themeColor="text1" w:themeTint="A6"/>
          <w:sz w:val="24"/>
          <w:szCs w:val="24"/>
          <w:lang w:eastAsia="ja-JP"/>
        </w:rPr>
      </w:pPr>
    </w:p>
    <w:p w14:paraId="4D1075B2" w14:textId="77777777" w:rsidR="00A36E76" w:rsidRDefault="00A36E76" w:rsidP="3D28A338">
      <w:pPr>
        <w:spacing w:after="0" w:line="360" w:lineRule="auto"/>
        <w:jc w:val="both"/>
        <w:rPr>
          <w:color w:val="595959" w:themeColor="text1" w:themeTint="A6"/>
          <w:sz w:val="24"/>
          <w:szCs w:val="24"/>
          <w:lang w:eastAsia="ja-JP"/>
        </w:rPr>
      </w:pPr>
    </w:p>
    <w:p w14:paraId="4D0B0ABD" w14:textId="77777777" w:rsidR="00A36E76" w:rsidRDefault="00A36E76" w:rsidP="3D28A338">
      <w:pPr>
        <w:spacing w:after="0" w:line="360" w:lineRule="auto"/>
        <w:jc w:val="both"/>
        <w:rPr>
          <w:color w:val="595959" w:themeColor="text1" w:themeTint="A6"/>
          <w:sz w:val="24"/>
          <w:szCs w:val="24"/>
          <w:lang w:eastAsia="ja-JP"/>
        </w:rPr>
      </w:pPr>
    </w:p>
    <w:p w14:paraId="2E4B25F3" w14:textId="77777777" w:rsidR="00A36E76" w:rsidRDefault="00A36E76" w:rsidP="3D28A338">
      <w:pPr>
        <w:spacing w:after="0" w:line="360" w:lineRule="auto"/>
        <w:jc w:val="both"/>
        <w:rPr>
          <w:color w:val="595959" w:themeColor="text1" w:themeTint="A6"/>
          <w:sz w:val="24"/>
          <w:szCs w:val="24"/>
          <w:lang w:eastAsia="ja-JP"/>
        </w:rPr>
      </w:pPr>
    </w:p>
    <w:p w14:paraId="3AEA0B5D" w14:textId="77777777" w:rsidR="00A36E76" w:rsidRDefault="00A36E76" w:rsidP="3D28A338">
      <w:pPr>
        <w:spacing w:after="0" w:line="360" w:lineRule="auto"/>
        <w:jc w:val="both"/>
        <w:rPr>
          <w:color w:val="595959" w:themeColor="text1" w:themeTint="A6"/>
          <w:sz w:val="24"/>
          <w:szCs w:val="24"/>
          <w:lang w:eastAsia="ja-JP"/>
        </w:rPr>
      </w:pPr>
    </w:p>
    <w:p w14:paraId="2DA03EEC" w14:textId="77777777" w:rsidR="00A36E76" w:rsidRDefault="00A36E76" w:rsidP="3D28A338">
      <w:pPr>
        <w:spacing w:after="0" w:line="360" w:lineRule="auto"/>
        <w:jc w:val="both"/>
        <w:rPr>
          <w:color w:val="595959" w:themeColor="text1" w:themeTint="A6"/>
          <w:sz w:val="24"/>
          <w:szCs w:val="24"/>
          <w:lang w:eastAsia="ja-JP"/>
        </w:rPr>
      </w:pPr>
    </w:p>
    <w:p w14:paraId="01F5354B" w14:textId="77777777" w:rsidR="00A36E76" w:rsidRDefault="00A36E76"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t xml:space="preserve">Respuesta: El trabajo en grupo lo veo suficiente para llegar a la demo, con un desbalance que hay que corregir ahora. Lo positivo es que cada uno aportó en una parte distinta y se nota en el producto. Gabriel avanzó el modelo entidad-relación, el diseño del ecosistema y la base. Nicolas trabajó la autenticación por roles de cliente y especialista, y la forma en que se recorre la aplicación. Yo integré la </w:t>
            </w:r>
            <w:proofErr w:type="gramStart"/>
            <w:r>
              <w:t>app</w:t>
            </w:r>
            <w:proofErr w:type="gramEnd"/>
            <w:r>
              <w:t xml:space="preserve">, la web y el escritorio sobre </w:t>
            </w:r>
            <w:proofErr w:type="spellStart"/>
            <w:r>
              <w:t>Supabase</w:t>
            </w:r>
            <w:proofErr w:type="spellEnd"/>
            <w:r>
              <w:t>. Cuando la demo fallaba no la maquillamos: corregimos el dato, el permiso o la pantalla, y eso quedó en el repositorio.</w:t>
            </w:r>
          </w:p>
          <w:p w14:paraId="0B6599EC" w14:textId="77777777" w:rsidR="004F2A8B" w:rsidRDefault="004F2A8B" w:rsidP="3D28A338">
            <w:pPr>
              <w:jc w:val="both"/>
              <w:rPr>
                <w:rFonts w:eastAsiaTheme="majorEastAsia"/>
                <w:color w:val="767171" w:themeColor="background2" w:themeShade="80"/>
                <w:sz w:val="24"/>
                <w:szCs w:val="24"/>
              </w:rPr>
            </w:pPr>
            <w:r>
              <w:t xml:space="preserve">Lo que podemos mejorar es la coordinación de la semana. Varias veces la web y la </w:t>
            </w:r>
            <w:proofErr w:type="gramStart"/>
            <w:r>
              <w:t>app</w:t>
            </w:r>
            <w:proofErr w:type="gramEnd"/>
            <w:r>
              <w:t xml:space="preserve"> se desfasaron porque avanzamos en paralelo sin una revisión corta. También hay demasiados cambios concentrados en mí, y eso no calza con el reparto que declaramos en la Fase 1. Para las semanas que quedan vamos a revisar juntos qué entra a la demo y qué queda escrito, para que la Fase 3 no dependa de que una sola persona recuerde cómo funciona el flujo.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r>
        <w:t xml:space="preserve">Estudiante: Mathias Alejandro Jara Alvarado | Rut: 17917404-9 | Sede: Duoc UC Puerto Montt | Asignatura: PTY4614 - </w:t>
      </w:r>
      <w:proofErr w:type="spellStart"/>
      <w:r>
        <w:t>Capstone</w:t>
      </w:r>
      <w:proofErr w:type="spellEnd"/>
      <w:r>
        <w:t xml:space="preserve"> | Proyecto: </w:t>
      </w:r>
      <w:proofErr w:type="spellStart"/>
      <w:r>
        <w:t>My</w:t>
      </w:r>
      <w:proofErr w:type="spellEnd"/>
      <w:r>
        <w:t xml:space="preserve"> Works App | Equipo: Mathias Alejandro Jara Alvarado, Nicolas Chiguay y Gabriel Valderas | Fecha: 19-10-2026</w:t>
      </w: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BB8" w14:textId="77777777" w:rsidR="00B939CC" w:rsidRDefault="00B939CC" w:rsidP="00DF38AE">
      <w:pPr>
        <w:spacing w:after="0" w:line="240" w:lineRule="auto"/>
      </w:pPr>
      <w:r>
        <w:separator/>
      </w:r>
    </w:p>
  </w:endnote>
  <w:endnote w:type="continuationSeparator" w:id="0">
    <w:p w14:paraId="18130FCF" w14:textId="77777777" w:rsidR="00B939CC" w:rsidRDefault="00B939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7D89" w14:textId="77777777" w:rsidR="00B939CC" w:rsidRDefault="00B939CC" w:rsidP="00DF38AE">
      <w:pPr>
        <w:spacing w:after="0" w:line="240" w:lineRule="auto"/>
      </w:pPr>
      <w:r>
        <w:separator/>
      </w:r>
    </w:p>
  </w:footnote>
  <w:footnote w:type="continuationSeparator" w:id="0">
    <w:p w14:paraId="5DE8B7D2" w14:textId="77777777" w:rsidR="00B939CC" w:rsidRDefault="00B939C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0554731">
    <w:abstractNumId w:val="3"/>
  </w:num>
  <w:num w:numId="2" w16cid:durableId="933246996">
    <w:abstractNumId w:val="8"/>
  </w:num>
  <w:num w:numId="3" w16cid:durableId="1075124444">
    <w:abstractNumId w:val="12"/>
  </w:num>
  <w:num w:numId="4" w16cid:durableId="421141871">
    <w:abstractNumId w:val="28"/>
  </w:num>
  <w:num w:numId="5" w16cid:durableId="1439445673">
    <w:abstractNumId w:val="30"/>
  </w:num>
  <w:num w:numId="6" w16cid:durableId="1841314068">
    <w:abstractNumId w:val="4"/>
  </w:num>
  <w:num w:numId="7" w16cid:durableId="1074473907">
    <w:abstractNumId w:val="11"/>
  </w:num>
  <w:num w:numId="8" w16cid:durableId="1816876130">
    <w:abstractNumId w:val="19"/>
  </w:num>
  <w:num w:numId="9" w16cid:durableId="799959452">
    <w:abstractNumId w:val="15"/>
  </w:num>
  <w:num w:numId="10" w16cid:durableId="2051759366">
    <w:abstractNumId w:val="9"/>
  </w:num>
  <w:num w:numId="11" w16cid:durableId="793476973">
    <w:abstractNumId w:val="24"/>
  </w:num>
  <w:num w:numId="12" w16cid:durableId="2017729955">
    <w:abstractNumId w:val="35"/>
  </w:num>
  <w:num w:numId="13" w16cid:durableId="299000383">
    <w:abstractNumId w:val="29"/>
  </w:num>
  <w:num w:numId="14" w16cid:durableId="1000278860">
    <w:abstractNumId w:val="1"/>
  </w:num>
  <w:num w:numId="15" w16cid:durableId="345136963">
    <w:abstractNumId w:val="36"/>
  </w:num>
  <w:num w:numId="16" w16cid:durableId="756172381">
    <w:abstractNumId w:val="21"/>
  </w:num>
  <w:num w:numId="17" w16cid:durableId="2081755052">
    <w:abstractNumId w:val="17"/>
  </w:num>
  <w:num w:numId="18" w16cid:durableId="1583446751">
    <w:abstractNumId w:val="31"/>
  </w:num>
  <w:num w:numId="19" w16cid:durableId="231504253">
    <w:abstractNumId w:val="10"/>
  </w:num>
  <w:num w:numId="20" w16cid:durableId="1186407136">
    <w:abstractNumId w:val="39"/>
  </w:num>
  <w:num w:numId="21" w16cid:durableId="875460207">
    <w:abstractNumId w:val="34"/>
  </w:num>
  <w:num w:numId="22" w16cid:durableId="430853000">
    <w:abstractNumId w:val="13"/>
  </w:num>
  <w:num w:numId="23" w16cid:durableId="931623199">
    <w:abstractNumId w:val="14"/>
  </w:num>
  <w:num w:numId="24" w16cid:durableId="1647969246">
    <w:abstractNumId w:val="5"/>
  </w:num>
  <w:num w:numId="25" w16cid:durableId="192885105">
    <w:abstractNumId w:val="16"/>
  </w:num>
  <w:num w:numId="26" w16cid:durableId="484590434">
    <w:abstractNumId w:val="20"/>
  </w:num>
  <w:num w:numId="27" w16cid:durableId="2108848669">
    <w:abstractNumId w:val="23"/>
  </w:num>
  <w:num w:numId="28" w16cid:durableId="1305622071">
    <w:abstractNumId w:val="0"/>
  </w:num>
  <w:num w:numId="29" w16cid:durableId="457264025">
    <w:abstractNumId w:val="18"/>
  </w:num>
  <w:num w:numId="30" w16cid:durableId="2005937325">
    <w:abstractNumId w:val="22"/>
  </w:num>
  <w:num w:numId="31" w16cid:durableId="1556745475">
    <w:abstractNumId w:val="2"/>
  </w:num>
  <w:num w:numId="32" w16cid:durableId="1883981307">
    <w:abstractNumId w:val="7"/>
  </w:num>
  <w:num w:numId="33" w16cid:durableId="64375812">
    <w:abstractNumId w:val="32"/>
  </w:num>
  <w:num w:numId="34" w16cid:durableId="1040057227">
    <w:abstractNumId w:val="38"/>
  </w:num>
  <w:num w:numId="35" w16cid:durableId="380176138">
    <w:abstractNumId w:val="6"/>
  </w:num>
  <w:num w:numId="36" w16cid:durableId="2070612040">
    <w:abstractNumId w:val="25"/>
  </w:num>
  <w:num w:numId="37" w16cid:durableId="572358133">
    <w:abstractNumId w:val="37"/>
  </w:num>
  <w:num w:numId="38" w16cid:durableId="1059787286">
    <w:abstractNumId w:val="27"/>
  </w:num>
  <w:num w:numId="39" w16cid:durableId="1667395894">
    <w:abstractNumId w:val="26"/>
  </w:num>
  <w:num w:numId="40" w16cid:durableId="14788385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E76"/>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1A3"/>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39C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1308</Words>
  <Characters>7198</Characters>
  <Application>Microsoft Office Word</Application>
  <DocSecurity>0</DocSecurity>
  <Lines>59</Lines>
  <Paragraphs>16</Paragraphs>
  <ScaleCrop>false</ScaleCrop>
  <Company>Wal-Mart Stores, Inc.</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mathias jara</cp:lastModifiedBy>
  <cp:revision>44</cp:revision>
  <cp:lastPrinted>2019-12-16T20:10:00Z</cp:lastPrinted>
  <dcterms:created xsi:type="dcterms:W3CDTF">2021-12-31T12:50:00Z</dcterms:created>
  <dcterms:modified xsi:type="dcterms:W3CDTF">2026-10-19T03:30:00Z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