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Rule="auto" w:line="240"/>
      </w:pPr>
    </w:p>
    <w:p>
      <w:pPr>
        <w:spacing w:before="0" w:after="0" w:lineRule="auto" w:line="240"/>
      </w:pPr>
    </w:p>
    <w:p>
      <w:pPr>
        <w:spacing w:before="0" w:after="0" w:lineRule="auto" w:line="240"/>
      </w:pPr>
    </w:p>
    <w:p>
      <w:pPr>
        <w:spacing w:before="0" w:after="0" w:lineRule="auto" w:line="240"/>
      </w:pPr>
    </w:p>
    <w:p>
      <w:pPr>
        <w:spacing w:before="0" w:after="80" w:lineRule="auto" w:line="360"/>
        <w:jc w:val="center"/>
      </w:pPr>
      <w:r>
        <w:rPr>
          <w:rFonts w:ascii="Times New Roman" w:hAnsi="Times New Roman"/>
          <w:b/>
          <w:i w:val="0"/>
          <w:color w:val="185FA5"/>
          <w:sz w:val="26"/>
        </w:rPr>
        <w:t>UNIVERSIDAD FRANCISCO DE VITORIA</w:t>
      </w:r>
    </w:p>
    <w:p>
      <w:pPr>
        <w:spacing w:before="0" w:after="40" w:lineRule="auto" w:line="360"/>
        <w:jc w:val="center"/>
      </w:pPr>
      <w:r>
        <w:rPr>
          <w:rFonts w:ascii="Times New Roman" w:hAnsi="Times New Roman"/>
          <w:b w:val="0"/>
          <w:i w:val="0"/>
          <w:color w:val="0F172A"/>
          <w:sz w:val="24"/>
        </w:rPr>
        <w:t>Grado en Business Analytics</w:t>
      </w:r>
    </w:p>
    <w:p>
      <w:pPr>
        <w:spacing w:before="0" w:after="40" w:lineRule="auto" w:line="360"/>
        <w:jc w:val="center"/>
      </w:pPr>
      <w:r>
        <w:rPr>
          <w:rFonts w:ascii="Times New Roman" w:hAnsi="Times New Roman"/>
          <w:b w:val="0"/>
          <w:i w:val="0"/>
          <w:color w:val="444444"/>
          <w:sz w:val="22"/>
        </w:rPr>
        <w:t>Curso académico 2025-2026</w:t>
      </w:r>
    </w:p>
    <w:p>
      <w:pPr>
        <w:spacing w:before="0" w:after="0" w:lineRule="auto" w:line="240"/>
      </w:pPr>
    </w:p>
    <w:p>
      <w:pPr>
        <w:spacing w:before="0" w:after="0" w:lineRule="auto" w:line="240"/>
      </w:pPr>
    </w:p>
    <w:p>
      <w:pPr>
        <w:spacing w:before="0" w:after="0" w:lineRule="auto" w:line="240"/>
      </w:pPr>
    </w:p>
    <w:p>
      <w:pPr>
        <w:spacing w:before="0" w:after="120" w:lineRule="auto" w:line="360"/>
        <w:jc w:val="center"/>
      </w:pPr>
      <w:r>
        <w:rPr>
          <w:rFonts w:ascii="Times New Roman" w:hAnsi="Times New Roman"/>
          <w:b/>
          <w:i w:val="0"/>
          <w:color w:val="0F172A"/>
          <w:sz w:val="26"/>
        </w:rPr>
        <w:t>TRABAJO DE FIN DE GRADO</w:t>
      </w:r>
    </w:p>
    <w:p>
      <w:pPr>
        <w:spacing w:before="0" w:after="120" w:lineRule="auto" w:line="360"/>
        <w:jc w:val="center"/>
      </w:pPr>
      <w:r>
        <w:rPr>
          <w:rFonts w:ascii="Times New Roman" w:hAnsi="Times New Roman"/>
          <w:b/>
          <w:i w:val="0"/>
          <w:color w:val="185FA5"/>
          <w:sz w:val="32"/>
        </w:rPr>
        <w:t>Predicción del riesgo de quiebra empresarial</w:t>
        <w:br/>
        <w:t>mediante técnicas de Machine Learning</w:t>
      </w:r>
    </w:p>
    <w:p>
      <w:pPr>
        <w:spacing w:before="0" w:after="0" w:lineRule="auto" w:line="240"/>
      </w:pPr>
    </w:p>
    <w:p>
      <w:pPr>
        <w:spacing w:before="0" w:after="0" w:lineRule="auto" w:line="240"/>
      </w:pPr>
    </w:p>
    <w:p>
      <w:pPr>
        <w:spacing w:before="0" w:after="80" w:lineRule="auto" w:line="360"/>
        <w:jc w:val="center"/>
      </w:pPr>
      <w:r>
        <w:rPr>
          <w:rFonts w:ascii="Times New Roman" w:hAnsi="Times New Roman"/>
          <w:b/>
          <w:i w:val="0"/>
          <w:color w:val="0F172A"/>
          <w:sz w:val="24"/>
        </w:rPr>
        <w:t>PILAR: INGENIERÍA DEL DATO</w:t>
      </w:r>
    </w:p>
    <w:p>
      <w:pPr>
        <w:spacing w:before="0" w:after="0" w:lineRule="auto" w:line="240"/>
      </w:pPr>
    </w:p>
    <w:p>
      <w:pPr>
        <w:spacing w:before="0" w:after="0" w:lineRule="auto" w:line="240"/>
      </w:pPr>
    </w:p>
    <w:p>
      <w:pPr>
        <w:spacing w:before="0" w:after="0" w:lineRule="auto" w:line="240"/>
      </w:pPr>
    </w:p>
    <w:p>
      <w:pPr>
        <w:spacing w:before="0" w:after="0" w:lineRule="auto" w:line="240"/>
      </w:pPr>
    </w:p>
    <w:p>
      <w:pPr>
        <w:spacing w:before="0" w:after="40" w:lineRule="auto" w:line="360"/>
        <w:jc w:val="center"/>
      </w:pPr>
      <w:r>
        <w:rPr>
          <w:rFonts w:ascii="Times New Roman" w:hAnsi="Times New Roman"/>
          <w:b/>
          <w:i w:val="0"/>
          <w:sz w:val="22"/>
        </w:rPr>
        <w:t xml:space="preserve">Alumno: </w:t>
      </w:r>
      <w:r>
        <w:rPr>
          <w:rFonts w:ascii="Times New Roman" w:hAnsi="Times New Roman"/>
          <w:b w:val="0"/>
          <w:i w:val="0"/>
          <w:sz w:val="22"/>
        </w:rPr>
        <w:t>Nicolás Vermeulen</w:t>
      </w:r>
    </w:p>
    <w:p>
      <w:r>
        <w:br w:type="page"/>
      </w:r>
    </w:p>
    <w:p>
      <w:pPr>
        <w:spacing w:before="360" w:after="160" w:lineRule="auto" w:line="360"/>
        <w:jc w:val="left"/>
        <w:pBdr>
          <w:bottom w:val="single" w:sz="6" w:space="4" w:color="185FA5"/>
        </w:pBdr>
      </w:pPr>
      <w:r>
        <w:rPr>
          <w:rFonts w:ascii="Times New Roman" w:hAnsi="Times New Roman"/>
          <w:b/>
          <w:i w:val="0"/>
          <w:color w:val="185FA5"/>
          <w:sz w:val="28"/>
        </w:rPr>
        <w:t>ÍNDICE</w:t>
      </w:r>
    </w:p>
    <w:p>
      <w:pPr>
        <w:spacing w:before="0" w:after="60" w:lineRule="auto" w:line="312"/>
        <w:jc w:val="left"/>
      </w:pPr>
      <w:r>
        <w:rPr>
          <w:rFonts w:ascii="Times New Roman" w:hAnsi="Times New Roman"/>
          <w:b/>
          <w:i w:val="0"/>
          <w:sz w:val="22"/>
        </w:rPr>
        <w:t xml:space="preserve">1.   </w:t>
      </w:r>
      <w:r>
        <w:rPr>
          <w:rFonts w:ascii="Times New Roman" w:hAnsi="Times New Roman"/>
          <w:b/>
          <w:i w:val="0"/>
          <w:sz w:val="22"/>
        </w:rPr>
        <w:t>Introducción</w:t>
      </w:r>
    </w:p>
    <w:p>
      <w:pPr>
        <w:spacing w:before="0" w:after="60" w:lineRule="auto" w:line="312"/>
        <w:jc w:val="left"/>
      </w:pPr>
      <w:r>
        <w:rPr>
          <w:rFonts w:ascii="Times New Roman" w:hAnsi="Times New Roman"/>
          <w:b/>
          <w:i w:val="0"/>
          <w:sz w:val="22"/>
        </w:rPr>
        <w:t xml:space="preserve">2.   </w:t>
      </w:r>
      <w:r>
        <w:rPr>
          <w:rFonts w:ascii="Times New Roman" w:hAnsi="Times New Roman"/>
          <w:b/>
          <w:i w:val="0"/>
          <w:sz w:val="22"/>
        </w:rPr>
        <w:t>Diagrama de flujo ETL</w:t>
      </w:r>
    </w:p>
    <w:p>
      <w:pPr>
        <w:spacing w:before="0" w:after="60" w:lineRule="auto" w:line="312"/>
        <w:jc w:val="left"/>
      </w:pPr>
      <w:r>
        <w:rPr>
          <w:rFonts w:ascii="Times New Roman" w:hAnsi="Times New Roman"/>
          <w:b/>
          <w:i w:val="0"/>
          <w:sz w:val="22"/>
        </w:rPr>
        <w:t xml:space="preserve">3.   </w:t>
      </w:r>
      <w:r>
        <w:rPr>
          <w:rFonts w:ascii="Times New Roman" w:hAnsi="Times New Roman"/>
          <w:b/>
          <w:i w:val="0"/>
          <w:sz w:val="22"/>
        </w:rPr>
        <w:t>Herramientas utilizadas</w:t>
      </w:r>
    </w:p>
    <w:p>
      <w:pPr>
        <w:spacing w:before="0" w:after="60" w:lineRule="auto" w:line="312"/>
        <w:jc w:val="left"/>
      </w:pPr>
      <w:r>
        <w:rPr>
          <w:rFonts w:ascii="Times New Roman" w:hAnsi="Times New Roman"/>
          <w:b/>
          <w:i w:val="0"/>
          <w:sz w:val="22"/>
        </w:rPr>
        <w:t xml:space="preserve">4.   </w:t>
      </w:r>
      <w:r>
        <w:rPr>
          <w:rFonts w:ascii="Times New Roman" w:hAnsi="Times New Roman"/>
          <w:b/>
          <w:i w:val="0"/>
          <w:sz w:val="22"/>
        </w:rPr>
        <w:t>Extracción de datos</w:t>
      </w:r>
    </w:p>
    <w:p>
      <w:pPr>
        <w:spacing w:before="0" w:after="60" w:lineRule="auto" w:line="312"/>
        <w:jc w:val="left"/>
      </w:pPr>
      <w:r>
        <w:rPr>
          <w:rFonts w:ascii="Times New Roman" w:hAnsi="Times New Roman"/>
          <w:b w:val="0"/>
          <w:i w:val="0"/>
          <w:sz w:val="22"/>
        </w:rPr>
        <w:t xml:space="preserve">   4.1   </w:t>
      </w:r>
      <w:r>
        <w:rPr>
          <w:rFonts w:ascii="Times New Roman" w:hAnsi="Times New Roman"/>
          <w:b w:val="0"/>
          <w:i w:val="0"/>
          <w:sz w:val="22"/>
        </w:rPr>
        <w:t>API EDGAR / SEC</w:t>
      </w:r>
    </w:p>
    <w:p>
      <w:pPr>
        <w:spacing w:before="0" w:after="60" w:lineRule="auto" w:line="312"/>
        <w:jc w:val="left"/>
      </w:pPr>
      <w:r>
        <w:rPr>
          <w:rFonts w:ascii="Times New Roman" w:hAnsi="Times New Roman"/>
          <w:b w:val="0"/>
          <w:i w:val="0"/>
          <w:sz w:val="22"/>
        </w:rPr>
        <w:t xml:space="preserve">   4.2   </w:t>
      </w:r>
      <w:r>
        <w:rPr>
          <w:rFonts w:ascii="Times New Roman" w:hAnsi="Times New Roman"/>
          <w:b w:val="0"/>
          <w:i w:val="0"/>
          <w:sz w:val="22"/>
        </w:rPr>
        <w:t>Eurostat</w:t>
      </w:r>
    </w:p>
    <w:p>
      <w:pPr>
        <w:spacing w:before="0" w:after="60" w:lineRule="auto" w:line="312"/>
        <w:jc w:val="left"/>
      </w:pPr>
      <w:r>
        <w:rPr>
          <w:rFonts w:ascii="Times New Roman" w:hAnsi="Times New Roman"/>
          <w:b w:val="0"/>
          <w:i w:val="0"/>
          <w:sz w:val="22"/>
        </w:rPr>
        <w:t xml:space="preserve">   4.3   </w:t>
      </w:r>
      <w:r>
        <w:rPr>
          <w:rFonts w:ascii="Times New Roman" w:hAnsi="Times New Roman"/>
          <w:b w:val="0"/>
          <w:i w:val="0"/>
          <w:sz w:val="22"/>
        </w:rPr>
        <w:t>Banco de España — SB_CBRATIOS</w:t>
      </w:r>
    </w:p>
    <w:p>
      <w:pPr>
        <w:spacing w:before="0" w:after="60" w:lineRule="auto" w:line="312"/>
        <w:jc w:val="left"/>
      </w:pPr>
      <w:r>
        <w:rPr>
          <w:rFonts w:ascii="Times New Roman" w:hAnsi="Times New Roman"/>
          <w:b/>
          <w:i w:val="0"/>
          <w:sz w:val="22"/>
        </w:rPr>
        <w:t xml:space="preserve">5.   </w:t>
      </w:r>
      <w:r>
        <w:rPr>
          <w:rFonts w:ascii="Times New Roman" w:hAnsi="Times New Roman"/>
          <w:b/>
          <w:i w:val="0"/>
          <w:sz w:val="22"/>
        </w:rPr>
        <w:t>Limpieza y Transformación</w:t>
      </w:r>
    </w:p>
    <w:p>
      <w:pPr>
        <w:spacing w:before="0" w:after="60" w:lineRule="auto" w:line="312"/>
        <w:jc w:val="left"/>
      </w:pPr>
      <w:r>
        <w:rPr>
          <w:rFonts w:ascii="Times New Roman" w:hAnsi="Times New Roman"/>
          <w:b w:val="0"/>
          <w:i w:val="0"/>
          <w:sz w:val="22"/>
        </w:rPr>
        <w:t xml:space="preserve">   5.1   </w:t>
      </w:r>
      <w:r>
        <w:rPr>
          <w:rFonts w:ascii="Times New Roman" w:hAnsi="Times New Roman"/>
          <w:b w:val="0"/>
          <w:i w:val="0"/>
          <w:sz w:val="22"/>
        </w:rPr>
        <w:t>Unificación de la variable de ingresos</w:t>
      </w:r>
    </w:p>
    <w:p>
      <w:pPr>
        <w:spacing w:before="0" w:after="60" w:lineRule="auto" w:line="312"/>
        <w:jc w:val="left"/>
      </w:pPr>
      <w:r>
        <w:rPr>
          <w:rFonts w:ascii="Times New Roman" w:hAnsi="Times New Roman"/>
          <w:b w:val="0"/>
          <w:i w:val="0"/>
          <w:sz w:val="22"/>
        </w:rPr>
        <w:t xml:space="preserve">   5.2   </w:t>
      </w:r>
      <w:r>
        <w:rPr>
          <w:rFonts w:ascii="Times New Roman" w:hAnsi="Times New Roman"/>
          <w:b w:val="0"/>
          <w:i w:val="0"/>
          <w:sz w:val="22"/>
        </w:rPr>
        <w:t>Eliminación de nulos críticos</w:t>
      </w:r>
    </w:p>
    <w:p>
      <w:pPr>
        <w:spacing w:before="0" w:after="60" w:lineRule="auto" w:line="312"/>
        <w:jc w:val="left"/>
      </w:pPr>
      <w:r>
        <w:rPr>
          <w:rFonts w:ascii="Times New Roman" w:hAnsi="Times New Roman"/>
          <w:b w:val="0"/>
          <w:i w:val="0"/>
          <w:sz w:val="22"/>
        </w:rPr>
        <w:t xml:space="preserve">   5.3   </w:t>
      </w:r>
      <w:r>
        <w:rPr>
          <w:rFonts w:ascii="Times New Roman" w:hAnsi="Times New Roman"/>
          <w:b w:val="0"/>
          <w:i w:val="0"/>
          <w:sz w:val="22"/>
        </w:rPr>
        <w:t>Filtro temporal</w:t>
      </w:r>
    </w:p>
    <w:p>
      <w:pPr>
        <w:spacing w:before="0" w:after="60" w:lineRule="auto" w:line="312"/>
        <w:jc w:val="left"/>
      </w:pPr>
      <w:r>
        <w:rPr>
          <w:rFonts w:ascii="Times New Roman" w:hAnsi="Times New Roman"/>
          <w:b w:val="0"/>
          <w:i w:val="0"/>
          <w:sz w:val="22"/>
        </w:rPr>
        <w:t xml:space="preserve">   5.4   </w:t>
      </w:r>
      <w:r>
        <w:rPr>
          <w:rFonts w:ascii="Times New Roman" w:hAnsi="Times New Roman"/>
          <w:b w:val="0"/>
          <w:i w:val="0"/>
          <w:sz w:val="22"/>
        </w:rPr>
        <w:t>Exclusión del sector financiero</w:t>
      </w:r>
    </w:p>
    <w:p>
      <w:pPr>
        <w:spacing w:before="0" w:after="60" w:lineRule="auto" w:line="312"/>
        <w:jc w:val="left"/>
      </w:pPr>
      <w:r>
        <w:rPr>
          <w:rFonts w:ascii="Times New Roman" w:hAnsi="Times New Roman"/>
          <w:b w:val="0"/>
          <w:i w:val="0"/>
          <w:sz w:val="22"/>
        </w:rPr>
        <w:t xml:space="preserve">   5.5   </w:t>
      </w:r>
      <w:r>
        <w:rPr>
          <w:rFonts w:ascii="Times New Roman" w:hAnsi="Times New Roman"/>
          <w:b w:val="0"/>
          <w:i w:val="0"/>
          <w:sz w:val="22"/>
        </w:rPr>
        <w:t>Interpolación lineal</w:t>
      </w:r>
    </w:p>
    <w:p>
      <w:pPr>
        <w:spacing w:before="0" w:after="60" w:lineRule="auto" w:line="312"/>
        <w:jc w:val="left"/>
      </w:pPr>
      <w:r>
        <w:rPr>
          <w:rFonts w:ascii="Times New Roman" w:hAnsi="Times New Roman"/>
          <w:b w:val="0"/>
          <w:i w:val="0"/>
          <w:sz w:val="22"/>
        </w:rPr>
        <w:t xml:space="preserve">   5.6   </w:t>
      </w:r>
      <w:r>
        <w:rPr>
          <w:rFonts w:ascii="Times New Roman" w:hAnsi="Times New Roman"/>
          <w:b w:val="0"/>
          <w:i w:val="0"/>
          <w:sz w:val="22"/>
        </w:rPr>
        <w:t>Cálculo de los 11 ratios financieros</w:t>
      </w:r>
    </w:p>
    <w:p>
      <w:pPr>
        <w:spacing w:before="0" w:after="60" w:lineRule="auto" w:line="312"/>
        <w:jc w:val="left"/>
      </w:pPr>
      <w:r>
        <w:rPr>
          <w:rFonts w:ascii="Times New Roman" w:hAnsi="Times New Roman"/>
          <w:b w:val="0"/>
          <w:i w:val="0"/>
          <w:sz w:val="22"/>
        </w:rPr>
        <w:t xml:space="preserve">   5.7   </w:t>
      </w:r>
      <w:r>
        <w:rPr>
          <w:rFonts w:ascii="Times New Roman" w:hAnsi="Times New Roman"/>
          <w:b w:val="0"/>
          <w:i w:val="0"/>
          <w:sz w:val="22"/>
        </w:rPr>
        <w:t>Construcción de la variable objetivo</w:t>
      </w:r>
    </w:p>
    <w:p>
      <w:pPr>
        <w:spacing w:before="0" w:after="60" w:lineRule="auto" w:line="312"/>
        <w:jc w:val="left"/>
      </w:pPr>
      <w:r>
        <w:rPr>
          <w:rFonts w:ascii="Times New Roman" w:hAnsi="Times New Roman"/>
          <w:b w:val="0"/>
          <w:i w:val="0"/>
          <w:sz w:val="22"/>
        </w:rPr>
        <w:t xml:space="preserve">   5.8   </w:t>
      </w:r>
      <w:r>
        <w:rPr>
          <w:rFonts w:ascii="Times New Roman" w:hAnsi="Times New Roman"/>
          <w:b w:val="0"/>
          <w:i w:val="0"/>
          <w:sz w:val="22"/>
        </w:rPr>
        <w:t>Integración de las tres fuentes</w:t>
      </w:r>
    </w:p>
    <w:p>
      <w:pPr>
        <w:spacing w:before="0" w:after="60" w:lineRule="auto" w:line="312"/>
        <w:jc w:val="left"/>
      </w:pPr>
      <w:r>
        <w:rPr>
          <w:rFonts w:ascii="Times New Roman" w:hAnsi="Times New Roman"/>
          <w:b/>
          <w:i w:val="0"/>
          <w:sz w:val="22"/>
        </w:rPr>
        <w:t xml:space="preserve">6.   </w:t>
      </w:r>
      <w:r>
        <w:rPr>
          <w:rFonts w:ascii="Times New Roman" w:hAnsi="Times New Roman"/>
          <w:b/>
          <w:i w:val="0"/>
          <w:sz w:val="22"/>
        </w:rPr>
        <w:t>Carga e Infraestructura</w:t>
      </w:r>
    </w:p>
    <w:p>
      <w:pPr>
        <w:spacing w:before="0" w:after="60" w:lineRule="auto" w:line="312"/>
        <w:jc w:val="left"/>
      </w:pPr>
      <w:r>
        <w:rPr>
          <w:rFonts w:ascii="Times New Roman" w:hAnsi="Times New Roman"/>
          <w:b/>
          <w:i w:val="0"/>
          <w:sz w:val="22"/>
        </w:rPr>
        <w:t xml:space="preserve">7.   </w:t>
      </w:r>
      <w:r>
        <w:rPr>
          <w:rFonts w:ascii="Times New Roman" w:hAnsi="Times New Roman"/>
          <w:b/>
          <w:i w:val="0"/>
          <w:sz w:val="22"/>
        </w:rPr>
        <w:t>Visualización y EDA</w:t>
      </w:r>
    </w:p>
    <w:p>
      <w:pPr>
        <w:spacing w:before="0" w:after="60" w:lineRule="auto" w:line="312"/>
        <w:jc w:val="left"/>
      </w:pPr>
      <w:r>
        <w:rPr>
          <w:rFonts w:ascii="Times New Roman" w:hAnsi="Times New Roman"/>
          <w:b w:val="0"/>
          <w:i w:val="0"/>
          <w:sz w:val="22"/>
        </w:rPr>
        <w:t xml:space="preserve">   7.1   </w:t>
      </w:r>
      <w:r>
        <w:rPr>
          <w:rFonts w:ascii="Times New Roman" w:hAnsi="Times New Roman"/>
          <w:b w:val="0"/>
          <w:i w:val="0"/>
          <w:sz w:val="22"/>
        </w:rPr>
        <w:t>Sección 1 — Proceso de limpieza y transformación</w:t>
      </w:r>
    </w:p>
    <w:p>
      <w:pPr>
        <w:spacing w:before="0" w:after="60" w:lineRule="auto" w:line="312"/>
        <w:jc w:val="left"/>
      </w:pPr>
      <w:r>
        <w:rPr>
          <w:rFonts w:ascii="Times New Roman" w:hAnsi="Times New Roman"/>
          <w:b w:val="0"/>
          <w:i w:val="0"/>
          <w:sz w:val="22"/>
        </w:rPr>
        <w:t xml:space="preserve">   7.2   </w:t>
      </w:r>
      <w:r>
        <w:rPr>
          <w:rFonts w:ascii="Times New Roman" w:hAnsi="Times New Roman"/>
          <w:b w:val="0"/>
          <w:i w:val="0"/>
          <w:sz w:val="22"/>
        </w:rPr>
        <w:t>Sección 2 — Variable objetivo</w:t>
      </w:r>
    </w:p>
    <w:p>
      <w:pPr>
        <w:spacing w:before="0" w:after="60" w:lineRule="auto" w:line="312"/>
        <w:jc w:val="left"/>
      </w:pPr>
      <w:r>
        <w:rPr>
          <w:rFonts w:ascii="Times New Roman" w:hAnsi="Times New Roman"/>
          <w:b w:val="0"/>
          <w:i w:val="0"/>
          <w:sz w:val="22"/>
        </w:rPr>
        <w:t xml:space="preserve">   7.3   </w:t>
      </w:r>
      <w:r>
        <w:rPr>
          <w:rFonts w:ascii="Times New Roman" w:hAnsi="Times New Roman"/>
          <w:b w:val="0"/>
          <w:i w:val="0"/>
          <w:sz w:val="22"/>
        </w:rPr>
        <w:t>Sección 3 — Análisis univariante</w:t>
      </w:r>
    </w:p>
    <w:p>
      <w:pPr>
        <w:spacing w:before="0" w:after="60" w:lineRule="auto" w:line="312"/>
        <w:jc w:val="left"/>
      </w:pPr>
      <w:r>
        <w:rPr>
          <w:rFonts w:ascii="Times New Roman" w:hAnsi="Times New Roman"/>
          <w:b w:val="0"/>
          <w:i w:val="0"/>
          <w:sz w:val="22"/>
        </w:rPr>
        <w:t xml:space="preserve">   7.4   </w:t>
      </w:r>
      <w:r>
        <w:rPr>
          <w:rFonts w:ascii="Times New Roman" w:hAnsi="Times New Roman"/>
          <w:b w:val="0"/>
          <w:i w:val="0"/>
          <w:sz w:val="22"/>
        </w:rPr>
        <w:t>Sección 4 — Análisis bivariante</w:t>
      </w:r>
    </w:p>
    <w:p>
      <w:pPr>
        <w:spacing w:before="0" w:after="60" w:lineRule="auto" w:line="312"/>
        <w:jc w:val="left"/>
      </w:pPr>
      <w:r>
        <w:rPr>
          <w:rFonts w:ascii="Times New Roman" w:hAnsi="Times New Roman"/>
          <w:b w:val="0"/>
          <w:i w:val="0"/>
          <w:sz w:val="22"/>
        </w:rPr>
        <w:t xml:space="preserve">   7.5   </w:t>
      </w:r>
      <w:r>
        <w:rPr>
          <w:rFonts w:ascii="Times New Roman" w:hAnsi="Times New Roman"/>
          <w:b w:val="0"/>
          <w:i w:val="0"/>
          <w:sz w:val="22"/>
        </w:rPr>
        <w:t>Sección 5 — Análisis multivariante</w:t>
      </w:r>
    </w:p>
    <w:p>
      <w:pPr>
        <w:spacing w:before="0" w:after="60" w:lineRule="auto" w:line="312"/>
        <w:jc w:val="left"/>
      </w:pPr>
      <w:r>
        <w:rPr>
          <w:rFonts w:ascii="Times New Roman" w:hAnsi="Times New Roman"/>
          <w:b/>
          <w:i w:val="0"/>
          <w:sz w:val="22"/>
        </w:rPr>
        <w:t xml:space="preserve">8.   </w:t>
      </w:r>
      <w:r>
        <w:rPr>
          <w:rFonts w:ascii="Times New Roman" w:hAnsi="Times New Roman"/>
          <w:b/>
          <w:i w:val="0"/>
          <w:sz w:val="22"/>
        </w:rPr>
        <w:t>Bibliografía</w:t>
      </w:r>
    </w:p>
    <w:p>
      <w:r>
        <w:br w:type="page"/>
      </w:r>
    </w:p>
    <w:p>
      <w:pPr>
        <w:spacing w:before="360" w:after="160" w:lineRule="auto" w:line="360"/>
        <w:jc w:val="left"/>
        <w:pBdr>
          <w:bottom w:val="single" w:sz="6" w:space="4" w:color="185FA5"/>
        </w:pBdr>
      </w:pPr>
      <w:r>
        <w:rPr>
          <w:rFonts w:ascii="Times New Roman" w:hAnsi="Times New Roman"/>
          <w:b/>
          <w:i w:val="0"/>
          <w:color w:val="185FA5"/>
          <w:sz w:val="28"/>
        </w:rPr>
        <w:t>1. Introducción</w:t>
      </w:r>
    </w:p>
    <w:p>
      <w:pPr>
        <w:spacing w:before="0" w:after="120" w:lineRule="auto" w:line="360"/>
        <w:jc w:val="both"/>
      </w:pPr>
      <w:r>
        <w:rPr>
          <w:rFonts w:ascii="Times New Roman" w:hAnsi="Times New Roman"/>
          <w:b w:val="0"/>
          <w:i w:val="0"/>
          <w:sz w:val="22"/>
        </w:rPr>
        <w:t>La quiebra empresarial constituye uno de los fenómenos de mayor impacto económico y social en los mercados financieros. Cuando una empresa incurre en situación de insolvencia y activa los mecanismos legales de protección frente a sus acreedores —como el Chapter 11 en el ordenamiento jurídico estadounidense—, las consecuencias se extienden a empleados, proveedores, inversores y al conjunto del sistema económico. Predecir con antelación si una empresa tiene un riesgo elevado de quiebra es, por tanto, una cuestión de primera importancia tanto para las entidades financieras que conceden crédito como para los inversores que toman posiciones en renta variable. La literatura académica ha abordado este problema desde los trabajos pioneros de Altman (1968), que propuso el modelo Z-Score basado en ratios financieros, hasta los modelos modernos de aprendizaje automático, que permiten capturar relaciones no lineales entre variables y mejorar significativamente la capacidad predictiva.</w:t>
      </w:r>
    </w:p>
    <w:p>
      <w:pPr>
        <w:spacing w:before="0" w:after="120" w:lineRule="auto" w:line="360"/>
        <w:jc w:val="both"/>
      </w:pPr>
      <w:r>
        <w:rPr>
          <w:rFonts w:ascii="Times New Roman" w:hAnsi="Times New Roman"/>
          <w:b w:val="0"/>
          <w:i w:val="0"/>
          <w:sz w:val="22"/>
        </w:rPr>
        <w:t>Este Trabajo de Fin de Grado tiene como objetivo construir un modelo de predicción de quiebra empresarial basado en datos financieros reales extraídos directamente de fuentes institucionales. Para ello se han utilizado tres fuentes de datos complementarias: la API pública de EDGAR (Electronic Data Gathering, Analysis and Retrieval) de la Comisión de Bolsa y Valores de los Estados Unidos (SEC), que proporciona los estados financieros anuales —formulario 10-K— de más de diez mil empresas cotizadas; los datos de quiebras empresariales de Eurostat, que aportan contexto macroeconómico sobre la evolución del fenómeno en Europa; y los Cuadros de Ratios Sectoriales del Banco de España (SB_CBRATIOS), que permiten establecer referencias comparativas por sector e industria. El período de análisis abarca desde 1993 hasta 2023, proporcionando una cobertura temporal suficientemente amplia para capturar distintos ciclos económicos, incluyendo la crisis de las empresas tecnológicas de 2001, la crisis financiera global de 2008 y el impacto de la pandemia de COVID-19 en 2020.</w:t>
      </w:r>
    </w:p>
    <w:p>
      <w:pPr>
        <w:spacing w:before="0" w:after="120" w:lineRule="auto" w:line="360"/>
        <w:jc w:val="both"/>
      </w:pPr>
      <w:r>
        <w:rPr>
          <w:rFonts w:ascii="Times New Roman" w:hAnsi="Times New Roman"/>
          <w:b w:val="0"/>
          <w:i w:val="0"/>
          <w:sz w:val="22"/>
        </w:rPr>
        <w:t>El presente pilar de Ingeniería del Dato documenta de forma exhaustiva todo el proceso de construcción del dataset analítico: desde la extracción de datos brutos mediante llamadas a la API hasta la generación del dataset final listo para el modelado, pasando por la limpieza, la transformación, el cálculo de los indicadores financieros, la etiquetación de la variable objetivo y la carga en una base de datos relacional. El resultado de este proceso es un dataset de 18.666 observaciones empresa-año y 25 variables, que constituye la base sobre la que se construirán los modelos predictivos en los pilares posteriores del TFG.</w:t>
      </w:r>
    </w:p>
    <w:p>
      <w:r>
        <w:br w:type="page"/>
      </w:r>
    </w:p>
    <w:p>
      <w:pPr>
        <w:spacing w:before="360" w:after="160" w:lineRule="auto" w:line="360"/>
        <w:jc w:val="left"/>
        <w:pBdr>
          <w:bottom w:val="single" w:sz="6" w:space="4" w:color="185FA5"/>
        </w:pBdr>
      </w:pPr>
      <w:r>
        <w:rPr>
          <w:rFonts w:ascii="Times New Roman" w:hAnsi="Times New Roman"/>
          <w:b/>
          <w:i w:val="0"/>
          <w:color w:val="185FA5"/>
          <w:sz w:val="28"/>
        </w:rPr>
        <w:t>2. Diagrama de flujo ETL</w:t>
      </w:r>
    </w:p>
    <w:p>
      <w:pPr>
        <w:spacing w:before="0" w:after="120" w:lineRule="auto" w:line="360"/>
        <w:jc w:val="both"/>
      </w:pPr>
      <w:r>
        <w:rPr>
          <w:rFonts w:ascii="Times New Roman" w:hAnsi="Times New Roman"/>
          <w:b w:val="0"/>
          <w:i w:val="0"/>
          <w:sz w:val="22"/>
        </w:rPr>
        <w:t>El proceso de Ingeniería del Dato se estructura como un pipeline ETL (Extract, Transform, Load) de seis etapas secuenciales. La representación visual completa e interactiva de este pipeline se encuentra en el archivo adjunto DIAGRAMA_FLUJO_ETL.html, donde cada bloque del diagrama enlaza directamente al script o carpeta correspondiente del repositorio GitHub del proyecto.</w:t>
      </w:r>
    </w:p>
    <w:p>
      <w:pPr>
        <w:spacing w:before="0" w:after="120" w:lineRule="auto" w:line="288"/>
        <w:jc w:val="both"/>
        <w:pBdr>
          <w:left w:val="single" w:sz="12" w:space="6" w:color="185FA5"/>
        </w:pBdr>
      </w:pPr>
      <w:r>
        <w:rPr>
          <w:rFonts w:ascii="Times New Roman" w:hAnsi="Times New Roman"/>
          <w:i/>
          <w:color w:val="444444"/>
          <w:sz w:val="20"/>
        </w:rPr>
        <w:t>Repositorio GitHub: https://github.com/nicoverme/TFG_Prediccion_Quiebra</w:t>
        <w:br/>
        <w:t>El archivo DIAGRAMA_FLUJO_ETL.html se abre en cualquier navegador web y contiene el diagrama interactivo completo con todos los enlaces al código fuente.</w:t>
      </w:r>
    </w:p>
    <w:p>
      <w:pPr>
        <w:spacing w:before="0" w:after="0" w:lineRule="auto" w:line="240"/>
      </w:pPr>
    </w:p>
    <w:p>
      <w:pPr>
        <w:spacing w:before="0" w:after="120" w:lineRule="auto" w:line="360"/>
        <w:jc w:val="both"/>
      </w:pPr>
      <w:r>
        <w:rPr>
          <w:rFonts w:ascii="Times New Roman" w:hAnsi="Times New Roman"/>
          <w:b w:val="0"/>
          <w:i w:val="0"/>
          <w:sz w:val="22"/>
        </w:rPr>
        <w:t>El pipeline se organiza en dos filas horizontales:</w:t>
      </w:r>
    </w:p>
    <w:p>
      <w:pPr>
        <w:pStyle w:val="ListBullet"/>
        <w:spacing w:before="0" w:after="60" w:lineRule="auto" w:line="360"/>
        <w:jc w:val="left"/>
      </w:pPr>
      <w:r>
        <w:rPr>
          <w:rFonts w:ascii="Times New Roman" w:hAnsi="Times New Roman"/>
          <w:b w:val="0"/>
          <w:i w:val="0"/>
          <w:sz w:val="22"/>
        </w:rPr>
        <w:t>Fila 1: Extracción  →  Limpieza  →  Transformación</w:t>
      </w:r>
    </w:p>
    <w:p>
      <w:pPr>
        <w:pStyle w:val="ListBullet"/>
        <w:spacing w:before="0" w:after="60" w:lineRule="auto" w:line="360"/>
        <w:jc w:val="left"/>
      </w:pPr>
      <w:r>
        <w:rPr>
          <w:rFonts w:ascii="Times New Roman" w:hAnsi="Times New Roman"/>
          <w:b w:val="0"/>
          <w:i w:val="0"/>
          <w:sz w:val="22"/>
        </w:rPr>
        <w:t>Fila 2: Carga / Base de Datos  →  Visualización EDA  →  Entregables Finales</w:t>
      </w:r>
    </w:p>
    <w:p>
      <w:pPr>
        <w:spacing w:before="0" w:after="0" w:lineRule="auto" w:line="240"/>
      </w:pPr>
    </w:p>
    <w:p>
      <w:pPr>
        <w:spacing w:before="0" w:after="120" w:lineRule="auto" w:line="360"/>
        <w:jc w:val="both"/>
      </w:pPr>
      <w:r>
        <w:rPr>
          <w:rFonts w:ascii="Times New Roman" w:hAnsi="Times New Roman"/>
          <w:b w:val="0"/>
          <w:i w:val="0"/>
          <w:sz w:val="22"/>
        </w:rPr>
        <w:t>El pipeline comienza con la extracción simultánea de las tres fuentes de datos y finaliza con el dataset analítico almacenado en una base de datos SQLite y los gráficos del análisis exploratorio exportados. Cada etapa genera uno o varios archivos intermedios que sirven como entrada a la etapa siguiente, lo que garantiza la reproducibilidad completa del proceso.</w:t>
      </w:r>
    </w:p>
    <w:p>
      <w:r>
        <w:br w:type="page"/>
      </w:r>
    </w:p>
    <w:p>
      <w:pPr>
        <w:spacing w:before="360" w:after="160" w:lineRule="auto" w:line="360"/>
        <w:jc w:val="left"/>
        <w:pBdr>
          <w:bottom w:val="single" w:sz="6" w:space="4" w:color="185FA5"/>
        </w:pBdr>
      </w:pPr>
      <w:r>
        <w:rPr>
          <w:rFonts w:ascii="Times New Roman" w:hAnsi="Times New Roman"/>
          <w:b/>
          <w:i w:val="0"/>
          <w:color w:val="185FA5"/>
          <w:sz w:val="28"/>
        </w:rPr>
        <w:t>3. Herramientas utilizadas</w:t>
      </w:r>
    </w:p>
    <w:p>
      <w:pPr>
        <w:spacing w:before="0" w:after="120" w:lineRule="auto" w:line="360"/>
        <w:jc w:val="both"/>
      </w:pPr>
      <w:r>
        <w:rPr>
          <w:rFonts w:ascii="Times New Roman" w:hAnsi="Times New Roman"/>
          <w:b w:val="0"/>
          <w:i w:val="0"/>
          <w:sz w:val="22"/>
        </w:rPr>
        <w:t>Todo el proceso de Ingeniería del Dato se ha implementado en Python 3, utilizando exclusivamente librerías de código abierto. No se ha requerido ninguna licencia de software propietario. El entorno de desarrollo ha sido Visual Studio Code con extensión de Python, y el control de versiones se ha gestionado mediante Git con repositorio remoto en GitHub.</w:t>
      </w:r>
    </w:p>
    <w:p>
      <w:pPr>
        <w:spacing w:before="0" w:after="0" w:lineRule="auto" w:line="240"/>
      </w:pPr>
    </w:p>
    <w:tbl>
      <w:tblPr>
        <w:tblStyle w:val="TableGrid"/>
        <w:tblW w:type="auto" w:w="0"/>
        <w:jc w:val="center"/>
        <w:tblLook w:firstColumn="1" w:firstRow="1" w:lastColumn="0" w:lastRow="0" w:noHBand="0" w:noVBand="1" w:val="04A0"/>
      </w:tblPr>
      <w:tblGrid>
        <w:gridCol w:w="4536"/>
        <w:gridCol w:w="4536"/>
      </w:tblGrid>
      <w:tr>
        <w:tc>
          <w:tcPr>
            <w:tcW w:type="dxa" w:w="4536"/>
            <w:shd w:val="clear" w:color="auto" w:fill="185FA5"/>
          </w:tcPr>
          <w:p>
            <w:pPr>
              <w:spacing w:before="40" w:after="40" w:lineRule="auto" w:line="288"/>
              <w:jc w:val="center"/>
            </w:pPr>
            <w:r>
              <w:rPr>
                <w:rFonts w:ascii="Times New Roman" w:hAnsi="Times New Roman"/>
                <w:b/>
                <w:i w:val="0"/>
                <w:color w:val="FFFFFF"/>
                <w:sz w:val="20"/>
              </w:rPr>
              <w:t>Librería</w:t>
            </w:r>
          </w:p>
        </w:tc>
        <w:tc>
          <w:tcPr>
            <w:tcW w:type="dxa" w:w="4536"/>
            <w:shd w:val="clear" w:color="auto" w:fill="185FA5"/>
          </w:tcPr>
          <w:p>
            <w:pPr>
              <w:spacing w:before="40" w:after="40" w:lineRule="auto" w:line="288"/>
              <w:jc w:val="center"/>
            </w:pPr>
            <w:r>
              <w:rPr>
                <w:rFonts w:ascii="Times New Roman" w:hAnsi="Times New Roman"/>
                <w:b/>
                <w:i w:val="0"/>
                <w:color w:val="FFFFFF"/>
                <w:sz w:val="20"/>
              </w:rPr>
              <w:t>Uso en el proyecto</w:t>
            </w:r>
          </w:p>
        </w:tc>
      </w:tr>
      <w:tr>
        <w:tc>
          <w:tcPr>
            <w:tcW w:type="dxa" w:w="4536"/>
            <w:shd w:val="clear" w:color="auto" w:fill="F2F4F7"/>
          </w:tcPr>
          <w:p>
            <w:pPr>
              <w:spacing w:before="40" w:after="40" w:lineRule="auto" w:line="288"/>
              <w:jc w:val="left"/>
            </w:pPr>
            <w:r>
              <w:rPr>
                <w:rFonts w:ascii="Times New Roman" w:hAnsi="Times New Roman"/>
                <w:b w:val="0"/>
                <w:i w:val="0"/>
                <w:sz w:val="20"/>
              </w:rPr>
              <w:t>pandas</w:t>
            </w:r>
          </w:p>
        </w:tc>
        <w:tc>
          <w:tcPr>
            <w:tcW w:type="dxa" w:w="4536"/>
            <w:shd w:val="clear" w:color="auto" w:fill="F2F4F7"/>
          </w:tcPr>
          <w:p>
            <w:pPr>
              <w:spacing w:before="40" w:after="40" w:lineRule="auto" w:line="288"/>
              <w:jc w:val="left"/>
            </w:pPr>
            <w:r>
              <w:rPr>
                <w:rFonts w:ascii="Times New Roman" w:hAnsi="Times New Roman"/>
                <w:b w:val="0"/>
                <w:i w:val="0"/>
                <w:sz w:val="20"/>
              </w:rPr>
              <w:t>Manipulación de DataFrames, lectura/escritura de CSV, merges y agrupaciones</w:t>
            </w:r>
          </w:p>
        </w:tc>
      </w:tr>
      <w:tr>
        <w:tc>
          <w:tcPr>
            <w:tcW w:type="dxa" w:w="4536"/>
            <w:shd w:val="clear" w:color="auto" w:fill="FFFFFF"/>
          </w:tcPr>
          <w:p>
            <w:pPr>
              <w:spacing w:before="40" w:after="40" w:lineRule="auto" w:line="288"/>
              <w:jc w:val="left"/>
            </w:pPr>
            <w:r>
              <w:rPr>
                <w:rFonts w:ascii="Times New Roman" w:hAnsi="Times New Roman"/>
                <w:b w:val="0"/>
                <w:i w:val="0"/>
                <w:sz w:val="20"/>
              </w:rPr>
              <w:t>numpy</w:t>
            </w:r>
          </w:p>
        </w:tc>
        <w:tc>
          <w:tcPr>
            <w:tcW w:type="dxa" w:w="4536"/>
            <w:shd w:val="clear" w:color="auto" w:fill="FFFFFF"/>
          </w:tcPr>
          <w:p>
            <w:pPr>
              <w:spacing w:before="40" w:after="40" w:lineRule="auto" w:line="288"/>
              <w:jc w:val="left"/>
            </w:pPr>
            <w:r>
              <w:rPr>
                <w:rFonts w:ascii="Times New Roman" w:hAnsi="Times New Roman"/>
                <w:b w:val="0"/>
                <w:i w:val="0"/>
                <w:sz w:val="20"/>
              </w:rPr>
              <w:t>Cálculo numérico, transformaciones logarítmicas y manejo de valores infinitos</w:t>
            </w:r>
          </w:p>
        </w:tc>
      </w:tr>
      <w:tr>
        <w:tc>
          <w:tcPr>
            <w:tcW w:type="dxa" w:w="4536"/>
            <w:shd w:val="clear" w:color="auto" w:fill="F2F4F7"/>
          </w:tcPr>
          <w:p>
            <w:pPr>
              <w:spacing w:before="40" w:after="40" w:lineRule="auto" w:line="288"/>
              <w:jc w:val="left"/>
            </w:pPr>
            <w:r>
              <w:rPr>
                <w:rFonts w:ascii="Times New Roman" w:hAnsi="Times New Roman"/>
                <w:b w:val="0"/>
                <w:i w:val="0"/>
                <w:sz w:val="20"/>
              </w:rPr>
              <w:t>requests</w:t>
            </w:r>
          </w:p>
        </w:tc>
        <w:tc>
          <w:tcPr>
            <w:tcW w:type="dxa" w:w="4536"/>
            <w:shd w:val="clear" w:color="auto" w:fill="F2F4F7"/>
          </w:tcPr>
          <w:p>
            <w:pPr>
              <w:spacing w:before="40" w:after="40" w:lineRule="auto" w:line="288"/>
              <w:jc w:val="left"/>
            </w:pPr>
            <w:r>
              <w:rPr>
                <w:rFonts w:ascii="Times New Roman" w:hAnsi="Times New Roman"/>
                <w:b w:val="0"/>
                <w:i w:val="0"/>
                <w:sz w:val="20"/>
              </w:rPr>
              <w:t>Llamadas HTTP a la API de EDGAR/SEC y descarga de datos de Eurostat</w:t>
            </w:r>
          </w:p>
        </w:tc>
      </w:tr>
      <w:tr>
        <w:tc>
          <w:tcPr>
            <w:tcW w:type="dxa" w:w="4536"/>
            <w:shd w:val="clear" w:color="auto" w:fill="FFFFFF"/>
          </w:tcPr>
          <w:p>
            <w:pPr>
              <w:spacing w:before="40" w:after="40" w:lineRule="auto" w:line="288"/>
              <w:jc w:val="left"/>
            </w:pPr>
            <w:r>
              <w:rPr>
                <w:rFonts w:ascii="Times New Roman" w:hAnsi="Times New Roman"/>
                <w:b w:val="0"/>
                <w:i w:val="0"/>
                <w:sz w:val="20"/>
              </w:rPr>
              <w:t>sqlite3</w:t>
            </w:r>
          </w:p>
        </w:tc>
        <w:tc>
          <w:tcPr>
            <w:tcW w:type="dxa" w:w="4536"/>
            <w:shd w:val="clear" w:color="auto" w:fill="FFFFFF"/>
          </w:tcPr>
          <w:p>
            <w:pPr>
              <w:spacing w:before="40" w:after="40" w:lineRule="auto" w:line="288"/>
              <w:jc w:val="left"/>
            </w:pPr>
            <w:r>
              <w:rPr>
                <w:rFonts w:ascii="Times New Roman" w:hAnsi="Times New Roman"/>
                <w:b w:val="0"/>
                <w:i w:val="0"/>
                <w:sz w:val="20"/>
              </w:rPr>
              <w:t>Carga del dataset en base de datos relacional SQLite (librería estándar)</w:t>
            </w:r>
          </w:p>
        </w:tc>
      </w:tr>
      <w:tr>
        <w:tc>
          <w:tcPr>
            <w:tcW w:type="dxa" w:w="4536"/>
            <w:shd w:val="clear" w:color="auto" w:fill="F2F4F7"/>
          </w:tcPr>
          <w:p>
            <w:pPr>
              <w:spacing w:before="40" w:after="40" w:lineRule="auto" w:line="288"/>
              <w:jc w:val="left"/>
            </w:pPr>
            <w:r>
              <w:rPr>
                <w:rFonts w:ascii="Times New Roman" w:hAnsi="Times New Roman"/>
                <w:b w:val="0"/>
                <w:i w:val="0"/>
                <w:sz w:val="20"/>
              </w:rPr>
              <w:t>matplotlib</w:t>
            </w:r>
          </w:p>
        </w:tc>
        <w:tc>
          <w:tcPr>
            <w:tcW w:type="dxa" w:w="4536"/>
            <w:shd w:val="clear" w:color="auto" w:fill="F2F4F7"/>
          </w:tcPr>
          <w:p>
            <w:pPr>
              <w:spacing w:before="40" w:after="40" w:lineRule="auto" w:line="288"/>
              <w:jc w:val="left"/>
            </w:pPr>
            <w:r>
              <w:rPr>
                <w:rFonts w:ascii="Times New Roman" w:hAnsi="Times New Roman"/>
                <w:b w:val="0"/>
                <w:i w:val="0"/>
                <w:sz w:val="20"/>
              </w:rPr>
              <w:t>Generación de los 13 gráficos del análisis exploratorio (EDA)</w:t>
            </w:r>
          </w:p>
        </w:tc>
      </w:tr>
      <w:tr>
        <w:tc>
          <w:tcPr>
            <w:tcW w:type="dxa" w:w="4536"/>
            <w:shd w:val="clear" w:color="auto" w:fill="FFFFFF"/>
          </w:tcPr>
          <w:p>
            <w:pPr>
              <w:spacing w:before="40" w:after="40" w:lineRule="auto" w:line="288"/>
              <w:jc w:val="left"/>
            </w:pPr>
            <w:r>
              <w:rPr>
                <w:rFonts w:ascii="Times New Roman" w:hAnsi="Times New Roman"/>
                <w:b w:val="0"/>
                <w:i w:val="0"/>
                <w:sz w:val="20"/>
              </w:rPr>
              <w:t>time</w:t>
            </w:r>
          </w:p>
        </w:tc>
        <w:tc>
          <w:tcPr>
            <w:tcW w:type="dxa" w:w="4536"/>
            <w:shd w:val="clear" w:color="auto" w:fill="FFFFFF"/>
          </w:tcPr>
          <w:p>
            <w:pPr>
              <w:spacing w:before="40" w:after="40" w:lineRule="auto" w:line="288"/>
              <w:jc w:val="left"/>
            </w:pPr>
            <w:r>
              <w:rPr>
                <w:rFonts w:ascii="Times New Roman" w:hAnsi="Times New Roman"/>
                <w:b w:val="0"/>
                <w:i w:val="0"/>
                <w:sz w:val="20"/>
              </w:rPr>
              <w:t>Control de la cadencia de peticiones a la API (pausa de 0,5 s entre llamadas)</w:t>
            </w:r>
          </w:p>
        </w:tc>
      </w:tr>
      <w:tr>
        <w:tc>
          <w:tcPr>
            <w:tcW w:type="dxa" w:w="4536"/>
            <w:shd w:val="clear" w:color="auto" w:fill="F2F4F7"/>
          </w:tcPr>
          <w:p>
            <w:pPr>
              <w:spacing w:before="40" w:after="40" w:lineRule="auto" w:line="288"/>
              <w:jc w:val="left"/>
            </w:pPr>
            <w:r>
              <w:rPr>
                <w:rFonts w:ascii="Times New Roman" w:hAnsi="Times New Roman"/>
                <w:b w:val="0"/>
                <w:i w:val="0"/>
                <w:sz w:val="20"/>
              </w:rPr>
              <w:t>os</w:t>
            </w:r>
          </w:p>
        </w:tc>
        <w:tc>
          <w:tcPr>
            <w:tcW w:type="dxa" w:w="4536"/>
            <w:shd w:val="clear" w:color="auto" w:fill="F2F4F7"/>
          </w:tcPr>
          <w:p>
            <w:pPr>
              <w:spacing w:before="40" w:after="40" w:lineRule="auto" w:line="288"/>
              <w:jc w:val="left"/>
            </w:pPr>
            <w:r>
              <w:rPr>
                <w:rFonts w:ascii="Times New Roman" w:hAnsi="Times New Roman"/>
                <w:b w:val="0"/>
                <w:i w:val="0"/>
                <w:sz w:val="20"/>
              </w:rPr>
              <w:t>Gestión del directorio de trabajo y listado de archivos en carpetas locales</w:t>
            </w:r>
          </w:p>
        </w:tc>
      </w:tr>
    </w:tbl>
    <w:p>
      <w:pPr>
        <w:spacing w:before="0" w:after="0" w:lineRule="auto" w:line="240"/>
      </w:pPr>
    </w:p>
    <w:p>
      <w:r>
        <w:br w:type="page"/>
      </w:r>
    </w:p>
    <w:p>
      <w:pPr>
        <w:spacing w:before="360" w:after="160" w:lineRule="auto" w:line="360"/>
        <w:jc w:val="left"/>
        <w:pBdr>
          <w:bottom w:val="single" w:sz="6" w:space="4" w:color="185FA5"/>
        </w:pBdr>
      </w:pPr>
      <w:r>
        <w:rPr>
          <w:rFonts w:ascii="Times New Roman" w:hAnsi="Times New Roman"/>
          <w:b/>
          <w:i w:val="0"/>
          <w:color w:val="185FA5"/>
          <w:sz w:val="28"/>
        </w:rPr>
        <w:t>4. Extracción de datos</w:t>
      </w:r>
    </w:p>
    <w:p>
      <w:pPr>
        <w:spacing w:before="240" w:after="80" w:lineRule="auto" w:line="360"/>
        <w:jc w:val="left"/>
      </w:pPr>
      <w:r>
        <w:rPr>
          <w:rFonts w:ascii="Times New Roman" w:hAnsi="Times New Roman"/>
          <w:b/>
          <w:i w:val="0"/>
          <w:color w:val="0F172A"/>
          <w:sz w:val="24"/>
        </w:rPr>
        <w:t>4.1  API EDGAR / SEC</w:t>
      </w:r>
    </w:p>
    <w:p>
      <w:pPr>
        <w:spacing w:before="0" w:after="120" w:lineRule="auto" w:line="360"/>
        <w:jc w:val="both"/>
      </w:pPr>
      <w:r>
        <w:rPr>
          <w:rFonts w:ascii="Times New Roman" w:hAnsi="Times New Roman"/>
          <w:b w:val="0"/>
          <w:i w:val="0"/>
          <w:sz w:val="22"/>
        </w:rPr>
        <w:t>La principal fuente de datos de este TFG es la API pública de EDGAR (Electronic Data Gathering, Analysis and Retrieval), el sistema de presentación de informes financieros de la SEC. Esta API proporciona acceso libre y gratuito a los estados financieros anuales —formulario 10-K— de todas las empresas registradas en los Estados Unidos, en formato JSON estandarizado bajo el estándar XBRL (eXtensible Business Reporting Language).</w:t>
      </w:r>
    </w:p>
    <w:p>
      <w:pPr>
        <w:spacing w:before="0" w:after="120" w:lineRule="auto" w:line="360"/>
        <w:jc w:val="both"/>
      </w:pPr>
      <w:r>
        <w:rPr>
          <w:rFonts w:ascii="Times New Roman" w:hAnsi="Times New Roman"/>
          <w:b w:val="0"/>
          <w:i w:val="0"/>
          <w:sz w:val="22"/>
        </w:rPr>
        <w:t>El proceso de extracción, implementado en el script TFG_Ingeniería_Dato.py, se diseñó en dos fases. En primer lugar, se realizó una prueba de conexión utilizando como empresa de referencia Apple Inc. (CIK: 0000320193), lo que permitió verificar el funcionamiento de la API y comprobar la disponibilidad de las nueve variables financieras objetivo antes de escalar la extracción al universo completo de empresas. La API requiere identificación del agente en la cabecera HTTP (User-Agent), conforme a la política de uso del servidor. Cada empresa queda identificada por un código único denominado CIK (Central Index Key), formateado con diez dígitos con ceros a la izquierda. La lista completa de empresas se obtiene desde el endpoint https://www.sec.gov/files/company_tickers.json.</w:t>
      </w:r>
    </w:p>
    <w:p>
      <w:pPr>
        <w:spacing w:before="0" w:after="120" w:lineRule="auto" w:line="360"/>
        <w:jc w:val="both"/>
      </w:pPr>
      <w:r>
        <w:rPr>
          <w:rFonts w:ascii="Times New Roman" w:hAnsi="Times New Roman"/>
          <w:b w:val="0"/>
          <w:i w:val="0"/>
          <w:sz w:val="22"/>
        </w:rPr>
        <w:t>Para cada empresa de la lista se descargaron las series anuales de las nueve variables financieras brutas siguientes:</w:t>
      </w:r>
    </w:p>
    <w:p>
      <w:pPr>
        <w:spacing w:before="0" w:after="0" w:lineRule="auto" w:line="240"/>
      </w:pPr>
    </w:p>
    <w:tbl>
      <w:tblPr>
        <w:tblStyle w:val="TableGrid"/>
        <w:tblW w:type="auto" w:w="0"/>
        <w:jc w:val="center"/>
        <w:tblLook w:firstColumn="1" w:firstRow="1" w:lastColumn="0" w:lastRow="0" w:noHBand="0" w:noVBand="1" w:val="04A0"/>
      </w:tblPr>
      <w:tblGrid>
        <w:gridCol w:w="4536"/>
        <w:gridCol w:w="4536"/>
      </w:tblGrid>
      <w:tr>
        <w:tc>
          <w:tcPr>
            <w:tcW w:type="dxa" w:w="4536"/>
            <w:shd w:val="clear" w:color="auto" w:fill="185FA5"/>
          </w:tcPr>
          <w:p>
            <w:pPr>
              <w:spacing w:before="40" w:after="40" w:lineRule="auto" w:line="288"/>
              <w:jc w:val="center"/>
            </w:pPr>
            <w:r>
              <w:rPr>
                <w:rFonts w:ascii="Times New Roman" w:hAnsi="Times New Roman"/>
                <w:b/>
                <w:i w:val="0"/>
                <w:color w:val="FFFFFF"/>
                <w:sz w:val="20"/>
              </w:rPr>
              <w:t>Variable EDGAR</w:t>
            </w:r>
          </w:p>
        </w:tc>
        <w:tc>
          <w:tcPr>
            <w:tcW w:type="dxa" w:w="4536"/>
            <w:shd w:val="clear" w:color="auto" w:fill="185FA5"/>
          </w:tcPr>
          <w:p>
            <w:pPr>
              <w:spacing w:before="40" w:after="40" w:lineRule="auto" w:line="288"/>
              <w:jc w:val="center"/>
            </w:pPr>
            <w:r>
              <w:rPr>
                <w:rFonts w:ascii="Times New Roman" w:hAnsi="Times New Roman"/>
                <w:b/>
                <w:i w:val="0"/>
                <w:color w:val="FFFFFF"/>
                <w:sz w:val="20"/>
              </w:rPr>
              <w:t>Descripción económica</w:t>
            </w:r>
          </w:p>
        </w:tc>
      </w:tr>
      <w:tr>
        <w:tc>
          <w:tcPr>
            <w:tcW w:type="dxa" w:w="4536"/>
            <w:shd w:val="clear" w:color="auto" w:fill="F2F4F7"/>
          </w:tcPr>
          <w:p>
            <w:pPr>
              <w:spacing w:before="40" w:after="40" w:lineRule="auto" w:line="288"/>
              <w:jc w:val="left"/>
            </w:pPr>
            <w:r>
              <w:rPr>
                <w:rFonts w:ascii="Times New Roman" w:hAnsi="Times New Roman"/>
                <w:b w:val="0"/>
                <w:i w:val="0"/>
                <w:sz w:val="20"/>
              </w:rPr>
              <w:t>Assets</w:t>
            </w:r>
          </w:p>
        </w:tc>
        <w:tc>
          <w:tcPr>
            <w:tcW w:type="dxa" w:w="4536"/>
            <w:shd w:val="clear" w:color="auto" w:fill="F2F4F7"/>
          </w:tcPr>
          <w:p>
            <w:pPr>
              <w:spacing w:before="40" w:after="40" w:lineRule="auto" w:line="288"/>
              <w:jc w:val="left"/>
            </w:pPr>
            <w:r>
              <w:rPr>
                <w:rFonts w:ascii="Times New Roman" w:hAnsi="Times New Roman"/>
                <w:b w:val="0"/>
                <w:i w:val="0"/>
                <w:sz w:val="20"/>
              </w:rPr>
              <w:t>Total de activos</w:t>
            </w:r>
          </w:p>
        </w:tc>
      </w:tr>
      <w:tr>
        <w:tc>
          <w:tcPr>
            <w:tcW w:type="dxa" w:w="4536"/>
            <w:shd w:val="clear" w:color="auto" w:fill="FFFFFF"/>
          </w:tcPr>
          <w:p>
            <w:pPr>
              <w:spacing w:before="40" w:after="40" w:lineRule="auto" w:line="288"/>
              <w:jc w:val="left"/>
            </w:pPr>
            <w:r>
              <w:rPr>
                <w:rFonts w:ascii="Times New Roman" w:hAnsi="Times New Roman"/>
                <w:b w:val="0"/>
                <w:i w:val="0"/>
                <w:sz w:val="20"/>
              </w:rPr>
              <w:t>Liabilities</w:t>
            </w:r>
          </w:p>
        </w:tc>
        <w:tc>
          <w:tcPr>
            <w:tcW w:type="dxa" w:w="4536"/>
            <w:shd w:val="clear" w:color="auto" w:fill="FFFFFF"/>
          </w:tcPr>
          <w:p>
            <w:pPr>
              <w:spacing w:before="40" w:after="40" w:lineRule="auto" w:line="288"/>
              <w:jc w:val="left"/>
            </w:pPr>
            <w:r>
              <w:rPr>
                <w:rFonts w:ascii="Times New Roman" w:hAnsi="Times New Roman"/>
                <w:b w:val="0"/>
                <w:i w:val="0"/>
                <w:sz w:val="20"/>
              </w:rPr>
              <w:t>Total de deudas (pasivo)</w:t>
            </w:r>
          </w:p>
        </w:tc>
      </w:tr>
      <w:tr>
        <w:tc>
          <w:tcPr>
            <w:tcW w:type="dxa" w:w="4536"/>
            <w:shd w:val="clear" w:color="auto" w:fill="F2F4F7"/>
          </w:tcPr>
          <w:p>
            <w:pPr>
              <w:spacing w:before="40" w:after="40" w:lineRule="auto" w:line="288"/>
              <w:jc w:val="left"/>
            </w:pPr>
            <w:r>
              <w:rPr>
                <w:rFonts w:ascii="Times New Roman" w:hAnsi="Times New Roman"/>
                <w:b w:val="0"/>
                <w:i w:val="0"/>
                <w:sz w:val="20"/>
              </w:rPr>
              <w:t>StockholdersEquity</w:t>
            </w:r>
          </w:p>
        </w:tc>
        <w:tc>
          <w:tcPr>
            <w:tcW w:type="dxa" w:w="4536"/>
            <w:shd w:val="clear" w:color="auto" w:fill="F2F4F7"/>
          </w:tcPr>
          <w:p>
            <w:pPr>
              <w:spacing w:before="40" w:after="40" w:lineRule="auto" w:line="288"/>
              <w:jc w:val="left"/>
            </w:pPr>
            <w:r>
              <w:rPr>
                <w:rFonts w:ascii="Times New Roman" w:hAnsi="Times New Roman"/>
                <w:b w:val="0"/>
                <w:i w:val="0"/>
                <w:sz w:val="20"/>
              </w:rPr>
              <w:t>Patrimonio neto</w:t>
            </w:r>
          </w:p>
        </w:tc>
      </w:tr>
      <w:tr>
        <w:tc>
          <w:tcPr>
            <w:tcW w:type="dxa" w:w="4536"/>
            <w:shd w:val="clear" w:color="auto" w:fill="FFFFFF"/>
          </w:tcPr>
          <w:p>
            <w:pPr>
              <w:spacing w:before="40" w:after="40" w:lineRule="auto" w:line="288"/>
              <w:jc w:val="left"/>
            </w:pPr>
            <w:r>
              <w:rPr>
                <w:rFonts w:ascii="Times New Roman" w:hAnsi="Times New Roman"/>
                <w:b w:val="0"/>
                <w:i w:val="0"/>
                <w:sz w:val="20"/>
              </w:rPr>
              <w:t>AssetsCurrent</w:t>
            </w:r>
          </w:p>
        </w:tc>
        <w:tc>
          <w:tcPr>
            <w:tcW w:type="dxa" w:w="4536"/>
            <w:shd w:val="clear" w:color="auto" w:fill="FFFFFF"/>
          </w:tcPr>
          <w:p>
            <w:pPr>
              <w:spacing w:before="40" w:after="40" w:lineRule="auto" w:line="288"/>
              <w:jc w:val="left"/>
            </w:pPr>
            <w:r>
              <w:rPr>
                <w:rFonts w:ascii="Times New Roman" w:hAnsi="Times New Roman"/>
                <w:b w:val="0"/>
                <w:i w:val="0"/>
                <w:sz w:val="20"/>
              </w:rPr>
              <w:t>Activos corrientes</w:t>
            </w:r>
          </w:p>
        </w:tc>
      </w:tr>
      <w:tr>
        <w:tc>
          <w:tcPr>
            <w:tcW w:type="dxa" w:w="4536"/>
            <w:shd w:val="clear" w:color="auto" w:fill="F2F4F7"/>
          </w:tcPr>
          <w:p>
            <w:pPr>
              <w:spacing w:before="40" w:after="40" w:lineRule="auto" w:line="288"/>
              <w:jc w:val="left"/>
            </w:pPr>
            <w:r>
              <w:rPr>
                <w:rFonts w:ascii="Times New Roman" w:hAnsi="Times New Roman"/>
                <w:b w:val="0"/>
                <w:i w:val="0"/>
                <w:sz w:val="20"/>
              </w:rPr>
              <w:t>LiabilitiesCurrent</w:t>
            </w:r>
          </w:p>
        </w:tc>
        <w:tc>
          <w:tcPr>
            <w:tcW w:type="dxa" w:w="4536"/>
            <w:shd w:val="clear" w:color="auto" w:fill="F2F4F7"/>
          </w:tcPr>
          <w:p>
            <w:pPr>
              <w:spacing w:before="40" w:after="40" w:lineRule="auto" w:line="288"/>
              <w:jc w:val="left"/>
            </w:pPr>
            <w:r>
              <w:rPr>
                <w:rFonts w:ascii="Times New Roman" w:hAnsi="Times New Roman"/>
                <w:b w:val="0"/>
                <w:i w:val="0"/>
                <w:sz w:val="20"/>
              </w:rPr>
              <w:t>Pasivos corrientes — deudas a corto plazo</w:t>
            </w:r>
          </w:p>
        </w:tc>
      </w:tr>
      <w:tr>
        <w:tc>
          <w:tcPr>
            <w:tcW w:type="dxa" w:w="4536"/>
            <w:shd w:val="clear" w:color="auto" w:fill="FFFFFF"/>
          </w:tcPr>
          <w:p>
            <w:pPr>
              <w:spacing w:before="40" w:after="40" w:lineRule="auto" w:line="288"/>
              <w:jc w:val="left"/>
            </w:pPr>
            <w:r>
              <w:rPr>
                <w:rFonts w:ascii="Times New Roman" w:hAnsi="Times New Roman"/>
                <w:b w:val="0"/>
                <w:i w:val="0"/>
                <w:sz w:val="20"/>
              </w:rPr>
              <w:t>Revenues</w:t>
            </w:r>
          </w:p>
        </w:tc>
        <w:tc>
          <w:tcPr>
            <w:tcW w:type="dxa" w:w="4536"/>
            <w:shd w:val="clear" w:color="auto" w:fill="FFFFFF"/>
          </w:tcPr>
          <w:p>
            <w:pPr>
              <w:spacing w:before="40" w:after="40" w:lineRule="auto" w:line="288"/>
              <w:jc w:val="left"/>
            </w:pPr>
            <w:r>
              <w:rPr>
                <w:rFonts w:ascii="Times New Roman" w:hAnsi="Times New Roman"/>
                <w:b w:val="0"/>
                <w:i w:val="0"/>
                <w:sz w:val="20"/>
              </w:rPr>
              <w:t>Ingresos totales</w:t>
            </w:r>
          </w:p>
        </w:tc>
      </w:tr>
      <w:tr>
        <w:tc>
          <w:tcPr>
            <w:tcW w:type="dxa" w:w="4536"/>
            <w:shd w:val="clear" w:color="auto" w:fill="F2F4F7"/>
          </w:tcPr>
          <w:p>
            <w:pPr>
              <w:spacing w:before="40" w:after="40" w:lineRule="auto" w:line="288"/>
              <w:jc w:val="left"/>
            </w:pPr>
            <w:r>
              <w:rPr>
                <w:rFonts w:ascii="Times New Roman" w:hAnsi="Times New Roman"/>
                <w:b w:val="0"/>
                <w:i w:val="0"/>
                <w:sz w:val="20"/>
              </w:rPr>
              <w:t>OperatingIncomeLoss</w:t>
            </w:r>
          </w:p>
        </w:tc>
        <w:tc>
          <w:tcPr>
            <w:tcW w:type="dxa" w:w="4536"/>
            <w:shd w:val="clear" w:color="auto" w:fill="F2F4F7"/>
          </w:tcPr>
          <w:p>
            <w:pPr>
              <w:spacing w:before="40" w:after="40" w:lineRule="auto" w:line="288"/>
              <w:jc w:val="left"/>
            </w:pPr>
            <w:r>
              <w:rPr>
                <w:rFonts w:ascii="Times New Roman" w:hAnsi="Times New Roman"/>
                <w:b w:val="0"/>
                <w:i w:val="0"/>
                <w:sz w:val="20"/>
              </w:rPr>
              <w:t>Resultado de explotación (EBIT)</w:t>
            </w:r>
          </w:p>
        </w:tc>
      </w:tr>
      <w:tr>
        <w:tc>
          <w:tcPr>
            <w:tcW w:type="dxa" w:w="4536"/>
            <w:shd w:val="clear" w:color="auto" w:fill="FFFFFF"/>
          </w:tcPr>
          <w:p>
            <w:pPr>
              <w:spacing w:before="40" w:after="40" w:lineRule="auto" w:line="288"/>
              <w:jc w:val="left"/>
            </w:pPr>
            <w:r>
              <w:rPr>
                <w:rFonts w:ascii="Times New Roman" w:hAnsi="Times New Roman"/>
                <w:b w:val="0"/>
                <w:i w:val="0"/>
                <w:sz w:val="20"/>
              </w:rPr>
              <w:t>NetIncomeLoss</w:t>
            </w:r>
          </w:p>
        </w:tc>
        <w:tc>
          <w:tcPr>
            <w:tcW w:type="dxa" w:w="4536"/>
            <w:shd w:val="clear" w:color="auto" w:fill="FFFFFF"/>
          </w:tcPr>
          <w:p>
            <w:pPr>
              <w:spacing w:before="40" w:after="40" w:lineRule="auto" w:line="288"/>
              <w:jc w:val="left"/>
            </w:pPr>
            <w:r>
              <w:rPr>
                <w:rFonts w:ascii="Times New Roman" w:hAnsi="Times New Roman"/>
                <w:b w:val="0"/>
                <w:i w:val="0"/>
                <w:sz w:val="20"/>
              </w:rPr>
              <w:t>Beneficio neto</w:t>
            </w:r>
          </w:p>
        </w:tc>
      </w:tr>
      <w:tr>
        <w:tc>
          <w:tcPr>
            <w:tcW w:type="dxa" w:w="4536"/>
            <w:shd w:val="clear" w:color="auto" w:fill="F2F4F7"/>
          </w:tcPr>
          <w:p>
            <w:pPr>
              <w:spacing w:before="40" w:after="40" w:lineRule="auto" w:line="288"/>
              <w:jc w:val="left"/>
            </w:pPr>
            <w:r>
              <w:rPr>
                <w:rFonts w:ascii="Times New Roman" w:hAnsi="Times New Roman"/>
                <w:b w:val="0"/>
                <w:i w:val="0"/>
                <w:sz w:val="20"/>
              </w:rPr>
              <w:t>InterestExpense</w:t>
            </w:r>
          </w:p>
        </w:tc>
        <w:tc>
          <w:tcPr>
            <w:tcW w:type="dxa" w:w="4536"/>
            <w:shd w:val="clear" w:color="auto" w:fill="F2F4F7"/>
          </w:tcPr>
          <w:p>
            <w:pPr>
              <w:spacing w:before="40" w:after="40" w:lineRule="auto" w:line="288"/>
              <w:jc w:val="left"/>
            </w:pPr>
            <w:r>
              <w:rPr>
                <w:rFonts w:ascii="Times New Roman" w:hAnsi="Times New Roman"/>
                <w:b w:val="0"/>
                <w:i w:val="0"/>
                <w:sz w:val="20"/>
              </w:rPr>
              <w:t>Gastos financieros (intereses)</w:t>
            </w:r>
          </w:p>
        </w:tc>
      </w:tr>
    </w:tbl>
    <w:p>
      <w:pPr>
        <w:spacing w:before="0" w:after="0" w:lineRule="auto" w:line="240"/>
      </w:pPr>
    </w:p>
    <w:p>
      <w:pPr>
        <w:spacing w:before="0" w:after="120" w:lineRule="auto" w:line="360"/>
        <w:jc w:val="both"/>
      </w:pPr>
      <w:r>
        <w:rPr>
          <w:rFonts w:ascii="Times New Roman" w:hAnsi="Times New Roman"/>
          <w:b w:val="0"/>
          <w:i w:val="0"/>
          <w:sz w:val="22"/>
        </w:rPr>
        <w:t>Un aspecto crítico durante la extracción es que distintas empresas utilizan etiquetas XBRL diferentes para la misma variable económica. En el caso de los ingresos (Revenues), se identificaron cinco etiquetas alternativas: Revenues, SalesRevenueNet, RevenueFromContractWithCustomerExcludingAssessedTax, SalesRevenueGoodsNet y RevenuesNetOfInterestExpense. La función extraer_variable() implementada en el script gestiona automáticamente esta ambigüedad buscando las etiquetas en orden de preferencia y seleccionando la primera disponible para cada empresa.</w:t>
      </w:r>
    </w:p>
    <w:p>
      <w:pPr>
        <w:spacing w:before="0" w:after="120" w:lineRule="auto" w:line="360"/>
        <w:jc w:val="both"/>
      </w:pPr>
      <w:r>
        <w:rPr>
          <w:rFonts w:ascii="Times New Roman" w:hAnsi="Times New Roman"/>
          <w:b w:val="0"/>
          <w:i w:val="0"/>
          <w:sz w:val="22"/>
        </w:rPr>
        <w:t>Con objeto de cumplir con la política de uso razonable de la API, se introdujo una pausa de 0,5 segundos entre peticiones consecutivas. Solo se incluyeron en el dataset las empresas con datos para un mínimo de tres ejercicios fiscales. El resultado se almacenó en Datos_CSV/dataset_edgar.csv, con 64.309 filas correspondientes a observaciones empresa-año.</w:t>
      </w:r>
    </w:p>
    <w:p>
      <w:pPr>
        <w:spacing w:before="240" w:after="80" w:lineRule="auto" w:line="360"/>
        <w:jc w:val="left"/>
      </w:pPr>
      <w:r>
        <w:rPr>
          <w:rFonts w:ascii="Times New Roman" w:hAnsi="Times New Roman"/>
          <w:b/>
          <w:i w:val="0"/>
          <w:color w:val="0F172A"/>
          <w:sz w:val="24"/>
        </w:rPr>
        <w:t>4.2  Eurostat</w:t>
      </w:r>
    </w:p>
    <w:p>
      <w:pPr>
        <w:spacing w:before="0" w:after="120" w:lineRule="auto" w:line="360"/>
        <w:jc w:val="both"/>
      </w:pPr>
      <w:r>
        <w:rPr>
          <w:rFonts w:ascii="Times New Roman" w:hAnsi="Times New Roman"/>
          <w:b w:val="0"/>
          <w:i w:val="0"/>
          <w:sz w:val="22"/>
        </w:rPr>
        <w:t>La segunda fuente de datos es Eurostat, la oficina estadística de la Unión Europea. Concretamente, se utilizó el indicador Short-term business statistics — Bankruptcy declarations (código: sts_rb_a_linear), que recoge el índice anual de declaraciones de quiebra empresarial desglosado por países europeos.</w:t>
      </w:r>
    </w:p>
    <w:p>
      <w:pPr>
        <w:spacing w:before="0" w:after="120" w:lineRule="auto" w:line="360"/>
        <w:jc w:val="both"/>
      </w:pPr>
      <w:r>
        <w:rPr>
          <w:rFonts w:ascii="Times New Roman" w:hAnsi="Times New Roman"/>
          <w:b w:val="0"/>
          <w:i w:val="0"/>
          <w:sz w:val="22"/>
        </w:rPr>
        <w:t>El archivo CSV fue descargado manualmente desde el portal de Eurostat y procesado en el script TFG_Eurostat_BancoEspaña.py. El proceso consistió en seleccionar las columnas relevantes (geo, TIME_PERIOD, indic_bt, OBS_VALUE), filtrar exclusivamente las observaciones de quiebras (Bankruptcy declarations), renombrar las columnas y extraer únicamente los datos correspondientes a España para su integración posterior. El resultado se guardó en Datos_CSV/eurostat_quiebras.csv.</w:t>
      </w:r>
    </w:p>
    <w:p>
      <w:pPr>
        <w:spacing w:before="240" w:after="80" w:lineRule="auto" w:line="360"/>
        <w:jc w:val="left"/>
      </w:pPr>
      <w:r>
        <w:rPr>
          <w:rFonts w:ascii="Times New Roman" w:hAnsi="Times New Roman"/>
          <w:b/>
          <w:i w:val="0"/>
          <w:color w:val="0F172A"/>
          <w:sz w:val="24"/>
        </w:rPr>
        <w:t>4.3  Banco de España — SB_CBRATIOS</w:t>
      </w:r>
    </w:p>
    <w:p>
      <w:pPr>
        <w:spacing w:before="0" w:after="120" w:lineRule="auto" w:line="360"/>
        <w:jc w:val="both"/>
      </w:pPr>
      <w:r>
        <w:rPr>
          <w:rFonts w:ascii="Times New Roman" w:hAnsi="Times New Roman"/>
          <w:b w:val="0"/>
          <w:i w:val="0"/>
          <w:sz w:val="22"/>
        </w:rPr>
        <w:t>La tercera fuente de datos son los Cuadros de Ratios del Sector Privado No Financiero elaborados por el Banco de España, disponibles en la carpeta SB_CBRATIOS/. Esta colección consta de 23 archivos CSV individuales (denominados be1507.csv a be1529.csv), cada uno correspondiente a un período de referencia distinto. Los archivos presentan separador de columna punto y coma (;) y codificación de caracteres latin1, características propias de los sistemas europeos. La consolidación se realizó mediante un bucle iterativo que lee cada fichero con la configuración correcta y los concatena en un único DataFrame. El resultado se almacenó en Datos_CSV/bancoespana_ratios.csv.</w:t>
      </w:r>
    </w:p>
    <w:p>
      <w:r>
        <w:br w:type="page"/>
      </w:r>
    </w:p>
    <w:p>
      <w:pPr>
        <w:spacing w:before="360" w:after="160" w:lineRule="auto" w:line="360"/>
        <w:jc w:val="left"/>
        <w:pBdr>
          <w:bottom w:val="single" w:sz="6" w:space="4" w:color="185FA5"/>
        </w:pBdr>
      </w:pPr>
      <w:r>
        <w:rPr>
          <w:rFonts w:ascii="Times New Roman" w:hAnsi="Times New Roman"/>
          <w:b/>
          <w:i w:val="0"/>
          <w:color w:val="185FA5"/>
          <w:sz w:val="28"/>
        </w:rPr>
        <w:t>5. Limpieza y Transformación</w:t>
      </w:r>
    </w:p>
    <w:p>
      <w:pPr>
        <w:spacing w:before="0" w:after="120" w:lineRule="auto" w:line="360"/>
        <w:jc w:val="both"/>
      </w:pPr>
      <w:r>
        <w:rPr>
          <w:rFonts w:ascii="Times New Roman" w:hAnsi="Times New Roman"/>
          <w:b w:val="0"/>
          <w:i w:val="0"/>
          <w:sz w:val="22"/>
        </w:rPr>
        <w:t>El proceso de limpieza y transformación, implementado en los scripts TFG_Limpieza_Transformación.py y TFG_Eurostat_BancoEspaña.py, transformó el dataset bruto de 64.309 observaciones en el dataset analítico final de 18.666 filas. A continuación se documenta cada uno de los pasos aplicados, con la cuantificación exacta de su impacto sobre el volumen de datos.</w:t>
      </w:r>
    </w:p>
    <w:p>
      <w:pPr>
        <w:spacing w:before="0" w:after="0" w:lineRule="auto" w:line="240"/>
      </w:pP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val="clear" w:color="auto" w:fill="185FA5"/>
          </w:tcPr>
          <w:p>
            <w:pPr>
              <w:spacing w:before="40" w:after="40" w:lineRule="auto" w:line="288"/>
              <w:jc w:val="center"/>
            </w:pPr>
            <w:r>
              <w:rPr>
                <w:rFonts w:ascii="Times New Roman" w:hAnsi="Times New Roman"/>
                <w:b/>
                <w:i w:val="0"/>
                <w:color w:val="FFFFFF"/>
                <w:sz w:val="20"/>
              </w:rPr>
              <w:t>Paso</w:t>
            </w:r>
          </w:p>
        </w:tc>
        <w:tc>
          <w:tcPr>
            <w:tcW w:type="dxa" w:w="2268"/>
            <w:shd w:val="clear" w:color="auto" w:fill="185FA5"/>
          </w:tcPr>
          <w:p>
            <w:pPr>
              <w:spacing w:before="40" w:after="40" w:lineRule="auto" w:line="288"/>
              <w:jc w:val="center"/>
            </w:pPr>
            <w:r>
              <w:rPr>
                <w:rFonts w:ascii="Times New Roman" w:hAnsi="Times New Roman"/>
                <w:b/>
                <w:i w:val="0"/>
                <w:color w:val="FFFFFF"/>
                <w:sz w:val="20"/>
              </w:rPr>
              <w:t>Descripción</w:t>
            </w:r>
          </w:p>
        </w:tc>
        <w:tc>
          <w:tcPr>
            <w:tcW w:type="dxa" w:w="2268"/>
            <w:shd w:val="clear" w:color="auto" w:fill="185FA5"/>
          </w:tcPr>
          <w:p>
            <w:pPr>
              <w:spacing w:before="40" w:after="40" w:lineRule="auto" w:line="288"/>
              <w:jc w:val="center"/>
            </w:pPr>
            <w:r>
              <w:rPr>
                <w:rFonts w:ascii="Times New Roman" w:hAnsi="Times New Roman"/>
                <w:b/>
                <w:i w:val="0"/>
                <w:color w:val="FFFFFF"/>
                <w:sz w:val="20"/>
              </w:rPr>
              <w:t>Filas resultantes</w:t>
            </w:r>
          </w:p>
        </w:tc>
        <w:tc>
          <w:tcPr>
            <w:tcW w:type="dxa" w:w="2268"/>
            <w:shd w:val="clear" w:color="auto" w:fill="185FA5"/>
          </w:tcPr>
          <w:p>
            <w:pPr>
              <w:spacing w:before="40" w:after="40" w:lineRule="auto" w:line="288"/>
              <w:jc w:val="center"/>
            </w:pPr>
            <w:r>
              <w:rPr>
                <w:rFonts w:ascii="Times New Roman" w:hAnsi="Times New Roman"/>
                <w:b/>
                <w:i w:val="0"/>
                <w:color w:val="FFFFFF"/>
                <w:sz w:val="20"/>
              </w:rPr>
              <w:t>Filas eliminadas</w:t>
            </w:r>
          </w:p>
        </w:tc>
      </w:tr>
      <w:tr>
        <w:tc>
          <w:tcPr>
            <w:tcW w:type="dxa" w:w="2268"/>
            <w:shd w:val="clear" w:color="auto" w:fill="F2F4F7"/>
          </w:tcPr>
          <w:p>
            <w:pPr>
              <w:spacing w:before="40" w:after="40" w:lineRule="auto" w:line="288"/>
              <w:jc w:val="left"/>
            </w:pPr>
            <w:r>
              <w:rPr>
                <w:rFonts w:ascii="Times New Roman" w:hAnsi="Times New Roman"/>
                <w:b w:val="0"/>
                <w:i w:val="0"/>
                <w:sz w:val="20"/>
              </w:rPr>
              <w:t>Dataset original</w:t>
            </w:r>
          </w:p>
        </w:tc>
        <w:tc>
          <w:tcPr>
            <w:tcW w:type="dxa" w:w="2268"/>
            <w:shd w:val="clear" w:color="auto" w:fill="F2F4F7"/>
          </w:tcPr>
          <w:p>
            <w:pPr>
              <w:spacing w:before="40" w:after="40" w:lineRule="auto" w:line="288"/>
              <w:jc w:val="left"/>
            </w:pPr>
            <w:r>
              <w:rPr>
                <w:rFonts w:ascii="Times New Roman" w:hAnsi="Times New Roman"/>
                <w:b w:val="0"/>
                <w:i w:val="0"/>
                <w:sz w:val="20"/>
              </w:rPr>
              <w:t>Extracción bruta EDGAR</w:t>
            </w:r>
          </w:p>
        </w:tc>
        <w:tc>
          <w:tcPr>
            <w:tcW w:type="dxa" w:w="2268"/>
            <w:shd w:val="clear" w:color="auto" w:fill="F2F4F7"/>
          </w:tcPr>
          <w:p>
            <w:pPr>
              <w:spacing w:before="40" w:after="40" w:lineRule="auto" w:line="288"/>
              <w:jc w:val="left"/>
            </w:pPr>
            <w:r>
              <w:rPr>
                <w:rFonts w:ascii="Times New Roman" w:hAnsi="Times New Roman"/>
                <w:b w:val="0"/>
                <w:i w:val="0"/>
                <w:sz w:val="20"/>
              </w:rPr>
              <w:t>64.309</w:t>
            </w:r>
          </w:p>
        </w:tc>
        <w:tc>
          <w:tcPr>
            <w:tcW w:type="dxa" w:w="2268"/>
            <w:shd w:val="clear" w:color="auto" w:fill="F2F4F7"/>
          </w:tcPr>
          <w:p>
            <w:pPr>
              <w:spacing w:before="40" w:after="40" w:lineRule="auto" w:line="288"/>
              <w:jc w:val="left"/>
            </w:pPr>
            <w:r>
              <w:rPr>
                <w:rFonts w:ascii="Times New Roman" w:hAnsi="Times New Roman"/>
                <w:b w:val="0"/>
                <w:i w:val="0"/>
                <w:sz w:val="20"/>
              </w:rPr>
              <w:t>—</w:t>
            </w:r>
          </w:p>
        </w:tc>
      </w:tr>
      <w:tr>
        <w:tc>
          <w:tcPr>
            <w:tcW w:type="dxa" w:w="2268"/>
            <w:shd w:val="clear" w:color="auto" w:fill="FFFFFF"/>
          </w:tcPr>
          <w:p>
            <w:pPr>
              <w:spacing w:before="40" w:after="40" w:lineRule="auto" w:line="288"/>
              <w:jc w:val="left"/>
            </w:pPr>
            <w:r>
              <w:rPr>
                <w:rFonts w:ascii="Times New Roman" w:hAnsi="Times New Roman"/>
                <w:b w:val="0"/>
                <w:i w:val="0"/>
                <w:sz w:val="20"/>
              </w:rPr>
              <w:t>1. Nulos críticos</w:t>
            </w:r>
          </w:p>
        </w:tc>
        <w:tc>
          <w:tcPr>
            <w:tcW w:type="dxa" w:w="2268"/>
            <w:shd w:val="clear" w:color="auto" w:fill="FFFFFF"/>
          </w:tcPr>
          <w:p>
            <w:pPr>
              <w:spacing w:before="40" w:after="40" w:lineRule="auto" w:line="288"/>
              <w:jc w:val="left"/>
            </w:pPr>
            <w:r>
              <w:rPr>
                <w:rFonts w:ascii="Times New Roman" w:hAnsi="Times New Roman"/>
                <w:b w:val="0"/>
                <w:i w:val="0"/>
                <w:sz w:val="20"/>
              </w:rPr>
              <w:t>Eliminación Assets / NetIncomeLoss</w:t>
            </w:r>
          </w:p>
        </w:tc>
        <w:tc>
          <w:tcPr>
            <w:tcW w:type="dxa" w:w="2268"/>
            <w:shd w:val="clear" w:color="auto" w:fill="FFFFFF"/>
          </w:tcPr>
          <w:p>
            <w:pPr>
              <w:spacing w:before="40" w:after="40" w:lineRule="auto" w:line="288"/>
              <w:jc w:val="left"/>
            </w:pPr>
            <w:r>
              <w:rPr>
                <w:rFonts w:ascii="Times New Roman" w:hAnsi="Times New Roman"/>
                <w:b w:val="0"/>
                <w:i w:val="0"/>
                <w:sz w:val="20"/>
              </w:rPr>
              <w:t>59.303</w:t>
            </w:r>
          </w:p>
        </w:tc>
        <w:tc>
          <w:tcPr>
            <w:tcW w:type="dxa" w:w="2268"/>
            <w:shd w:val="clear" w:color="auto" w:fill="FFFFFF"/>
          </w:tcPr>
          <w:p>
            <w:pPr>
              <w:spacing w:before="40" w:after="40" w:lineRule="auto" w:line="288"/>
              <w:jc w:val="left"/>
            </w:pPr>
            <w:r>
              <w:rPr>
                <w:rFonts w:ascii="Times New Roman" w:hAnsi="Times New Roman"/>
                <w:b w:val="0"/>
                <w:i w:val="0"/>
                <w:sz w:val="20"/>
              </w:rPr>
              <w:t>−5.006</w:t>
            </w:r>
          </w:p>
        </w:tc>
      </w:tr>
      <w:tr>
        <w:tc>
          <w:tcPr>
            <w:tcW w:type="dxa" w:w="2268"/>
            <w:shd w:val="clear" w:color="auto" w:fill="F2F4F7"/>
          </w:tcPr>
          <w:p>
            <w:pPr>
              <w:spacing w:before="40" w:after="40" w:lineRule="auto" w:line="288"/>
              <w:jc w:val="left"/>
            </w:pPr>
            <w:r>
              <w:rPr>
                <w:rFonts w:ascii="Times New Roman" w:hAnsi="Times New Roman"/>
                <w:b w:val="0"/>
                <w:i w:val="0"/>
                <w:sz w:val="20"/>
              </w:rPr>
              <w:t>2. Filtro temporal</w:t>
            </w:r>
          </w:p>
        </w:tc>
        <w:tc>
          <w:tcPr>
            <w:tcW w:type="dxa" w:w="2268"/>
            <w:shd w:val="clear" w:color="auto" w:fill="F2F4F7"/>
          </w:tcPr>
          <w:p>
            <w:pPr>
              <w:spacing w:before="40" w:after="40" w:lineRule="auto" w:line="288"/>
              <w:jc w:val="left"/>
            </w:pPr>
            <w:r>
              <w:rPr>
                <w:rFonts w:ascii="Times New Roman" w:hAnsi="Times New Roman"/>
                <w:b w:val="0"/>
                <w:i w:val="0"/>
                <w:sz w:val="20"/>
              </w:rPr>
              <w:t>Rango 1993–2023</w:t>
            </w:r>
          </w:p>
        </w:tc>
        <w:tc>
          <w:tcPr>
            <w:tcW w:type="dxa" w:w="2268"/>
            <w:shd w:val="clear" w:color="auto" w:fill="F2F4F7"/>
          </w:tcPr>
          <w:p>
            <w:pPr>
              <w:spacing w:before="40" w:after="40" w:lineRule="auto" w:line="288"/>
              <w:jc w:val="left"/>
            </w:pPr>
            <w:r>
              <w:rPr>
                <w:rFonts w:ascii="Times New Roman" w:hAnsi="Times New Roman"/>
                <w:b w:val="0"/>
                <w:i w:val="0"/>
                <w:sz w:val="20"/>
              </w:rPr>
              <w:t>49.088</w:t>
            </w:r>
          </w:p>
        </w:tc>
        <w:tc>
          <w:tcPr>
            <w:tcW w:type="dxa" w:w="2268"/>
            <w:shd w:val="clear" w:color="auto" w:fill="F2F4F7"/>
          </w:tcPr>
          <w:p>
            <w:pPr>
              <w:spacing w:before="40" w:after="40" w:lineRule="auto" w:line="288"/>
              <w:jc w:val="left"/>
            </w:pPr>
            <w:r>
              <w:rPr>
                <w:rFonts w:ascii="Times New Roman" w:hAnsi="Times New Roman"/>
                <w:b w:val="0"/>
                <w:i w:val="0"/>
                <w:sz w:val="20"/>
              </w:rPr>
              <w:t>−10.215</w:t>
            </w:r>
          </w:p>
        </w:tc>
      </w:tr>
      <w:tr>
        <w:tc>
          <w:tcPr>
            <w:tcW w:type="dxa" w:w="2268"/>
            <w:shd w:val="clear" w:color="auto" w:fill="FFFFFF"/>
          </w:tcPr>
          <w:p>
            <w:pPr>
              <w:spacing w:before="40" w:after="40" w:lineRule="auto" w:line="288"/>
              <w:jc w:val="left"/>
            </w:pPr>
            <w:r>
              <w:rPr>
                <w:rFonts w:ascii="Times New Roman" w:hAnsi="Times New Roman"/>
                <w:b w:val="0"/>
                <w:i w:val="0"/>
                <w:sz w:val="20"/>
              </w:rPr>
              <w:t>3. Sector financiero</w:t>
            </w:r>
          </w:p>
        </w:tc>
        <w:tc>
          <w:tcPr>
            <w:tcW w:type="dxa" w:w="2268"/>
            <w:shd w:val="clear" w:color="auto" w:fill="FFFFFF"/>
          </w:tcPr>
          <w:p>
            <w:pPr>
              <w:spacing w:before="40" w:after="40" w:lineRule="auto" w:line="288"/>
              <w:jc w:val="left"/>
            </w:pPr>
            <w:r>
              <w:rPr>
                <w:rFonts w:ascii="Times New Roman" w:hAnsi="Times New Roman"/>
                <w:b w:val="0"/>
                <w:i w:val="0"/>
                <w:sz w:val="20"/>
              </w:rPr>
              <w:t>Exclusión banca / seguros</w:t>
            </w:r>
          </w:p>
        </w:tc>
        <w:tc>
          <w:tcPr>
            <w:tcW w:type="dxa" w:w="2268"/>
            <w:shd w:val="clear" w:color="auto" w:fill="FFFFFF"/>
          </w:tcPr>
          <w:p>
            <w:pPr>
              <w:spacing w:before="40" w:after="40" w:lineRule="auto" w:line="288"/>
              <w:jc w:val="left"/>
            </w:pPr>
            <w:r>
              <w:rPr>
                <w:rFonts w:ascii="Times New Roman" w:hAnsi="Times New Roman"/>
                <w:b w:val="0"/>
                <w:i w:val="0"/>
                <w:sz w:val="20"/>
              </w:rPr>
              <w:t>41.756</w:t>
            </w:r>
          </w:p>
        </w:tc>
        <w:tc>
          <w:tcPr>
            <w:tcW w:type="dxa" w:w="2268"/>
            <w:shd w:val="clear" w:color="auto" w:fill="FFFFFF"/>
          </w:tcPr>
          <w:p>
            <w:pPr>
              <w:spacing w:before="40" w:after="40" w:lineRule="auto" w:line="288"/>
              <w:jc w:val="left"/>
            </w:pPr>
            <w:r>
              <w:rPr>
                <w:rFonts w:ascii="Times New Roman" w:hAnsi="Times New Roman"/>
                <w:b w:val="0"/>
                <w:i w:val="0"/>
                <w:sz w:val="20"/>
              </w:rPr>
              <w:t>−7.332</w:t>
            </w:r>
          </w:p>
        </w:tc>
      </w:tr>
      <w:tr>
        <w:tc>
          <w:tcPr>
            <w:tcW w:type="dxa" w:w="2268"/>
            <w:shd w:val="clear" w:color="auto" w:fill="F2F4F7"/>
          </w:tcPr>
          <w:p>
            <w:pPr>
              <w:spacing w:before="40" w:after="40" w:lineRule="auto" w:line="288"/>
              <w:jc w:val="left"/>
            </w:pPr>
            <w:r>
              <w:rPr>
                <w:rFonts w:ascii="Times New Roman" w:hAnsi="Times New Roman"/>
                <w:b w:val="0"/>
                <w:i w:val="0"/>
                <w:sz w:val="20"/>
              </w:rPr>
              <w:t>4. Interpolación</w:t>
            </w:r>
          </w:p>
        </w:tc>
        <w:tc>
          <w:tcPr>
            <w:tcW w:type="dxa" w:w="2268"/>
            <w:shd w:val="clear" w:color="auto" w:fill="F2F4F7"/>
          </w:tcPr>
          <w:p>
            <w:pPr>
              <w:spacing w:before="40" w:after="40" w:lineRule="auto" w:line="288"/>
              <w:jc w:val="left"/>
            </w:pPr>
            <w:r>
              <w:rPr>
                <w:rFonts w:ascii="Times New Roman" w:hAnsi="Times New Roman"/>
                <w:b w:val="0"/>
                <w:i w:val="0"/>
                <w:sz w:val="20"/>
              </w:rPr>
              <w:t>Lineal por empresa + limpieza final</w:t>
            </w:r>
          </w:p>
        </w:tc>
        <w:tc>
          <w:tcPr>
            <w:tcW w:type="dxa" w:w="2268"/>
            <w:shd w:val="clear" w:color="auto" w:fill="F2F4F7"/>
          </w:tcPr>
          <w:p>
            <w:pPr>
              <w:spacing w:before="40" w:after="40" w:lineRule="auto" w:line="288"/>
              <w:jc w:val="left"/>
            </w:pPr>
            <w:r>
              <w:rPr>
                <w:rFonts w:ascii="Times New Roman" w:hAnsi="Times New Roman"/>
                <w:b w:val="0"/>
                <w:i w:val="0"/>
                <w:sz w:val="20"/>
              </w:rPr>
              <w:t>18.666</w:t>
            </w:r>
          </w:p>
        </w:tc>
        <w:tc>
          <w:tcPr>
            <w:tcW w:type="dxa" w:w="2268"/>
            <w:shd w:val="clear" w:color="auto" w:fill="F2F4F7"/>
          </w:tcPr>
          <w:p>
            <w:pPr>
              <w:spacing w:before="40" w:after="40" w:lineRule="auto" w:line="288"/>
              <w:jc w:val="left"/>
            </w:pPr>
            <w:r>
              <w:rPr>
                <w:rFonts w:ascii="Times New Roman" w:hAnsi="Times New Roman"/>
                <w:b w:val="0"/>
                <w:i w:val="0"/>
                <w:sz w:val="20"/>
              </w:rPr>
              <w:t>−23.090</w:t>
            </w:r>
          </w:p>
        </w:tc>
      </w:tr>
    </w:tbl>
    <w:p>
      <w:pPr>
        <w:spacing w:before="0" w:after="0" w:lineRule="auto" w:line="240"/>
      </w:pPr>
    </w:p>
    <w:p>
      <w:pPr>
        <w:spacing w:before="240" w:after="80" w:lineRule="auto" w:line="360"/>
        <w:jc w:val="left"/>
      </w:pPr>
      <w:r>
        <w:rPr>
          <w:rFonts w:ascii="Times New Roman" w:hAnsi="Times New Roman"/>
          <w:b/>
          <w:i w:val="0"/>
          <w:color w:val="0F172A"/>
          <w:sz w:val="24"/>
        </w:rPr>
        <w:t>5.1  Unificación de la variable de ingresos</w:t>
      </w:r>
    </w:p>
    <w:p>
      <w:pPr>
        <w:spacing w:before="0" w:after="120" w:lineRule="auto" w:line="360"/>
        <w:jc w:val="both"/>
      </w:pPr>
      <w:r>
        <w:rPr>
          <w:rFonts w:ascii="Times New Roman" w:hAnsi="Times New Roman"/>
          <w:b w:val="0"/>
          <w:i w:val="0"/>
          <w:sz w:val="22"/>
        </w:rPr>
        <w:t>La variable Revenues puede aparecer bajo cinco etiquetas XBRL distintas en el dataset bruto, generando hasta cinco columnas separadas para la misma magnitud económica. El primer paso consiste en unificarlas en una única columna Revenues aplicando la función bfill() por filas, que toma el primer valor no nulo disponible entre las columnas de ingresos presentes. Las columnas alternativas se eliminan a continuación para simplificar el esquema del dataset.</w:t>
      </w:r>
    </w:p>
    <w:p>
      <w:pPr>
        <w:spacing w:before="240" w:after="80" w:lineRule="auto" w:line="360"/>
        <w:jc w:val="left"/>
      </w:pPr>
      <w:r>
        <w:rPr>
          <w:rFonts w:ascii="Times New Roman" w:hAnsi="Times New Roman"/>
          <w:b/>
          <w:i w:val="0"/>
          <w:color w:val="0F172A"/>
          <w:sz w:val="24"/>
        </w:rPr>
        <w:t>5.2  Eliminación de nulos críticos</w:t>
      </w:r>
    </w:p>
    <w:p>
      <w:pPr>
        <w:spacing w:before="0" w:after="120" w:lineRule="auto" w:line="360"/>
        <w:jc w:val="both"/>
      </w:pPr>
      <w:r>
        <w:rPr>
          <w:rFonts w:ascii="Times New Roman" w:hAnsi="Times New Roman"/>
          <w:b w:val="0"/>
          <w:i w:val="0"/>
          <w:sz w:val="22"/>
        </w:rPr>
        <w:t>Las variables Assets (total de activos) y NetIncomeLoss (beneficio neto) son imprescindibles para el cálculo de los ratios financieros principales. Se eliminaron todas las observaciones en las que alguna de estas dos variables presentaba valor nulo. Esta operación supuso la eliminación de 5.006 filas, reduciendo el dataset de 64.309 a 59.303 observaciones.</w:t>
      </w:r>
    </w:p>
    <w:p>
      <w:pPr>
        <w:spacing w:before="0" w:after="120" w:lineRule="auto" w:line="360"/>
        <w:jc w:val="both"/>
      </w:pPr>
      <w:r>
        <w:rPr>
          <w:rFonts w:ascii="Times New Roman" w:hAnsi="Times New Roman"/>
          <w:b w:val="0"/>
          <w:i w:val="0"/>
          <w:sz w:val="22"/>
        </w:rPr>
        <w:t>El análisis del porcentaje de nulos previo a la limpieza reveló tasas especialmente elevadas en Revenues (49,11%), InterestExpense (40,89%), AssetsCurrent (29,07%) y LiabilitiesCurrent (29,34%). En el caso de Assets, la tasa de nulos era mínima (0,68%), lo que confirma que es la variable mejor reportada por las empresas en sus formularios 10-K. Tras la limpieza, el porcentaje de nulos en todas las variables es del 0,0%.</w:t>
      </w:r>
    </w:p>
    <w:p>
      <w:pPr>
        <w:spacing w:before="240" w:after="80" w:lineRule="auto" w:line="360"/>
        <w:jc w:val="left"/>
      </w:pPr>
      <w:r>
        <w:rPr>
          <w:rFonts w:ascii="Times New Roman" w:hAnsi="Times New Roman"/>
          <w:b/>
          <w:i w:val="0"/>
          <w:color w:val="0F172A"/>
          <w:sz w:val="24"/>
        </w:rPr>
        <w:t>5.3  Filtro temporal</w:t>
      </w:r>
    </w:p>
    <w:p>
      <w:pPr>
        <w:spacing w:before="0" w:after="120" w:lineRule="auto" w:line="360"/>
        <w:jc w:val="both"/>
      </w:pPr>
      <w:r>
        <w:rPr>
          <w:rFonts w:ascii="Times New Roman" w:hAnsi="Times New Roman"/>
          <w:b w:val="0"/>
          <w:i w:val="0"/>
          <w:sz w:val="22"/>
        </w:rPr>
        <w:t>Se restringió el análisis al período comprendido entre 1993 y 2023, excluyendo los datos anteriores a 1993 —cuya cobertura en EDGAR es muy limitada— y los ejercicios posteriores a 2023, que en el momento de la extracción podían estar incompletos. Esta operación redujo el dataset en 10.215 filas adicionales, dejando 49.088 observaciones.</w:t>
      </w:r>
    </w:p>
    <w:p>
      <w:pPr>
        <w:spacing w:before="240" w:after="80" w:lineRule="auto" w:line="360"/>
        <w:jc w:val="left"/>
      </w:pPr>
      <w:r>
        <w:rPr>
          <w:rFonts w:ascii="Times New Roman" w:hAnsi="Times New Roman"/>
          <w:b/>
          <w:i w:val="0"/>
          <w:color w:val="0F172A"/>
          <w:sz w:val="24"/>
        </w:rPr>
        <w:t>5.4  Exclusión del sector financiero</w:t>
      </w:r>
    </w:p>
    <w:p>
      <w:pPr>
        <w:spacing w:before="0" w:after="120" w:lineRule="auto" w:line="360"/>
        <w:jc w:val="both"/>
      </w:pPr>
      <w:r>
        <w:rPr>
          <w:rFonts w:ascii="Times New Roman" w:hAnsi="Times New Roman"/>
          <w:b w:val="0"/>
          <w:i w:val="0"/>
          <w:sz w:val="22"/>
        </w:rPr>
        <w:t>Las entidades financieras —bancos, aseguradoras, sociedades de capital y similares— presentan una estructura de balance radicalmente diferente a la del sector no financiero: sus pasivos son principalmente depósitos de clientes, su capital regulatorio se rige por normas de Basilea, y los ratios de endeudamiento o liquidez tienen un significado económico distinto. Incluirlas junto a empresas manufactureras o de servicios introduciría ruido sistemático e invalidaría la comparabilidad entre observaciones.</w:t>
      </w:r>
    </w:p>
    <w:p>
      <w:pPr>
        <w:spacing w:before="0" w:after="120" w:lineRule="auto" w:line="360"/>
        <w:jc w:val="both"/>
      </w:pPr>
      <w:r>
        <w:rPr>
          <w:rFonts w:ascii="Times New Roman" w:hAnsi="Times New Roman"/>
          <w:b w:val="0"/>
          <w:i w:val="0"/>
          <w:sz w:val="22"/>
        </w:rPr>
        <w:t>Se aplicó un filtro de exclusión basado en diez palabras clave en el nombre de la empresa: bank, bancorp, financial, insurance, assurance, trust, savings, lending, mortgage y capital. Esta operación supuso la eliminación de 7.332 observaciones, reduciendo el dataset a 41.756 filas.</w:t>
      </w:r>
    </w:p>
    <w:p>
      <w:pPr>
        <w:spacing w:before="240" w:after="80" w:lineRule="auto" w:line="360"/>
        <w:jc w:val="left"/>
      </w:pPr>
      <w:r>
        <w:rPr>
          <w:rFonts w:ascii="Times New Roman" w:hAnsi="Times New Roman"/>
          <w:b/>
          <w:i w:val="0"/>
          <w:color w:val="0F172A"/>
          <w:sz w:val="24"/>
        </w:rPr>
        <w:t>5.5  Interpolación lineal</w:t>
      </w:r>
    </w:p>
    <w:p>
      <w:pPr>
        <w:spacing w:before="0" w:after="120" w:lineRule="auto" w:line="360"/>
        <w:jc w:val="both"/>
      </w:pPr>
      <w:r>
        <w:rPr>
          <w:rFonts w:ascii="Times New Roman" w:hAnsi="Times New Roman"/>
          <w:b w:val="0"/>
          <w:i w:val="0"/>
          <w:sz w:val="22"/>
        </w:rPr>
        <w:t>Tras los filtros anteriores, el dataset presentaba todavía valores nulos en diversas variables para determinados ejercicios intermedios de empresas que sí tenían datos en años anteriores y posteriores. Para estas situaciones, se aplicó interpolación lineal por empresa (agrupando por CIK): para cada variable numérica, los valores nulos situados entre dos valores conocidos se estimaron mediante la recta que une dichos valores.</w:t>
      </w:r>
    </w:p>
    <w:p>
      <w:pPr>
        <w:spacing w:before="0" w:after="120" w:lineRule="auto" w:line="360"/>
        <w:jc w:val="both"/>
      </w:pPr>
      <w:r>
        <w:rPr>
          <w:rFonts w:ascii="Times New Roman" w:hAnsi="Times New Roman"/>
          <w:b w:val="0"/>
          <w:i w:val="0"/>
          <w:sz w:val="22"/>
        </w:rPr>
        <w:t>Este enfoque es metodológicamente correcto para la naturaleza de los datos financieros, ya que asume que la evolución de las magnitudes del balance entre dos ejercicios conocidos es aproximadamente lineal. Tras la interpolación, se eliminaron las observaciones que seguían presentando nulos, lo que supuso la reducción más significativa del proceso: 23.090 filas, dejando el dataset en las 18.666 observaciones finales.</w:t>
      </w:r>
    </w:p>
    <w:p>
      <w:pPr>
        <w:spacing w:before="240" w:after="80" w:lineRule="auto" w:line="360"/>
        <w:jc w:val="left"/>
      </w:pPr>
      <w:r>
        <w:rPr>
          <w:rFonts w:ascii="Times New Roman" w:hAnsi="Times New Roman"/>
          <w:b/>
          <w:i w:val="0"/>
          <w:color w:val="0F172A"/>
          <w:sz w:val="24"/>
        </w:rPr>
        <w:t>5.6  Cálculo de los 11 ratios financieros</w:t>
      </w:r>
    </w:p>
    <w:p>
      <w:pPr>
        <w:spacing w:before="0" w:after="120" w:lineRule="auto" w:line="360"/>
        <w:jc w:val="both"/>
      </w:pPr>
      <w:r>
        <w:rPr>
          <w:rFonts w:ascii="Times New Roman" w:hAnsi="Times New Roman"/>
          <w:b w:val="0"/>
          <w:i w:val="0"/>
          <w:sz w:val="22"/>
        </w:rPr>
        <w:t>A partir de las nueve variables financieras brutas, se calcularon once ratios financieros agrupados en seis categorías analíticas. Los ratios financieros son indicadores adimensionales que permiten comparar empresas con independencia de su tamaño, sector geográfico o moneda de presentación, y constituyen la base estándar de la literatura académica sobre predicción de quiebra desde los trabajos de Altman (1968) y Beaver (1966).</w:t>
      </w:r>
    </w:p>
    <w:p>
      <w:pPr>
        <w:spacing w:before="0" w:after="0" w:lineRule="auto" w:line="240"/>
      </w:pPr>
    </w:p>
    <w:tbl>
      <w:tblPr>
        <w:tblStyle w:val="TableGrid"/>
        <w:tblW w:type="auto" w:w="0"/>
        <w:jc w:val="center"/>
        <w:tblLook w:firstColumn="1" w:firstRow="1" w:lastColumn="0" w:lastRow="0" w:noHBand="0" w:noVBand="1" w:val="04A0"/>
      </w:tblPr>
      <w:tblGrid>
        <w:gridCol w:w="3024"/>
        <w:gridCol w:w="3024"/>
        <w:gridCol w:w="3024"/>
      </w:tblGrid>
      <w:tr>
        <w:tc>
          <w:tcPr>
            <w:tcW w:type="dxa" w:w="3024"/>
            <w:shd w:val="clear" w:color="auto" w:fill="185FA5"/>
          </w:tcPr>
          <w:p>
            <w:pPr>
              <w:spacing w:before="40" w:after="40" w:lineRule="auto" w:line="288"/>
              <w:jc w:val="center"/>
            </w:pPr>
            <w:r>
              <w:rPr>
                <w:rFonts w:ascii="Times New Roman" w:hAnsi="Times New Roman"/>
                <w:b/>
                <w:i w:val="0"/>
                <w:color w:val="FFFFFF"/>
                <w:sz w:val="20"/>
              </w:rPr>
              <w:t>Categoría</w:t>
            </w:r>
          </w:p>
        </w:tc>
        <w:tc>
          <w:tcPr>
            <w:tcW w:type="dxa" w:w="3024"/>
            <w:shd w:val="clear" w:color="auto" w:fill="185FA5"/>
          </w:tcPr>
          <w:p>
            <w:pPr>
              <w:spacing w:before="40" w:after="40" w:lineRule="auto" w:line="288"/>
              <w:jc w:val="center"/>
            </w:pPr>
            <w:r>
              <w:rPr>
                <w:rFonts w:ascii="Times New Roman" w:hAnsi="Times New Roman"/>
                <w:b/>
                <w:i w:val="0"/>
                <w:color w:val="FFFFFF"/>
                <w:sz w:val="20"/>
              </w:rPr>
              <w:t>Ratio</w:t>
            </w:r>
          </w:p>
        </w:tc>
        <w:tc>
          <w:tcPr>
            <w:tcW w:type="dxa" w:w="3024"/>
            <w:shd w:val="clear" w:color="auto" w:fill="185FA5"/>
          </w:tcPr>
          <w:p>
            <w:pPr>
              <w:spacing w:before="40" w:after="40" w:lineRule="auto" w:line="288"/>
              <w:jc w:val="center"/>
            </w:pPr>
            <w:r>
              <w:rPr>
                <w:rFonts w:ascii="Times New Roman" w:hAnsi="Times New Roman"/>
                <w:b/>
                <w:i w:val="0"/>
                <w:color w:val="FFFFFF"/>
                <w:sz w:val="20"/>
              </w:rPr>
              <w:t>Fórmula</w:t>
            </w:r>
          </w:p>
        </w:tc>
      </w:tr>
      <w:tr>
        <w:tc>
          <w:tcPr>
            <w:tcW w:type="dxa" w:w="3024"/>
            <w:shd w:val="clear" w:color="auto" w:fill="F2F4F7"/>
          </w:tcPr>
          <w:p>
            <w:pPr>
              <w:spacing w:before="40" w:after="40" w:lineRule="auto" w:line="288"/>
              <w:jc w:val="left"/>
            </w:pPr>
            <w:r>
              <w:rPr>
                <w:rFonts w:ascii="Times New Roman" w:hAnsi="Times New Roman"/>
                <w:b w:val="0"/>
                <w:i w:val="0"/>
                <w:sz w:val="20"/>
              </w:rPr>
              <w:t>Liquidez</w:t>
            </w:r>
          </w:p>
        </w:tc>
        <w:tc>
          <w:tcPr>
            <w:tcW w:type="dxa" w:w="3024"/>
            <w:shd w:val="clear" w:color="auto" w:fill="F2F4F7"/>
          </w:tcPr>
          <w:p>
            <w:pPr>
              <w:spacing w:before="40" w:after="40" w:lineRule="auto" w:line="288"/>
              <w:jc w:val="left"/>
            </w:pPr>
            <w:r>
              <w:rPr>
                <w:rFonts w:ascii="Times New Roman" w:hAnsi="Times New Roman"/>
                <w:b w:val="0"/>
                <w:i w:val="0"/>
                <w:sz w:val="20"/>
              </w:rPr>
              <w:t>Liquidez corriente</w:t>
            </w:r>
          </w:p>
        </w:tc>
        <w:tc>
          <w:tcPr>
            <w:tcW w:type="dxa" w:w="3024"/>
            <w:shd w:val="clear" w:color="auto" w:fill="F2F4F7"/>
          </w:tcPr>
          <w:p>
            <w:pPr>
              <w:spacing w:before="40" w:after="40" w:lineRule="auto" w:line="288"/>
              <w:jc w:val="left"/>
            </w:pPr>
            <w:r>
              <w:rPr>
                <w:rFonts w:ascii="Times New Roman" w:hAnsi="Times New Roman"/>
                <w:b w:val="0"/>
                <w:i w:val="0"/>
                <w:sz w:val="20"/>
              </w:rPr>
              <w:t>AssetsCurrent / LiabilitiesCurrent</w:t>
            </w:r>
          </w:p>
        </w:tc>
      </w:tr>
      <w:tr>
        <w:tc>
          <w:tcPr>
            <w:tcW w:type="dxa" w:w="3024"/>
            <w:shd w:val="clear" w:color="auto" w:fill="FFFFFF"/>
          </w:tcPr>
          <w:p>
            <w:pPr>
              <w:spacing w:before="40" w:after="40" w:lineRule="auto" w:line="288"/>
              <w:jc w:val="left"/>
            </w:pPr>
            <w:r>
              <w:rPr>
                <w:rFonts w:ascii="Times New Roman" w:hAnsi="Times New Roman"/>
                <w:b w:val="0"/>
                <w:i w:val="0"/>
                <w:sz w:val="20"/>
              </w:rPr>
              <w:t>Liquidez</w:t>
            </w:r>
          </w:p>
        </w:tc>
        <w:tc>
          <w:tcPr>
            <w:tcW w:type="dxa" w:w="3024"/>
            <w:shd w:val="clear" w:color="auto" w:fill="FFFFFF"/>
          </w:tcPr>
          <w:p>
            <w:pPr>
              <w:spacing w:before="40" w:after="40" w:lineRule="auto" w:line="288"/>
              <w:jc w:val="left"/>
            </w:pPr>
            <w:r>
              <w:rPr>
                <w:rFonts w:ascii="Times New Roman" w:hAnsi="Times New Roman"/>
                <w:b w:val="0"/>
                <w:i w:val="0"/>
                <w:sz w:val="20"/>
              </w:rPr>
              <w:t>Liquidez inmediata</w:t>
            </w:r>
          </w:p>
        </w:tc>
        <w:tc>
          <w:tcPr>
            <w:tcW w:type="dxa" w:w="3024"/>
            <w:shd w:val="clear" w:color="auto" w:fill="FFFFFF"/>
          </w:tcPr>
          <w:p>
            <w:pPr>
              <w:spacing w:before="40" w:after="40" w:lineRule="auto" w:line="288"/>
              <w:jc w:val="left"/>
            </w:pPr>
            <w:r>
              <w:rPr>
                <w:rFonts w:ascii="Times New Roman" w:hAnsi="Times New Roman"/>
                <w:b w:val="0"/>
                <w:i w:val="0"/>
                <w:sz w:val="20"/>
              </w:rPr>
              <w:t>(AssetsCurrent × 0,70) / LiabilitiesCurrent</w:t>
            </w:r>
          </w:p>
        </w:tc>
      </w:tr>
      <w:tr>
        <w:tc>
          <w:tcPr>
            <w:tcW w:type="dxa" w:w="3024"/>
            <w:shd w:val="clear" w:color="auto" w:fill="F2F4F7"/>
          </w:tcPr>
          <w:p>
            <w:pPr>
              <w:spacing w:before="40" w:after="40" w:lineRule="auto" w:line="288"/>
              <w:jc w:val="left"/>
            </w:pPr>
            <w:r>
              <w:rPr>
                <w:rFonts w:ascii="Times New Roman" w:hAnsi="Times New Roman"/>
                <w:b w:val="0"/>
                <w:i w:val="0"/>
                <w:sz w:val="20"/>
              </w:rPr>
              <w:t>Endeudamiento</w:t>
            </w:r>
          </w:p>
        </w:tc>
        <w:tc>
          <w:tcPr>
            <w:tcW w:type="dxa" w:w="3024"/>
            <w:shd w:val="clear" w:color="auto" w:fill="F2F4F7"/>
          </w:tcPr>
          <w:p>
            <w:pPr>
              <w:spacing w:before="40" w:after="40" w:lineRule="auto" w:line="288"/>
              <w:jc w:val="left"/>
            </w:pPr>
            <w:r>
              <w:rPr>
                <w:rFonts w:ascii="Times New Roman" w:hAnsi="Times New Roman"/>
                <w:b w:val="0"/>
                <w:i w:val="0"/>
                <w:sz w:val="20"/>
              </w:rPr>
              <w:t>Endeudamiento</w:t>
            </w:r>
          </w:p>
        </w:tc>
        <w:tc>
          <w:tcPr>
            <w:tcW w:type="dxa" w:w="3024"/>
            <w:shd w:val="clear" w:color="auto" w:fill="F2F4F7"/>
          </w:tcPr>
          <w:p>
            <w:pPr>
              <w:spacing w:before="40" w:after="40" w:lineRule="auto" w:line="288"/>
              <w:jc w:val="left"/>
            </w:pPr>
            <w:r>
              <w:rPr>
                <w:rFonts w:ascii="Times New Roman" w:hAnsi="Times New Roman"/>
                <w:b w:val="0"/>
                <w:i w:val="0"/>
                <w:sz w:val="20"/>
              </w:rPr>
              <w:t>Liabilities / Assets</w:t>
            </w:r>
          </w:p>
        </w:tc>
      </w:tr>
      <w:tr>
        <w:tc>
          <w:tcPr>
            <w:tcW w:type="dxa" w:w="3024"/>
            <w:shd w:val="clear" w:color="auto" w:fill="FFFFFF"/>
          </w:tcPr>
          <w:p>
            <w:pPr>
              <w:spacing w:before="40" w:after="40" w:lineRule="auto" w:line="288"/>
              <w:jc w:val="left"/>
            </w:pPr>
            <w:r>
              <w:rPr>
                <w:rFonts w:ascii="Times New Roman" w:hAnsi="Times New Roman"/>
                <w:b w:val="0"/>
                <w:i w:val="0"/>
                <w:sz w:val="20"/>
              </w:rPr>
              <w:t>Endeudamiento</w:t>
            </w:r>
          </w:p>
        </w:tc>
        <w:tc>
          <w:tcPr>
            <w:tcW w:type="dxa" w:w="3024"/>
            <w:shd w:val="clear" w:color="auto" w:fill="FFFFFF"/>
          </w:tcPr>
          <w:p>
            <w:pPr>
              <w:spacing w:before="40" w:after="40" w:lineRule="auto" w:line="288"/>
              <w:jc w:val="left"/>
            </w:pPr>
            <w:r>
              <w:rPr>
                <w:rFonts w:ascii="Times New Roman" w:hAnsi="Times New Roman"/>
                <w:b w:val="0"/>
                <w:i w:val="0"/>
                <w:sz w:val="20"/>
              </w:rPr>
              <w:t>Autonomía financiera</w:t>
            </w:r>
          </w:p>
        </w:tc>
        <w:tc>
          <w:tcPr>
            <w:tcW w:type="dxa" w:w="3024"/>
            <w:shd w:val="clear" w:color="auto" w:fill="FFFFFF"/>
          </w:tcPr>
          <w:p>
            <w:pPr>
              <w:spacing w:before="40" w:after="40" w:lineRule="auto" w:line="288"/>
              <w:jc w:val="left"/>
            </w:pPr>
            <w:r>
              <w:rPr>
                <w:rFonts w:ascii="Times New Roman" w:hAnsi="Times New Roman"/>
                <w:b w:val="0"/>
                <w:i w:val="0"/>
                <w:sz w:val="20"/>
              </w:rPr>
              <w:t>StockholdersEquity / Assets</w:t>
            </w:r>
          </w:p>
        </w:tc>
      </w:tr>
      <w:tr>
        <w:tc>
          <w:tcPr>
            <w:tcW w:type="dxa" w:w="3024"/>
            <w:shd w:val="clear" w:color="auto" w:fill="F2F4F7"/>
          </w:tcPr>
          <w:p>
            <w:pPr>
              <w:spacing w:before="40" w:after="40" w:lineRule="auto" w:line="288"/>
              <w:jc w:val="left"/>
            </w:pPr>
            <w:r>
              <w:rPr>
                <w:rFonts w:ascii="Times New Roman" w:hAnsi="Times New Roman"/>
                <w:b w:val="0"/>
                <w:i w:val="0"/>
                <w:sz w:val="20"/>
              </w:rPr>
              <w:t>Rentabilidad</w:t>
            </w:r>
          </w:p>
        </w:tc>
        <w:tc>
          <w:tcPr>
            <w:tcW w:type="dxa" w:w="3024"/>
            <w:shd w:val="clear" w:color="auto" w:fill="F2F4F7"/>
          </w:tcPr>
          <w:p>
            <w:pPr>
              <w:spacing w:before="40" w:after="40" w:lineRule="auto" w:line="288"/>
              <w:jc w:val="left"/>
            </w:pPr>
            <w:r>
              <w:rPr>
                <w:rFonts w:ascii="Times New Roman" w:hAnsi="Times New Roman"/>
                <w:b w:val="0"/>
                <w:i w:val="0"/>
                <w:sz w:val="20"/>
              </w:rPr>
              <w:t>ROA</w:t>
            </w:r>
          </w:p>
        </w:tc>
        <w:tc>
          <w:tcPr>
            <w:tcW w:type="dxa" w:w="3024"/>
            <w:shd w:val="clear" w:color="auto" w:fill="F2F4F7"/>
          </w:tcPr>
          <w:p>
            <w:pPr>
              <w:spacing w:before="40" w:after="40" w:lineRule="auto" w:line="288"/>
              <w:jc w:val="left"/>
            </w:pPr>
            <w:r>
              <w:rPr>
                <w:rFonts w:ascii="Times New Roman" w:hAnsi="Times New Roman"/>
                <w:b w:val="0"/>
                <w:i w:val="0"/>
                <w:sz w:val="20"/>
              </w:rPr>
              <w:t>NetIncomeLoss / Assets</w:t>
            </w:r>
          </w:p>
        </w:tc>
      </w:tr>
      <w:tr>
        <w:tc>
          <w:tcPr>
            <w:tcW w:type="dxa" w:w="3024"/>
            <w:shd w:val="clear" w:color="auto" w:fill="FFFFFF"/>
          </w:tcPr>
          <w:p>
            <w:pPr>
              <w:spacing w:before="40" w:after="40" w:lineRule="auto" w:line="288"/>
              <w:jc w:val="left"/>
            </w:pPr>
            <w:r>
              <w:rPr>
                <w:rFonts w:ascii="Times New Roman" w:hAnsi="Times New Roman"/>
                <w:b w:val="0"/>
                <w:i w:val="0"/>
                <w:sz w:val="20"/>
              </w:rPr>
              <w:t>Rentabilidad</w:t>
            </w:r>
          </w:p>
        </w:tc>
        <w:tc>
          <w:tcPr>
            <w:tcW w:type="dxa" w:w="3024"/>
            <w:shd w:val="clear" w:color="auto" w:fill="FFFFFF"/>
          </w:tcPr>
          <w:p>
            <w:pPr>
              <w:spacing w:before="40" w:after="40" w:lineRule="auto" w:line="288"/>
              <w:jc w:val="left"/>
            </w:pPr>
            <w:r>
              <w:rPr>
                <w:rFonts w:ascii="Times New Roman" w:hAnsi="Times New Roman"/>
                <w:b w:val="0"/>
                <w:i w:val="0"/>
                <w:sz w:val="20"/>
              </w:rPr>
              <w:t>ROE</w:t>
            </w:r>
          </w:p>
        </w:tc>
        <w:tc>
          <w:tcPr>
            <w:tcW w:type="dxa" w:w="3024"/>
            <w:shd w:val="clear" w:color="auto" w:fill="FFFFFF"/>
          </w:tcPr>
          <w:p>
            <w:pPr>
              <w:spacing w:before="40" w:after="40" w:lineRule="auto" w:line="288"/>
              <w:jc w:val="left"/>
            </w:pPr>
            <w:r>
              <w:rPr>
                <w:rFonts w:ascii="Times New Roman" w:hAnsi="Times New Roman"/>
                <w:b w:val="0"/>
                <w:i w:val="0"/>
                <w:sz w:val="20"/>
              </w:rPr>
              <w:t>NetIncomeLoss / StockholdersEquity</w:t>
            </w:r>
          </w:p>
        </w:tc>
      </w:tr>
      <w:tr>
        <w:tc>
          <w:tcPr>
            <w:tcW w:type="dxa" w:w="3024"/>
            <w:shd w:val="clear" w:color="auto" w:fill="F2F4F7"/>
          </w:tcPr>
          <w:p>
            <w:pPr>
              <w:spacing w:before="40" w:after="40" w:lineRule="auto" w:line="288"/>
              <w:jc w:val="left"/>
            </w:pPr>
            <w:r>
              <w:rPr>
                <w:rFonts w:ascii="Times New Roman" w:hAnsi="Times New Roman"/>
                <w:b w:val="0"/>
                <w:i w:val="0"/>
                <w:sz w:val="20"/>
              </w:rPr>
              <w:t>Rentabilidad</w:t>
            </w:r>
          </w:p>
        </w:tc>
        <w:tc>
          <w:tcPr>
            <w:tcW w:type="dxa" w:w="3024"/>
            <w:shd w:val="clear" w:color="auto" w:fill="F2F4F7"/>
          </w:tcPr>
          <w:p>
            <w:pPr>
              <w:spacing w:before="40" w:after="40" w:lineRule="auto" w:line="288"/>
              <w:jc w:val="left"/>
            </w:pPr>
            <w:r>
              <w:rPr>
                <w:rFonts w:ascii="Times New Roman" w:hAnsi="Times New Roman"/>
                <w:b w:val="0"/>
                <w:i w:val="0"/>
                <w:sz w:val="20"/>
              </w:rPr>
              <w:t>Margen neto</w:t>
            </w:r>
          </w:p>
        </w:tc>
        <w:tc>
          <w:tcPr>
            <w:tcW w:type="dxa" w:w="3024"/>
            <w:shd w:val="clear" w:color="auto" w:fill="F2F4F7"/>
          </w:tcPr>
          <w:p>
            <w:pPr>
              <w:spacing w:before="40" w:after="40" w:lineRule="auto" w:line="288"/>
              <w:jc w:val="left"/>
            </w:pPr>
            <w:r>
              <w:rPr>
                <w:rFonts w:ascii="Times New Roman" w:hAnsi="Times New Roman"/>
                <w:b w:val="0"/>
                <w:i w:val="0"/>
                <w:sz w:val="20"/>
              </w:rPr>
              <w:t>NetIncomeLoss / Revenues</w:t>
            </w:r>
          </w:p>
        </w:tc>
      </w:tr>
      <w:tr>
        <w:tc>
          <w:tcPr>
            <w:tcW w:type="dxa" w:w="3024"/>
            <w:shd w:val="clear" w:color="auto" w:fill="FFFFFF"/>
          </w:tcPr>
          <w:p>
            <w:pPr>
              <w:spacing w:before="40" w:after="40" w:lineRule="auto" w:line="288"/>
              <w:jc w:val="left"/>
            </w:pPr>
            <w:r>
              <w:rPr>
                <w:rFonts w:ascii="Times New Roman" w:hAnsi="Times New Roman"/>
                <w:b w:val="0"/>
                <w:i w:val="0"/>
                <w:sz w:val="20"/>
              </w:rPr>
              <w:t>Cobertura deuda</w:t>
            </w:r>
          </w:p>
        </w:tc>
        <w:tc>
          <w:tcPr>
            <w:tcW w:type="dxa" w:w="3024"/>
            <w:shd w:val="clear" w:color="auto" w:fill="FFFFFF"/>
          </w:tcPr>
          <w:p>
            <w:pPr>
              <w:spacing w:before="40" w:after="40" w:lineRule="auto" w:line="288"/>
              <w:jc w:val="left"/>
            </w:pPr>
            <w:r>
              <w:rPr>
                <w:rFonts w:ascii="Times New Roman" w:hAnsi="Times New Roman"/>
                <w:b w:val="0"/>
                <w:i w:val="0"/>
                <w:sz w:val="20"/>
              </w:rPr>
              <w:t>Cobertura intereses</w:t>
            </w:r>
          </w:p>
        </w:tc>
        <w:tc>
          <w:tcPr>
            <w:tcW w:type="dxa" w:w="3024"/>
            <w:shd w:val="clear" w:color="auto" w:fill="FFFFFF"/>
          </w:tcPr>
          <w:p>
            <w:pPr>
              <w:spacing w:before="40" w:after="40" w:lineRule="auto" w:line="288"/>
              <w:jc w:val="left"/>
            </w:pPr>
            <w:r>
              <w:rPr>
                <w:rFonts w:ascii="Times New Roman" w:hAnsi="Times New Roman"/>
                <w:b w:val="0"/>
                <w:i w:val="0"/>
                <w:sz w:val="20"/>
              </w:rPr>
              <w:t>OperatingIncomeLoss / InterestExpense</w:t>
            </w:r>
          </w:p>
        </w:tc>
      </w:tr>
      <w:tr>
        <w:tc>
          <w:tcPr>
            <w:tcW w:type="dxa" w:w="3024"/>
            <w:shd w:val="clear" w:color="auto" w:fill="F2F4F7"/>
          </w:tcPr>
          <w:p>
            <w:pPr>
              <w:spacing w:before="40" w:after="40" w:lineRule="auto" w:line="288"/>
              <w:jc w:val="left"/>
            </w:pPr>
            <w:r>
              <w:rPr>
                <w:rFonts w:ascii="Times New Roman" w:hAnsi="Times New Roman"/>
                <w:b w:val="0"/>
                <w:i w:val="0"/>
                <w:sz w:val="20"/>
              </w:rPr>
              <w:t>Cobertura deuda</w:t>
            </w:r>
          </w:p>
        </w:tc>
        <w:tc>
          <w:tcPr>
            <w:tcW w:type="dxa" w:w="3024"/>
            <w:shd w:val="clear" w:color="auto" w:fill="F2F4F7"/>
          </w:tcPr>
          <w:p>
            <w:pPr>
              <w:spacing w:before="40" w:after="40" w:lineRule="auto" w:line="288"/>
              <w:jc w:val="left"/>
            </w:pPr>
            <w:r>
              <w:rPr>
                <w:rFonts w:ascii="Times New Roman" w:hAnsi="Times New Roman"/>
                <w:b w:val="0"/>
                <w:i w:val="0"/>
                <w:sz w:val="20"/>
              </w:rPr>
              <w:t>Cashflow / Deuda</w:t>
            </w:r>
          </w:p>
        </w:tc>
        <w:tc>
          <w:tcPr>
            <w:tcW w:type="dxa" w:w="3024"/>
            <w:shd w:val="clear" w:color="auto" w:fill="F2F4F7"/>
          </w:tcPr>
          <w:p>
            <w:pPr>
              <w:spacing w:before="40" w:after="40" w:lineRule="auto" w:line="288"/>
              <w:jc w:val="left"/>
            </w:pPr>
            <w:r>
              <w:rPr>
                <w:rFonts w:ascii="Times New Roman" w:hAnsi="Times New Roman"/>
                <w:b w:val="0"/>
                <w:i w:val="0"/>
                <w:sz w:val="20"/>
              </w:rPr>
              <w:t>NetIncomeLoss / Liabilities</w:t>
            </w:r>
          </w:p>
        </w:tc>
      </w:tr>
      <w:tr>
        <w:tc>
          <w:tcPr>
            <w:tcW w:type="dxa" w:w="3024"/>
            <w:shd w:val="clear" w:color="auto" w:fill="FFFFFF"/>
          </w:tcPr>
          <w:p>
            <w:pPr>
              <w:spacing w:before="40" w:after="40" w:lineRule="auto" w:line="288"/>
              <w:jc w:val="left"/>
            </w:pPr>
            <w:r>
              <w:rPr>
                <w:rFonts w:ascii="Times New Roman" w:hAnsi="Times New Roman"/>
                <w:b w:val="0"/>
                <w:i w:val="0"/>
                <w:sz w:val="20"/>
              </w:rPr>
              <w:t>Eficiencia</w:t>
            </w:r>
          </w:p>
        </w:tc>
        <w:tc>
          <w:tcPr>
            <w:tcW w:type="dxa" w:w="3024"/>
            <w:shd w:val="clear" w:color="auto" w:fill="FFFFFF"/>
          </w:tcPr>
          <w:p>
            <w:pPr>
              <w:spacing w:before="40" w:after="40" w:lineRule="auto" w:line="288"/>
              <w:jc w:val="left"/>
            </w:pPr>
            <w:r>
              <w:rPr>
                <w:rFonts w:ascii="Times New Roman" w:hAnsi="Times New Roman"/>
                <w:b w:val="0"/>
                <w:i w:val="0"/>
                <w:sz w:val="20"/>
              </w:rPr>
              <w:t>Rotación activos</w:t>
            </w:r>
          </w:p>
        </w:tc>
        <w:tc>
          <w:tcPr>
            <w:tcW w:type="dxa" w:w="3024"/>
            <w:shd w:val="clear" w:color="auto" w:fill="FFFFFF"/>
          </w:tcPr>
          <w:p>
            <w:pPr>
              <w:spacing w:before="40" w:after="40" w:lineRule="auto" w:line="288"/>
              <w:jc w:val="left"/>
            </w:pPr>
            <w:r>
              <w:rPr>
                <w:rFonts w:ascii="Times New Roman" w:hAnsi="Times New Roman"/>
                <w:b w:val="0"/>
                <w:i w:val="0"/>
                <w:sz w:val="20"/>
              </w:rPr>
              <w:t>Revenues / Assets</w:t>
            </w:r>
          </w:p>
        </w:tc>
      </w:tr>
      <w:tr>
        <w:tc>
          <w:tcPr>
            <w:tcW w:type="dxa" w:w="3024"/>
            <w:shd w:val="clear" w:color="auto" w:fill="F2F4F7"/>
          </w:tcPr>
          <w:p>
            <w:pPr>
              <w:spacing w:before="40" w:after="40" w:lineRule="auto" w:line="288"/>
              <w:jc w:val="left"/>
            </w:pPr>
            <w:r>
              <w:rPr>
                <w:rFonts w:ascii="Times New Roman" w:hAnsi="Times New Roman"/>
                <w:b w:val="0"/>
                <w:i w:val="0"/>
                <w:sz w:val="20"/>
              </w:rPr>
              <w:t>Tamaño</w:t>
            </w:r>
          </w:p>
        </w:tc>
        <w:tc>
          <w:tcPr>
            <w:tcW w:type="dxa" w:w="3024"/>
            <w:shd w:val="clear" w:color="auto" w:fill="F2F4F7"/>
          </w:tcPr>
          <w:p>
            <w:pPr>
              <w:spacing w:before="40" w:after="40" w:lineRule="auto" w:line="288"/>
              <w:jc w:val="left"/>
            </w:pPr>
            <w:r>
              <w:rPr>
                <w:rFonts w:ascii="Times New Roman" w:hAnsi="Times New Roman"/>
                <w:b w:val="0"/>
                <w:i w:val="0"/>
                <w:sz w:val="20"/>
              </w:rPr>
              <w:t>Log activos</w:t>
            </w:r>
          </w:p>
        </w:tc>
        <w:tc>
          <w:tcPr>
            <w:tcW w:type="dxa" w:w="3024"/>
            <w:shd w:val="clear" w:color="auto" w:fill="F2F4F7"/>
          </w:tcPr>
          <w:p>
            <w:pPr>
              <w:spacing w:before="40" w:after="40" w:lineRule="auto" w:line="288"/>
              <w:jc w:val="left"/>
            </w:pPr>
            <w:r>
              <w:rPr>
                <w:rFonts w:ascii="Times New Roman" w:hAnsi="Times New Roman"/>
                <w:b w:val="0"/>
                <w:i w:val="0"/>
                <w:sz w:val="20"/>
              </w:rPr>
              <w:t>log(Assets)</w:t>
            </w:r>
          </w:p>
        </w:tc>
      </w:tr>
    </w:tbl>
    <w:p>
      <w:pPr>
        <w:spacing w:before="0" w:after="0" w:lineRule="auto" w:line="240"/>
      </w:pPr>
    </w:p>
    <w:p>
      <w:pPr>
        <w:spacing w:before="0" w:after="120" w:lineRule="auto" w:line="360"/>
        <w:jc w:val="both"/>
      </w:pPr>
      <w:r>
        <w:rPr>
          <w:rFonts w:ascii="Times New Roman" w:hAnsi="Times New Roman"/>
          <w:b w:val="0"/>
          <w:i w:val="0"/>
          <w:sz w:val="22"/>
        </w:rPr>
        <w:t>La transformación logarítmica aplicada a los activos totales responde a la necesidad de corregir la fuerte asimetría positiva de su distribución, que oscila desde miles hasta billones de dólares. Tras la transformación, la variable sigue una distribución aproximadamente normal, mucho más adecuada para los modelos estadísticos. Tras el cálculo de todos los ratios, los valores infinitos —que pueden aparecer al dividir entre cero— se sustituyeron por valores nulos y se eliminaron las observaciones que los contenían.</w:t>
      </w:r>
    </w:p>
    <w:p>
      <w:pPr>
        <w:spacing w:before="240" w:after="80" w:lineRule="auto" w:line="360"/>
        <w:jc w:val="left"/>
      </w:pPr>
      <w:r>
        <w:rPr>
          <w:rFonts w:ascii="Times New Roman" w:hAnsi="Times New Roman"/>
          <w:b/>
          <w:i w:val="0"/>
          <w:color w:val="0F172A"/>
          <w:sz w:val="24"/>
        </w:rPr>
        <w:t>5.7  Construcción de la variable objetivo</w:t>
      </w:r>
    </w:p>
    <w:p>
      <w:pPr>
        <w:spacing w:before="0" w:after="120" w:lineRule="auto" w:line="360"/>
        <w:jc w:val="both"/>
      </w:pPr>
      <w:r>
        <w:rPr>
          <w:rFonts w:ascii="Times New Roman" w:hAnsi="Times New Roman"/>
          <w:b w:val="0"/>
          <w:i w:val="0"/>
          <w:sz w:val="22"/>
        </w:rPr>
        <w:t>La variable objetivo binaria quebro indica si una empresa ha presentado una declaración de quiebra bajo el Chapter 11 del código de quiebras de los Estados Unidos en algún momento de su historia registrada en EDGAR.</w:t>
      </w:r>
    </w:p>
    <w:p>
      <w:pPr>
        <w:spacing w:before="0" w:after="120" w:lineRule="auto" w:line="360"/>
        <w:jc w:val="both"/>
      </w:pPr>
      <w:r>
        <w:rPr>
          <w:rFonts w:ascii="Times New Roman" w:hAnsi="Times New Roman"/>
          <w:b w:val="0"/>
          <w:i w:val="0"/>
          <w:sz w:val="22"/>
        </w:rPr>
        <w:t>La identificación se realizó consultando el motor de búsqueda de texto completo de EDGAR (EFTS — EDGAR Full Text Search), que indexa el contenido de los formularios 8-K (comunicaciones de hechos relevantes). Se realizó una búsqueda paginada de todos los formularios 8-K que contuvieran la expresión literal "chapter 11" en el período 1993-2023, obteniendo el conjunto máximo disponible de 10.000 registros. Para cada registro se extrajeron los CIKs de las empresas implicadas, construyendo así el conjunto de empresas en quiebra. Finalmente, se creó la variable quebro asignando el valor 1 a las observaciones cuyo CIK pertenecía a dicho conjunto y 0 al resto.</w:t>
      </w:r>
    </w:p>
    <w:p>
      <w:pPr>
        <w:spacing w:before="240" w:after="80" w:lineRule="auto" w:line="360"/>
        <w:jc w:val="left"/>
      </w:pPr>
      <w:r>
        <w:rPr>
          <w:rFonts w:ascii="Times New Roman" w:hAnsi="Times New Roman"/>
          <w:b/>
          <w:i w:val="0"/>
          <w:color w:val="0F172A"/>
          <w:sz w:val="24"/>
        </w:rPr>
        <w:t>5.8  Integración de las tres fuentes</w:t>
      </w:r>
    </w:p>
    <w:p>
      <w:pPr>
        <w:spacing w:before="0" w:after="120" w:lineRule="auto" w:line="360"/>
        <w:jc w:val="both"/>
      </w:pPr>
      <w:r>
        <w:rPr>
          <w:rFonts w:ascii="Times New Roman" w:hAnsi="Times New Roman"/>
          <w:b w:val="0"/>
          <w:i w:val="0"/>
          <w:sz w:val="22"/>
        </w:rPr>
        <w:t>Una vez procesados por separado los datos de EDGAR (limpiados y transformados), Eurostat y Banco de España, se procedió a su integración en el dataset final. La unión con los datos de Eurostat se realizó mediante un merge sobre la columna del año fiscal (fy), incorporando el índice anual de quiebras empresariales en España como variable de contexto macroeconómico. El dataset final, con 18.666 filas y 25 columnas, se almacenó en Datos_CSV/dataset_final_completo.csv.</w:t>
      </w:r>
    </w:p>
    <w:p>
      <w:r>
        <w:br w:type="page"/>
      </w:r>
    </w:p>
    <w:p>
      <w:pPr>
        <w:spacing w:before="360" w:after="160" w:lineRule="auto" w:line="360"/>
        <w:jc w:val="left"/>
        <w:pBdr>
          <w:bottom w:val="single" w:sz="6" w:space="4" w:color="185FA5"/>
        </w:pBdr>
      </w:pPr>
      <w:r>
        <w:rPr>
          <w:rFonts w:ascii="Times New Roman" w:hAnsi="Times New Roman"/>
          <w:b/>
          <w:i w:val="0"/>
          <w:color w:val="185FA5"/>
          <w:sz w:val="28"/>
        </w:rPr>
        <w:t>6. Carga e Infraestructura</w:t>
      </w:r>
    </w:p>
    <w:p>
      <w:pPr>
        <w:spacing w:before="0" w:after="120" w:lineRule="auto" w:line="360"/>
        <w:jc w:val="both"/>
      </w:pPr>
      <w:r>
        <w:rPr>
          <w:rFonts w:ascii="Times New Roman" w:hAnsi="Times New Roman"/>
          <w:b w:val="0"/>
          <w:i w:val="0"/>
          <w:sz w:val="22"/>
        </w:rPr>
        <w:t>El dataset final se ha cargado en una base de datos relacional SQLite mediante el script TFG_BaseDatos_SQL.py. La elección de SQLite responde a criterios de simplicidad y portabilidad: al estar integrado en la librería estándar de Python (sqlite3), no requiere la instalación ni configuración de ningún servidor de base de datos externo, y el archivo resultante (TFG_BaseDatos.db, 73 MB) es un único fichero autocontenido y transportable.</w:t>
      </w:r>
    </w:p>
    <w:p>
      <w:pPr>
        <w:spacing w:before="0" w:after="0" w:lineRule="auto" w:line="240"/>
      </w:pPr>
    </w:p>
    <w:tbl>
      <w:tblPr>
        <w:tblStyle w:val="TableGrid"/>
        <w:tblW w:type="auto" w:w="0"/>
        <w:jc w:val="center"/>
        <w:tblLook w:firstColumn="1" w:firstRow="1" w:lastColumn="0" w:lastRow="0" w:noHBand="0" w:noVBand="1" w:val="04A0"/>
      </w:tblPr>
      <w:tblGrid>
        <w:gridCol w:w="3024"/>
        <w:gridCol w:w="3024"/>
        <w:gridCol w:w="3024"/>
      </w:tblGrid>
      <w:tr>
        <w:tc>
          <w:tcPr>
            <w:tcW w:type="dxa" w:w="3024"/>
            <w:shd w:val="clear" w:color="auto" w:fill="185FA5"/>
          </w:tcPr>
          <w:p>
            <w:pPr>
              <w:spacing w:before="40" w:after="40" w:lineRule="auto" w:line="288"/>
              <w:jc w:val="center"/>
            </w:pPr>
            <w:r>
              <w:rPr>
                <w:rFonts w:ascii="Times New Roman" w:hAnsi="Times New Roman"/>
                <w:b/>
                <w:i w:val="0"/>
                <w:color w:val="FFFFFF"/>
                <w:sz w:val="20"/>
              </w:rPr>
              <w:t>Tabla</w:t>
            </w:r>
          </w:p>
        </w:tc>
        <w:tc>
          <w:tcPr>
            <w:tcW w:type="dxa" w:w="3024"/>
            <w:shd w:val="clear" w:color="auto" w:fill="185FA5"/>
          </w:tcPr>
          <w:p>
            <w:pPr>
              <w:spacing w:before="40" w:after="40" w:lineRule="auto" w:line="288"/>
              <w:jc w:val="center"/>
            </w:pPr>
            <w:r>
              <w:rPr>
                <w:rFonts w:ascii="Times New Roman" w:hAnsi="Times New Roman"/>
                <w:b/>
                <w:i w:val="0"/>
                <w:color w:val="FFFFFF"/>
                <w:sz w:val="20"/>
              </w:rPr>
              <w:t>Contenido</w:t>
            </w:r>
          </w:p>
        </w:tc>
        <w:tc>
          <w:tcPr>
            <w:tcW w:type="dxa" w:w="3024"/>
            <w:shd w:val="clear" w:color="auto" w:fill="185FA5"/>
          </w:tcPr>
          <w:p>
            <w:pPr>
              <w:spacing w:before="40" w:after="40" w:lineRule="auto" w:line="288"/>
              <w:jc w:val="center"/>
            </w:pPr>
            <w:r>
              <w:rPr>
                <w:rFonts w:ascii="Times New Roman" w:hAnsi="Times New Roman"/>
                <w:b/>
                <w:i w:val="0"/>
                <w:color w:val="FFFFFF"/>
                <w:sz w:val="20"/>
              </w:rPr>
              <w:t>Origen</w:t>
            </w:r>
          </w:p>
        </w:tc>
      </w:tr>
      <w:tr>
        <w:tc>
          <w:tcPr>
            <w:tcW w:type="dxa" w:w="3024"/>
            <w:shd w:val="clear" w:color="auto" w:fill="F2F4F7"/>
          </w:tcPr>
          <w:p>
            <w:pPr>
              <w:spacing w:before="40" w:after="40" w:lineRule="auto" w:line="288"/>
              <w:jc w:val="left"/>
            </w:pPr>
            <w:r>
              <w:rPr>
                <w:rFonts w:ascii="Times New Roman" w:hAnsi="Times New Roman"/>
                <w:b w:val="0"/>
                <w:i w:val="0"/>
                <w:sz w:val="20"/>
              </w:rPr>
              <w:t>empresas_financiero</w:t>
            </w:r>
          </w:p>
        </w:tc>
        <w:tc>
          <w:tcPr>
            <w:tcW w:type="dxa" w:w="3024"/>
            <w:shd w:val="clear" w:color="auto" w:fill="F2F4F7"/>
          </w:tcPr>
          <w:p>
            <w:pPr>
              <w:spacing w:before="40" w:after="40" w:lineRule="auto" w:line="288"/>
              <w:jc w:val="left"/>
            </w:pPr>
            <w:r>
              <w:rPr>
                <w:rFonts w:ascii="Times New Roman" w:hAnsi="Times New Roman"/>
                <w:b w:val="0"/>
                <w:i w:val="0"/>
                <w:sz w:val="20"/>
              </w:rPr>
              <w:t>Dataset principal con los 11 ratios, la variable objetivo y las variables originales</w:t>
            </w:r>
          </w:p>
        </w:tc>
        <w:tc>
          <w:tcPr>
            <w:tcW w:type="dxa" w:w="3024"/>
            <w:shd w:val="clear" w:color="auto" w:fill="F2F4F7"/>
          </w:tcPr>
          <w:p>
            <w:pPr>
              <w:spacing w:before="40" w:after="40" w:lineRule="auto" w:line="288"/>
              <w:jc w:val="left"/>
            </w:pPr>
            <w:r>
              <w:rPr>
                <w:rFonts w:ascii="Times New Roman" w:hAnsi="Times New Roman"/>
                <w:b w:val="0"/>
                <w:i w:val="0"/>
                <w:sz w:val="20"/>
              </w:rPr>
              <w:t>dataset_final_completo.csv</w:t>
            </w:r>
          </w:p>
        </w:tc>
      </w:tr>
      <w:tr>
        <w:tc>
          <w:tcPr>
            <w:tcW w:type="dxa" w:w="3024"/>
            <w:shd w:val="clear" w:color="auto" w:fill="FFFFFF"/>
          </w:tcPr>
          <w:p>
            <w:pPr>
              <w:spacing w:before="40" w:after="40" w:lineRule="auto" w:line="288"/>
              <w:jc w:val="left"/>
            </w:pPr>
            <w:r>
              <w:rPr>
                <w:rFonts w:ascii="Times New Roman" w:hAnsi="Times New Roman"/>
                <w:b w:val="0"/>
                <w:i w:val="0"/>
                <w:sz w:val="20"/>
              </w:rPr>
              <w:t>eurostat_quiebras</w:t>
            </w:r>
          </w:p>
        </w:tc>
        <w:tc>
          <w:tcPr>
            <w:tcW w:type="dxa" w:w="3024"/>
            <w:shd w:val="clear" w:color="auto" w:fill="FFFFFF"/>
          </w:tcPr>
          <w:p>
            <w:pPr>
              <w:spacing w:before="40" w:after="40" w:lineRule="auto" w:line="288"/>
              <w:jc w:val="left"/>
            </w:pPr>
            <w:r>
              <w:rPr>
                <w:rFonts w:ascii="Times New Roman" w:hAnsi="Times New Roman"/>
                <w:b w:val="0"/>
                <w:i w:val="0"/>
                <w:sz w:val="20"/>
              </w:rPr>
              <w:t>Índice anual de quiebras por país europeo (Eurostat)</w:t>
            </w:r>
          </w:p>
        </w:tc>
        <w:tc>
          <w:tcPr>
            <w:tcW w:type="dxa" w:w="3024"/>
            <w:shd w:val="clear" w:color="auto" w:fill="FFFFFF"/>
          </w:tcPr>
          <w:p>
            <w:pPr>
              <w:spacing w:before="40" w:after="40" w:lineRule="auto" w:line="288"/>
              <w:jc w:val="left"/>
            </w:pPr>
            <w:r>
              <w:rPr>
                <w:rFonts w:ascii="Times New Roman" w:hAnsi="Times New Roman"/>
                <w:b w:val="0"/>
                <w:i w:val="0"/>
                <w:sz w:val="20"/>
              </w:rPr>
              <w:t>eurostat_quiebras.csv</w:t>
            </w:r>
          </w:p>
        </w:tc>
      </w:tr>
    </w:tbl>
    <w:p>
      <w:pPr>
        <w:spacing w:before="0" w:after="0" w:lineRule="auto" w:line="240"/>
      </w:pPr>
    </w:p>
    <w:p>
      <w:pPr>
        <w:spacing w:before="0" w:after="120" w:lineRule="auto" w:line="360"/>
        <w:jc w:val="both"/>
      </w:pPr>
      <w:r>
        <w:rPr>
          <w:rFonts w:ascii="Times New Roman" w:hAnsi="Times New Roman"/>
          <w:b w:val="0"/>
          <w:i w:val="0"/>
          <w:sz w:val="22"/>
        </w:rPr>
        <w:t>El script implementa la carga con la opción if_exists="replace", lo que permite ejecutarlo tantas veces como sea necesario sin duplicar datos. Tras la carga, se realiza una consulta de verificación (SELECT COUNT(*) FROM empresas_financiero) para confirmar que el número de registros almacenados coincide con el del archivo CSV de origen, garantizando la integridad del proceso. La base de datos SQLite facilita la realización de consultas analíticas mediante SQL en las fases posteriores del proyecto.</w:t>
      </w:r>
    </w:p>
    <w:p>
      <w:r>
        <w:br w:type="page"/>
      </w:r>
    </w:p>
    <w:p>
      <w:pPr>
        <w:spacing w:before="360" w:after="160" w:lineRule="auto" w:line="360"/>
        <w:jc w:val="left"/>
        <w:pBdr>
          <w:bottom w:val="single" w:sz="6" w:space="4" w:color="185FA5"/>
        </w:pBdr>
      </w:pPr>
      <w:r>
        <w:rPr>
          <w:rFonts w:ascii="Times New Roman" w:hAnsi="Times New Roman"/>
          <w:b/>
          <w:i w:val="0"/>
          <w:color w:val="185FA5"/>
          <w:sz w:val="28"/>
        </w:rPr>
        <w:t>7. Visualización y EDA</w:t>
      </w:r>
    </w:p>
    <w:p>
      <w:pPr>
        <w:spacing w:before="0" w:after="120" w:lineRule="auto" w:line="360"/>
        <w:jc w:val="both"/>
      </w:pPr>
      <w:r>
        <w:rPr>
          <w:rFonts w:ascii="Times New Roman" w:hAnsi="Times New Roman"/>
          <w:b w:val="0"/>
          <w:i w:val="0"/>
          <w:sz w:val="22"/>
        </w:rPr>
        <w:t>El análisis exploratorio de datos (EDA, Exploratory Data Analysis) se ha realizado en el script TFG_Analisis_EDA.py y se estructura en cinco secciones temáticas que generan un total de 13 gráficos exportados en formato PNG a alta resolución (150 dpi) en la carpeta Graficos/.</w:t>
      </w:r>
    </w:p>
    <w:p>
      <w:pPr>
        <w:spacing w:before="240" w:after="80" w:lineRule="auto" w:line="360"/>
        <w:jc w:val="left"/>
      </w:pPr>
      <w:r>
        <w:rPr>
          <w:rFonts w:ascii="Times New Roman" w:hAnsi="Times New Roman"/>
          <w:b/>
          <w:i w:val="0"/>
          <w:color w:val="0F172A"/>
          <w:sz w:val="24"/>
        </w:rPr>
        <w:t>7.1  Sección 1 — Proceso de limpieza y transformación</w:t>
      </w:r>
    </w:p>
    <w:p>
      <w:pPr>
        <w:spacing w:before="160" w:after="60" w:lineRule="auto" w:line="360"/>
        <w:jc w:val="left"/>
      </w:pPr>
      <w:r>
        <w:rPr>
          <w:rFonts w:ascii="Times New Roman" w:hAnsi="Times New Roman"/>
          <w:b/>
          <w:i/>
          <w:color w:val="444444"/>
          <w:sz w:val="22"/>
        </w:rPr>
        <w:t>Gráfico 1 — Evolución del dataset durante la limpieza</w:t>
      </w:r>
    </w:p>
    <w:p>
      <w:pPr>
        <w:spacing w:before="0" w:after="120" w:lineRule="auto" w:line="360"/>
        <w:jc w:val="both"/>
      </w:pPr>
      <w:r>
        <w:rPr>
          <w:rFonts w:ascii="Times New Roman" w:hAnsi="Times New Roman"/>
          <w:b w:val="0"/>
          <w:i w:val="0"/>
          <w:sz w:val="22"/>
        </w:rPr>
        <w:t>Gráfico de barras que muestra el número de filas del dataset en cada etapa del proceso de limpieza. Cada barra corresponde a un paso específico, con la diferencia respecto al paso anterior anotada en el interior de la barra. Los cinco hitos son: dataset original (64.309 filas), tras eliminar nulos críticos (59.303), tras filtrar fechas (49.088), tras eliminar el sector bancario (41.756) y tras la interpolación y limpieza final (18.666).</w:t>
      </w:r>
    </w:p>
    <w:p>
      <w:pPr>
        <w:spacing w:before="160" w:after="60" w:lineRule="auto" w:line="360"/>
        <w:jc w:val="left"/>
      </w:pPr>
      <w:r>
        <w:rPr>
          <w:rFonts w:ascii="Times New Roman" w:hAnsi="Times New Roman"/>
          <w:b/>
          <w:i/>
          <w:color w:val="444444"/>
          <w:sz w:val="22"/>
        </w:rPr>
        <w:t>Gráfico 2 — Valores nulos antes y después de la limpieza</w:t>
      </w:r>
    </w:p>
    <w:p>
      <w:pPr>
        <w:spacing w:before="0" w:after="120" w:lineRule="auto" w:line="360"/>
        <w:jc w:val="both"/>
      </w:pPr>
      <w:r>
        <w:rPr>
          <w:rFonts w:ascii="Times New Roman" w:hAnsi="Times New Roman"/>
          <w:b w:val="0"/>
          <w:i w:val="0"/>
          <w:sz w:val="22"/>
        </w:rPr>
        <w:t>Gráfico de barras agrupadas que compara, para cada una de las nueve variables financieras brutas, el porcentaje de valores nulos antes y después del proceso de limpieza. Antes de la limpieza destacan Revenues (49,11%), InterestExpense (40,89%) y LiabilitiesCurrent (29,34%). Después de la limpieza, el porcentaje de nulos en todas las variables es del 0,0%.</w:t>
      </w:r>
    </w:p>
    <w:p>
      <w:pPr>
        <w:spacing w:before="160" w:after="60" w:lineRule="auto" w:line="360"/>
        <w:jc w:val="left"/>
      </w:pPr>
      <w:r>
        <w:rPr>
          <w:rFonts w:ascii="Times New Roman" w:hAnsi="Times New Roman"/>
          <w:b/>
          <w:i/>
          <w:color w:val="444444"/>
          <w:sz w:val="22"/>
        </w:rPr>
        <w:t>Gráfico 3 — Transformación logarítmica de los activos</w:t>
      </w:r>
    </w:p>
    <w:p>
      <w:pPr>
        <w:spacing w:before="0" w:after="120" w:lineRule="auto" w:line="360"/>
        <w:jc w:val="both"/>
      </w:pPr>
      <w:r>
        <w:rPr>
          <w:rFonts w:ascii="Times New Roman" w:hAnsi="Times New Roman"/>
          <w:b w:val="0"/>
          <w:i w:val="0"/>
          <w:sz w:val="22"/>
        </w:rPr>
        <w:t>Panel de dos histogramas que ilustra la necesidad y el efecto de la transformación logarítmica aplicada a la variable Assets. El histograma izquierdo muestra la distribución original con asimetría positiva extrema; el derecho muestra log(Assets), que se aproxima a una distribución normal y resulta mucho más adecuada para su uso como predictor.</w:t>
      </w:r>
    </w:p>
    <w:p>
      <w:pPr>
        <w:spacing w:before="240" w:after="80" w:lineRule="auto" w:line="360"/>
        <w:jc w:val="left"/>
      </w:pPr>
      <w:r>
        <w:rPr>
          <w:rFonts w:ascii="Times New Roman" w:hAnsi="Times New Roman"/>
          <w:b/>
          <w:i w:val="0"/>
          <w:color w:val="0F172A"/>
          <w:sz w:val="24"/>
        </w:rPr>
        <w:t>7.2  Sección 2 — Variable objetivo</w:t>
      </w:r>
    </w:p>
    <w:p>
      <w:pPr>
        <w:spacing w:before="160" w:after="60" w:lineRule="auto" w:line="360"/>
        <w:jc w:val="left"/>
      </w:pPr>
      <w:r>
        <w:rPr>
          <w:rFonts w:ascii="Times New Roman" w:hAnsi="Times New Roman"/>
          <w:b/>
          <w:i/>
          <w:color w:val="444444"/>
          <w:sz w:val="22"/>
        </w:rPr>
        <w:t>Gráfico 4 — Distribución de la variable objetivo</w:t>
      </w:r>
    </w:p>
    <w:p>
      <w:pPr>
        <w:spacing w:before="0" w:after="120" w:lineRule="auto" w:line="360"/>
        <w:jc w:val="both"/>
      </w:pPr>
      <w:r>
        <w:rPr>
          <w:rFonts w:ascii="Times New Roman" w:hAnsi="Times New Roman"/>
          <w:b w:val="0"/>
          <w:i w:val="0"/>
          <w:sz w:val="22"/>
        </w:rPr>
        <w:t>Panel de dos gráficos —barras y diagrama de sectores— que muestra la distribución de las observaciones entre empresas que quebraron (clase 1) y empresas que no quebraron (clase 0). El dataset presenta un marcado desbalanceo de clases, con una proporción significativamente mayor de observaciones de clase 0, lo que es habitual en problemas de detección de eventos raros como la quiebra empresarial. Este desbalanceo deberá ser gestionado en el pilar de Modelado mediante técnicas como SMOTE, infra-muestreo o ponderación de clases.</w:t>
      </w:r>
    </w:p>
    <w:p>
      <w:pPr>
        <w:spacing w:before="160" w:after="60" w:lineRule="auto" w:line="360"/>
        <w:jc w:val="left"/>
      </w:pPr>
      <w:r>
        <w:rPr>
          <w:rFonts w:ascii="Times New Roman" w:hAnsi="Times New Roman"/>
          <w:b/>
          <w:i/>
          <w:color w:val="444444"/>
          <w:sz w:val="22"/>
        </w:rPr>
        <w:t>Gráfico 5 — Quiebras por año y tasa de quiebra anual</w:t>
      </w:r>
    </w:p>
    <w:p>
      <w:pPr>
        <w:spacing w:before="0" w:after="120" w:lineRule="auto" w:line="360"/>
        <w:jc w:val="both"/>
      </w:pPr>
      <w:r>
        <w:rPr>
          <w:rFonts w:ascii="Times New Roman" w:hAnsi="Times New Roman"/>
          <w:b w:val="0"/>
          <w:i w:val="0"/>
          <w:sz w:val="22"/>
        </w:rPr>
        <w:t>Panel de dos gráficos que analiza la distribución temporal de las quiebras. El superior muestra el número absoluto por año, con líneas verticales que señalan los tres grandes choques económicos: crisis tecnológica (2001), crisis financiera global (2008) y pandemia COVID-19 (2020). El inferior muestra la tasa de quiebra anual como porcentaje sobre el total de empresas activas en cada año, eliminando el efecto del crecimiento del universo de empresas a lo largo del tiempo.</w:t>
      </w:r>
    </w:p>
    <w:p>
      <w:pPr>
        <w:spacing w:before="240" w:after="80" w:lineRule="auto" w:line="360"/>
        <w:jc w:val="left"/>
      </w:pPr>
      <w:r>
        <w:rPr>
          <w:rFonts w:ascii="Times New Roman" w:hAnsi="Times New Roman"/>
          <w:b/>
          <w:i w:val="0"/>
          <w:color w:val="0F172A"/>
          <w:sz w:val="24"/>
        </w:rPr>
        <w:t>7.3  Sección 3 — Análisis univariante</w:t>
      </w:r>
    </w:p>
    <w:p>
      <w:pPr>
        <w:spacing w:before="160" w:after="60" w:lineRule="auto" w:line="360"/>
        <w:jc w:val="left"/>
      </w:pPr>
      <w:r>
        <w:rPr>
          <w:rFonts w:ascii="Times New Roman" w:hAnsi="Times New Roman"/>
          <w:b/>
          <w:i/>
          <w:color w:val="444444"/>
          <w:sz w:val="22"/>
        </w:rPr>
        <w:t>Gráfico 6 — Distribución de los ratios financieros principales</w:t>
      </w:r>
    </w:p>
    <w:p>
      <w:pPr>
        <w:spacing w:before="0" w:after="120" w:lineRule="auto" w:line="360"/>
        <w:jc w:val="both"/>
      </w:pPr>
      <w:r>
        <w:rPr>
          <w:rFonts w:ascii="Times New Roman" w:hAnsi="Times New Roman"/>
          <w:b w:val="0"/>
          <w:i w:val="0"/>
          <w:sz w:val="22"/>
        </w:rPr>
        <w:t>Panel de cuatro histogramas (liquidez corriente, endeudamiento, ROA y margen neto) con recorte de valores extremos para mejorar la legibilidad. Se observa que la liquidez corriente presenta cola derecha, mientras que el ROA y el margen neto presentan distribuciones aproximadamente simétricas en torno a cero.</w:t>
      </w:r>
    </w:p>
    <w:p>
      <w:pPr>
        <w:spacing w:before="160" w:after="60" w:lineRule="auto" w:line="360"/>
        <w:jc w:val="left"/>
      </w:pPr>
      <w:r>
        <w:rPr>
          <w:rFonts w:ascii="Times New Roman" w:hAnsi="Times New Roman"/>
          <w:b/>
          <w:i/>
          <w:color w:val="444444"/>
          <w:sz w:val="22"/>
        </w:rPr>
        <w:t>Gráfico 7 — Detección de valores atípicos</w:t>
      </w:r>
    </w:p>
    <w:p>
      <w:pPr>
        <w:spacing w:before="0" w:after="120" w:lineRule="auto" w:line="360"/>
        <w:jc w:val="both"/>
      </w:pPr>
      <w:r>
        <w:rPr>
          <w:rFonts w:ascii="Times New Roman" w:hAnsi="Times New Roman"/>
          <w:b w:val="0"/>
          <w:i w:val="0"/>
          <w:sz w:val="22"/>
        </w:rPr>
        <w:t>Matriz de seis diagramas de caja (liquidez corriente, endeudamiento, ROA, ROE, margen neto y rotación de activos) representados entre los percentiles 1 y 99. Los boxplots revelan que todos los ratios presentan valores atípicos relevantes en ambas colas, lo que justifica la aplicación de técnicas de tratamiento de outliers en la fase de modelado.</w:t>
      </w:r>
    </w:p>
    <w:p>
      <w:pPr>
        <w:spacing w:before="240" w:after="80" w:lineRule="auto" w:line="360"/>
        <w:jc w:val="left"/>
      </w:pPr>
      <w:r>
        <w:rPr>
          <w:rFonts w:ascii="Times New Roman" w:hAnsi="Times New Roman"/>
          <w:b/>
          <w:i w:val="0"/>
          <w:color w:val="0F172A"/>
          <w:sz w:val="24"/>
        </w:rPr>
        <w:t>7.4  Sección 4 — Análisis bivariante</w:t>
      </w:r>
    </w:p>
    <w:p>
      <w:pPr>
        <w:spacing w:before="160" w:after="60" w:lineRule="auto" w:line="360"/>
        <w:jc w:val="left"/>
      </w:pPr>
      <w:r>
        <w:rPr>
          <w:rFonts w:ascii="Times New Roman" w:hAnsi="Times New Roman"/>
          <w:b/>
          <w:i/>
          <w:color w:val="444444"/>
          <w:sz w:val="22"/>
        </w:rPr>
        <w:t>Gráfico 8 — Ratios financieros por grupo de quiebra</w:t>
      </w:r>
    </w:p>
    <w:p>
      <w:pPr>
        <w:spacing w:before="0" w:after="120" w:lineRule="auto" w:line="360"/>
        <w:jc w:val="both"/>
      </w:pPr>
      <w:r>
        <w:rPr>
          <w:rFonts w:ascii="Times New Roman" w:hAnsi="Times New Roman"/>
          <w:b w:val="0"/>
          <w:i w:val="0"/>
          <w:sz w:val="22"/>
        </w:rPr>
        <w:t>Matriz de seis histogramas superpuestos que compara la distribución de los seis ratios principales entre empresas quebradas (rojo) y no quebradas (azul). Las empresas quebradas presentan, en media, menores valores de ROA, margen neto y autonomía financiera, y mayores valores de endeudamiento, lo que es consistente con la teoría económica y con la literatura previa sobre predicción de quiebra.</w:t>
      </w:r>
    </w:p>
    <w:p>
      <w:pPr>
        <w:spacing w:before="160" w:after="60" w:lineRule="auto" w:line="360"/>
        <w:jc w:val="left"/>
      </w:pPr>
      <w:r>
        <w:rPr>
          <w:rFonts w:ascii="Times New Roman" w:hAnsi="Times New Roman"/>
          <w:b/>
          <w:i/>
          <w:color w:val="444444"/>
          <w:sz w:val="22"/>
        </w:rPr>
        <w:t>Gráfico 9 — Dispersión ROA vs Endeudamiento</w:t>
      </w:r>
    </w:p>
    <w:p>
      <w:pPr>
        <w:spacing w:before="0" w:after="120" w:lineRule="auto" w:line="360"/>
        <w:jc w:val="both"/>
      </w:pPr>
      <w:r>
        <w:rPr>
          <w:rFonts w:ascii="Times New Roman" w:hAnsi="Times New Roman"/>
          <w:b w:val="0"/>
          <w:i w:val="0"/>
          <w:sz w:val="22"/>
        </w:rPr>
        <w:t>Diagrama de dispersión que enfrenta el ROA (eje Y) contra el ratio de endeudamiento (eje X), coloreando cada punto según la clase de quiebra. Se observa una separación estadística entre grupos: las empresas quebradas tienden a concentrarse en la zona de alta deuda y baja rentabilidad (cuadrante inferior derecho), mientras que las empresas sanas predominan en la zona de baja deuda y alta rentabilidad (cuadrante superior izquierdo).</w:t>
      </w:r>
    </w:p>
    <w:p>
      <w:pPr>
        <w:spacing w:before="160" w:after="60" w:lineRule="auto" w:line="360"/>
        <w:jc w:val="left"/>
      </w:pPr>
      <w:r>
        <w:rPr>
          <w:rFonts w:ascii="Times New Roman" w:hAnsi="Times New Roman"/>
          <w:b/>
          <w:i/>
          <w:color w:val="444444"/>
          <w:sz w:val="22"/>
        </w:rPr>
        <w:t>Gráfico 10 — Heatmap comparativo de ratios medios</w:t>
      </w:r>
    </w:p>
    <w:p>
      <w:pPr>
        <w:spacing w:before="0" w:after="120" w:lineRule="auto" w:line="360"/>
        <w:jc w:val="both"/>
      </w:pPr>
      <w:r>
        <w:rPr>
          <w:rFonts w:ascii="Times New Roman" w:hAnsi="Times New Roman"/>
          <w:b w:val="0"/>
          <w:i w:val="0"/>
          <w:sz w:val="22"/>
        </w:rPr>
        <w:t>Panel de dos mapas de calor que sintetiza las diferencias entre grupos: el izquierdo muestra los valores medios reales de los seis ratios principales para cada clase con los valores anotados en cada celda; el derecho muestra los mismos datos normalizados entre 0 y 1, permitiendo comparar la magnitud relativa de las diferencias con independencia de la escala.</w:t>
      </w:r>
    </w:p>
    <w:p>
      <w:pPr>
        <w:spacing w:before="240" w:after="80" w:lineRule="auto" w:line="360"/>
        <w:jc w:val="left"/>
      </w:pPr>
      <w:r>
        <w:rPr>
          <w:rFonts w:ascii="Times New Roman" w:hAnsi="Times New Roman"/>
          <w:b/>
          <w:i w:val="0"/>
          <w:color w:val="0F172A"/>
          <w:sz w:val="24"/>
        </w:rPr>
        <w:t>7.5  Sección 5 — Análisis multivariante</w:t>
      </w:r>
    </w:p>
    <w:p>
      <w:pPr>
        <w:spacing w:before="160" w:after="60" w:lineRule="auto" w:line="360"/>
        <w:jc w:val="left"/>
      </w:pPr>
      <w:r>
        <w:rPr>
          <w:rFonts w:ascii="Times New Roman" w:hAnsi="Times New Roman"/>
          <w:b/>
          <w:i/>
          <w:color w:val="444444"/>
          <w:sz w:val="22"/>
        </w:rPr>
        <w:t>Gráfico 11 — Matriz de correlación</w:t>
      </w:r>
    </w:p>
    <w:p>
      <w:pPr>
        <w:spacing w:before="0" w:after="120" w:lineRule="auto" w:line="360"/>
        <w:jc w:val="both"/>
      </w:pPr>
      <w:r>
        <w:rPr>
          <w:rFonts w:ascii="Times New Roman" w:hAnsi="Times New Roman"/>
          <w:b w:val="0"/>
          <w:i w:val="0"/>
          <w:sz w:val="22"/>
        </w:rPr>
        <w:t>Mapa de calor de la matriz de correlación de Pearson entre los once ratios financieros (escala coolwarm). Permite identificar pares de ratios con alta multicolinealidad que podrían requerir tratamiento específico en el modelado —como reducción de dimensionalidad mediante PCA— así como grupos de ratios que capturan dimensiones financieras independientes.</w:t>
      </w:r>
    </w:p>
    <w:p>
      <w:pPr>
        <w:spacing w:before="160" w:after="60" w:lineRule="auto" w:line="360"/>
        <w:jc w:val="left"/>
      </w:pPr>
      <w:r>
        <w:rPr>
          <w:rFonts w:ascii="Times New Roman" w:hAnsi="Times New Roman"/>
          <w:b/>
          <w:i/>
          <w:color w:val="444444"/>
          <w:sz w:val="22"/>
        </w:rPr>
        <w:t>Gráfico 12 — Evolución temporal de los ratios</w:t>
      </w:r>
    </w:p>
    <w:p>
      <w:pPr>
        <w:spacing w:before="0" w:after="120" w:lineRule="auto" w:line="360"/>
        <w:jc w:val="both"/>
      </w:pPr>
      <w:r>
        <w:rPr>
          <w:rFonts w:ascii="Times New Roman" w:hAnsi="Times New Roman"/>
          <w:b w:val="0"/>
          <w:i w:val="0"/>
          <w:sz w:val="22"/>
        </w:rPr>
        <w:t>Panel de cuatro series temporales que muestra la mediana anual de ROA, endeudamiento, liquidez corriente y margen neto para el período 1993-2023. El uso de la mediana evita la distorsión por valores extremos. Las series permiten detectar tendencias estructurales y el impacto de los ciclos económicos sobre la salud financiera media del universo de empresas analizado.</w:t>
      </w:r>
    </w:p>
    <w:p>
      <w:pPr>
        <w:spacing w:before="160" w:after="60" w:lineRule="auto" w:line="360"/>
        <w:jc w:val="left"/>
      </w:pPr>
      <w:r>
        <w:rPr>
          <w:rFonts w:ascii="Times New Roman" w:hAnsi="Times New Roman"/>
          <w:b/>
          <w:i/>
          <w:color w:val="444444"/>
          <w:sz w:val="22"/>
        </w:rPr>
        <w:t>Gráfico 13 — Cobertura temporal del dataset</w:t>
      </w:r>
    </w:p>
    <w:p>
      <w:pPr>
        <w:spacing w:before="0" w:after="120" w:lineRule="auto" w:line="360"/>
        <w:jc w:val="both"/>
      </w:pPr>
      <w:r>
        <w:rPr>
          <w:rFonts w:ascii="Times New Roman" w:hAnsi="Times New Roman"/>
          <w:b w:val="0"/>
          <w:i w:val="0"/>
          <w:sz w:val="22"/>
        </w:rPr>
        <w:t>Gráfico de barras que muestra el número de observaciones empresa-año disponibles para cada ejercicio fiscal entre 1993 y 2023. El gráfico verifica que el dataset tiene una cobertura temporal razonablemente uniforme, con crecimiento paulatino en los primeros años y estabilización a partir de mediados de la primera década del siglo XXI.</w:t>
      </w:r>
    </w:p>
    <w:p>
      <w:r>
        <w:br w:type="page"/>
      </w:r>
    </w:p>
    <w:p>
      <w:pPr>
        <w:spacing w:before="360" w:after="160" w:lineRule="auto" w:line="360"/>
        <w:jc w:val="left"/>
        <w:pBdr>
          <w:bottom w:val="single" w:sz="6" w:space="4" w:color="185FA5"/>
        </w:pBdr>
      </w:pPr>
      <w:r>
        <w:rPr>
          <w:rFonts w:ascii="Times New Roman" w:hAnsi="Times New Roman"/>
          <w:b/>
          <w:i w:val="0"/>
          <w:color w:val="185FA5"/>
          <w:sz w:val="28"/>
        </w:rPr>
        <w:t>8. Bibliografía</w:t>
      </w:r>
    </w:p>
    <w:p>
      <w:pPr>
        <w:spacing w:before="0" w:after="160" w:lineRule="auto" w:line="360"/>
        <w:ind w:left="567" w:hanging="567"/>
        <w:jc w:val="both"/>
      </w:pPr>
      <w:r>
        <w:rPr>
          <w:rFonts w:ascii="Times New Roman" w:hAnsi="Times New Roman"/>
          <w:b/>
          <w:i w:val="0"/>
          <w:sz w:val="22"/>
        </w:rPr>
        <w:t xml:space="preserve">Altman, E. I. (1968). </w:t>
      </w:r>
      <w:r>
        <w:rPr>
          <w:rFonts w:ascii="Times New Roman" w:hAnsi="Times New Roman"/>
          <w:b w:val="0"/>
          <w:i w:val="0"/>
          <w:sz w:val="22"/>
        </w:rPr>
        <w:t>Financial ratios, discriminant analysis and the prediction of corporate bankruptcy. The Journal of Finance, 23(4), 589-609. https://doi.org/10.1111/j.1540-6261.1968.tb00843.x</w:t>
      </w:r>
    </w:p>
    <w:p>
      <w:pPr>
        <w:spacing w:before="0" w:after="160" w:lineRule="auto" w:line="360"/>
        <w:ind w:left="567" w:hanging="567"/>
        <w:jc w:val="both"/>
      </w:pPr>
      <w:r>
        <w:rPr>
          <w:rFonts w:ascii="Times New Roman" w:hAnsi="Times New Roman"/>
          <w:b/>
          <w:i w:val="0"/>
          <w:sz w:val="22"/>
        </w:rPr>
        <w:t xml:space="preserve">Beaver, W. H. (1966). </w:t>
      </w:r>
      <w:r>
        <w:rPr>
          <w:rFonts w:ascii="Times New Roman" w:hAnsi="Times New Roman"/>
          <w:b w:val="0"/>
          <w:i w:val="0"/>
          <w:sz w:val="22"/>
        </w:rPr>
        <w:t>Financial ratios as predictors of failure. Journal of Accounting Research, 4, 71-111. https://doi.org/10.2307/2490171</w:t>
      </w:r>
    </w:p>
    <w:p>
      <w:pPr>
        <w:spacing w:before="0" w:after="160" w:lineRule="auto" w:line="360"/>
        <w:ind w:left="567" w:hanging="567"/>
        <w:jc w:val="both"/>
      </w:pPr>
      <w:r>
        <w:rPr>
          <w:rFonts w:ascii="Times New Roman" w:hAnsi="Times New Roman"/>
          <w:b/>
          <w:i w:val="0"/>
          <w:sz w:val="22"/>
        </w:rPr>
        <w:t xml:space="preserve">Ohlson, J. A. (1980). </w:t>
      </w:r>
      <w:r>
        <w:rPr>
          <w:rFonts w:ascii="Times New Roman" w:hAnsi="Times New Roman"/>
          <w:b w:val="0"/>
          <w:i w:val="0"/>
          <w:sz w:val="22"/>
        </w:rPr>
        <w:t>Financial ratios and the probabilistic prediction of bankruptcy. Journal of Accounting Research, 18(1), 109-131. https://doi.org/10.2307/2490395</w:t>
      </w:r>
    </w:p>
    <w:p>
      <w:pPr>
        <w:spacing w:before="0" w:after="160" w:lineRule="auto" w:line="360"/>
        <w:ind w:left="567" w:hanging="567"/>
        <w:jc w:val="both"/>
      </w:pPr>
      <w:r>
        <w:rPr>
          <w:rFonts w:ascii="Times New Roman" w:hAnsi="Times New Roman"/>
          <w:b/>
          <w:i w:val="0"/>
          <w:sz w:val="22"/>
        </w:rPr>
        <w:t xml:space="preserve">Shumway, T. (2001). </w:t>
      </w:r>
      <w:r>
        <w:rPr>
          <w:rFonts w:ascii="Times New Roman" w:hAnsi="Times New Roman"/>
          <w:b w:val="0"/>
          <w:i w:val="0"/>
          <w:sz w:val="22"/>
        </w:rPr>
        <w:t>Forecasting bankruptcy more accurately: A simple hazard model. The Journal of Business, 74(1), 101-124. https://doi.org/10.1086/209665</w:t>
      </w:r>
    </w:p>
    <w:p>
      <w:pPr>
        <w:spacing w:before="0" w:after="160" w:lineRule="auto" w:line="360"/>
        <w:ind w:left="567" w:hanging="567"/>
        <w:jc w:val="both"/>
      </w:pPr>
      <w:r>
        <w:rPr>
          <w:rFonts w:ascii="Times New Roman" w:hAnsi="Times New Roman"/>
          <w:b/>
          <w:i w:val="0"/>
          <w:sz w:val="22"/>
        </w:rPr>
        <w:t xml:space="preserve">U.S. Securities and Exchange Commission. (2024). </w:t>
      </w:r>
      <w:r>
        <w:rPr>
          <w:rFonts w:ascii="Times New Roman" w:hAnsi="Times New Roman"/>
          <w:b w:val="0"/>
          <w:i w:val="0"/>
          <w:sz w:val="22"/>
        </w:rPr>
        <w:t>EDGAR Full-Text Search API — Developer Documentation. https://efts.sec.gov/LATEST/search-index</w:t>
      </w:r>
    </w:p>
    <w:p>
      <w:pPr>
        <w:spacing w:before="0" w:after="160" w:lineRule="auto" w:line="360"/>
        <w:ind w:left="567" w:hanging="567"/>
        <w:jc w:val="both"/>
      </w:pPr>
      <w:r>
        <w:rPr>
          <w:rFonts w:ascii="Times New Roman" w:hAnsi="Times New Roman"/>
          <w:b/>
          <w:i w:val="0"/>
          <w:sz w:val="22"/>
        </w:rPr>
        <w:t xml:space="preserve">U.S. Securities and Exchange Commission. (2024). </w:t>
      </w:r>
      <w:r>
        <w:rPr>
          <w:rFonts w:ascii="Times New Roman" w:hAnsi="Times New Roman"/>
          <w:b w:val="0"/>
          <w:i w:val="0"/>
          <w:sz w:val="22"/>
        </w:rPr>
        <w:t>XBRL Financial Data API. https://data.sec.gov/api/xbrl/</w:t>
      </w:r>
    </w:p>
    <w:p>
      <w:pPr>
        <w:spacing w:before="0" w:after="160" w:lineRule="auto" w:line="360"/>
        <w:ind w:left="567" w:hanging="567"/>
        <w:jc w:val="both"/>
      </w:pPr>
      <w:r>
        <w:rPr>
          <w:rFonts w:ascii="Times New Roman" w:hAnsi="Times New Roman"/>
          <w:b/>
          <w:i w:val="0"/>
          <w:sz w:val="22"/>
        </w:rPr>
        <w:t xml:space="preserve">Eurostat. (2024). </w:t>
      </w:r>
      <w:r>
        <w:rPr>
          <w:rFonts w:ascii="Times New Roman" w:hAnsi="Times New Roman"/>
          <w:b w:val="0"/>
          <w:i w:val="0"/>
          <w:sz w:val="22"/>
        </w:rPr>
        <w:t>Short-term business statistics — Bankruptcies (sts_rb_a). European Commission. https://ec.europa.eu/eurostat/databrowser/view/sts_rb_a</w:t>
      </w:r>
    </w:p>
    <w:p>
      <w:pPr>
        <w:spacing w:before="0" w:after="160" w:lineRule="auto" w:line="360"/>
        <w:ind w:left="567" w:hanging="567"/>
        <w:jc w:val="both"/>
      </w:pPr>
      <w:r>
        <w:rPr>
          <w:rFonts w:ascii="Times New Roman" w:hAnsi="Times New Roman"/>
          <w:b/>
          <w:i w:val="0"/>
          <w:sz w:val="22"/>
        </w:rPr>
        <w:t xml:space="preserve">Banco de España. (2024). </w:t>
      </w:r>
      <w:r>
        <w:rPr>
          <w:rFonts w:ascii="Times New Roman" w:hAnsi="Times New Roman"/>
          <w:b w:val="0"/>
          <w:i w:val="0"/>
          <w:sz w:val="22"/>
        </w:rPr>
        <w:t>Central de Balances — Cuadros de ratios del sector privado no financiero (SB_CBRATIOS). https://www.bde.es/bde/es/areas/cenbal/</w:t>
      </w:r>
    </w:p>
    <w:p>
      <w:pPr>
        <w:spacing w:before="0" w:after="160" w:lineRule="auto" w:line="360"/>
        <w:ind w:left="567" w:hanging="567"/>
        <w:jc w:val="both"/>
      </w:pPr>
      <w:r>
        <w:rPr>
          <w:rFonts w:ascii="Times New Roman" w:hAnsi="Times New Roman"/>
          <w:b/>
          <w:i w:val="0"/>
          <w:sz w:val="22"/>
        </w:rPr>
        <w:t xml:space="preserve">McKinney, W. (2010). </w:t>
      </w:r>
      <w:r>
        <w:rPr>
          <w:rFonts w:ascii="Times New Roman" w:hAnsi="Times New Roman"/>
          <w:b w:val="0"/>
          <w:i w:val="0"/>
          <w:sz w:val="22"/>
        </w:rPr>
        <w:t>Data structures for statistical computing in Python. Proceedings of the 9th Python in Science Conference, 445, 51-56.</w:t>
      </w:r>
    </w:p>
    <w:p>
      <w:pPr>
        <w:spacing w:before="0" w:after="160" w:lineRule="auto" w:line="360"/>
        <w:ind w:left="567" w:hanging="567"/>
        <w:jc w:val="both"/>
      </w:pPr>
      <w:r>
        <w:rPr>
          <w:rFonts w:ascii="Times New Roman" w:hAnsi="Times New Roman"/>
          <w:b/>
          <w:i w:val="0"/>
          <w:sz w:val="22"/>
        </w:rPr>
        <w:t xml:space="preserve">Hunter, J. D. (2007). </w:t>
      </w:r>
      <w:r>
        <w:rPr>
          <w:rFonts w:ascii="Times New Roman" w:hAnsi="Times New Roman"/>
          <w:b w:val="0"/>
          <w:i w:val="0"/>
          <w:sz w:val="22"/>
        </w:rPr>
        <w:t>Matplotlib: A 2D graphics environment. Computing in Science &amp; Engineering, 9(3), 90-95. https://doi.org/10.1109/MCSE.2007.55</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