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22/03/2017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31/03/2017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Gasnor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Efectivo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GNC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Andreani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Aceite YPF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 litros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