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EE17" w14:textId="19EA9690" w:rsidR="00173A23" w:rsidRPr="00CD7A2E" w:rsidRDefault="00864AEF" w:rsidP="0084179E">
      <w:pPr>
        <w:spacing w:after="0"/>
        <w:rPr>
          <w:b/>
          <w:bCs/>
          <w:lang w:val="en-US"/>
        </w:rPr>
      </w:pPr>
      <w:bookmarkStart w:id="0" w:name="OLE_LINK3"/>
      <w:bookmarkStart w:id="1" w:name="_Hlk207998127"/>
      <w:r>
        <w:rPr>
          <w:b/>
          <w:bCs/>
          <w:lang w:val="en-US"/>
        </w:rPr>
        <w:t>Content</w:t>
      </w:r>
      <w:r w:rsidR="00CD7A2E">
        <w:rPr>
          <w:b/>
          <w:bCs/>
          <w:lang w:val="en-US"/>
        </w:rPr>
        <w:t xml:space="preserve"> Regulation in the European Union – The Digital Services Act </w:t>
      </w:r>
    </w:p>
    <w:p w14:paraId="046FF130" w14:textId="77777777" w:rsidR="0084179E" w:rsidRPr="00173A23" w:rsidRDefault="0084179E" w:rsidP="0084179E">
      <w:pPr>
        <w:spacing w:after="0"/>
        <w:rPr>
          <w:lang w:val="en-US"/>
        </w:rPr>
      </w:pPr>
    </w:p>
    <w:p w14:paraId="65EE17A9" w14:textId="7CC6304B" w:rsidR="00173A23" w:rsidRDefault="00173A23" w:rsidP="0084179E">
      <w:pPr>
        <w:spacing w:after="0"/>
        <w:rPr>
          <w:lang w:val="en-US"/>
        </w:rPr>
      </w:pPr>
      <w:r w:rsidRPr="00173A23">
        <w:rPr>
          <w:lang w:val="en-US"/>
        </w:rPr>
        <w:t xml:space="preserve">The European Union </w:t>
      </w:r>
      <w:r w:rsidR="00F97A67">
        <w:rPr>
          <w:lang w:val="en-US"/>
        </w:rPr>
        <w:t xml:space="preserve">has updated their </w:t>
      </w:r>
      <w:r w:rsidR="0035127B">
        <w:rPr>
          <w:lang w:val="en-US"/>
        </w:rPr>
        <w:t xml:space="preserve">legal </w:t>
      </w:r>
      <w:r w:rsidRPr="00173A23">
        <w:rPr>
          <w:lang w:val="en-US"/>
        </w:rPr>
        <w:t xml:space="preserve">framework for regulating online content </w:t>
      </w:r>
      <w:r w:rsidR="00F97A67">
        <w:rPr>
          <w:lang w:val="en-US"/>
        </w:rPr>
        <w:t>with</w:t>
      </w:r>
      <w:r w:rsidRPr="00173A23">
        <w:rPr>
          <w:lang w:val="en-US"/>
        </w:rPr>
        <w:t xml:space="preserve"> the </w:t>
      </w:r>
      <w:r w:rsidRPr="00F97A67">
        <w:rPr>
          <w:i/>
          <w:iCs/>
          <w:lang w:val="en-US"/>
        </w:rPr>
        <w:t>Digital</w:t>
      </w:r>
      <w:r w:rsidR="00BA732E">
        <w:rPr>
          <w:i/>
          <w:iCs/>
          <w:lang w:val="en-US"/>
        </w:rPr>
        <w:t xml:space="preserve"> Services </w:t>
      </w:r>
      <w:r w:rsidRPr="00F97A67">
        <w:rPr>
          <w:i/>
          <w:iCs/>
          <w:lang w:val="en-US"/>
        </w:rPr>
        <w:t>Act</w:t>
      </w:r>
      <w:r w:rsidRPr="00173A23">
        <w:rPr>
          <w:lang w:val="en-US"/>
        </w:rPr>
        <w:t xml:space="preserve"> (</w:t>
      </w:r>
      <w:r w:rsidR="00F97A67">
        <w:rPr>
          <w:lang w:val="en-US"/>
        </w:rPr>
        <w:t>“</w:t>
      </w:r>
      <w:r w:rsidRPr="00173A23">
        <w:rPr>
          <w:lang w:val="en-US"/>
        </w:rPr>
        <w:t>DSA</w:t>
      </w:r>
      <w:r w:rsidR="00F97A67">
        <w:rPr>
          <w:lang w:val="en-US"/>
        </w:rPr>
        <w:t>”</w:t>
      </w:r>
      <w:r w:rsidRPr="00173A23">
        <w:rPr>
          <w:lang w:val="en-US"/>
        </w:rPr>
        <w:t xml:space="preserve">), which entered into force in 2022 and became fully applicable in February 2024. The </w:t>
      </w:r>
      <w:r w:rsidRPr="00F97A67">
        <w:rPr>
          <w:i/>
          <w:iCs/>
          <w:lang w:val="en-US"/>
        </w:rPr>
        <w:t>DSA</w:t>
      </w:r>
      <w:r w:rsidRPr="00173A23">
        <w:rPr>
          <w:lang w:val="en-US"/>
        </w:rPr>
        <w:t xml:space="preserve"> </w:t>
      </w:r>
      <w:r w:rsidR="00F97A67">
        <w:rPr>
          <w:lang w:val="en-US"/>
        </w:rPr>
        <w:t xml:space="preserve">is the EU’s most </w:t>
      </w:r>
      <w:r w:rsidRPr="00173A23">
        <w:rPr>
          <w:lang w:val="en-US"/>
        </w:rPr>
        <w:t xml:space="preserve">ambitious attempt to harmonise platform regulation across multiple jurisdictions, establishing a single set of rules that apply directly to providers of intermediary services, online platforms, and search engines operating within the EU market. </w:t>
      </w:r>
    </w:p>
    <w:p w14:paraId="29082043" w14:textId="77777777" w:rsidR="00F97A67" w:rsidRDefault="00F97A67" w:rsidP="0084179E">
      <w:pPr>
        <w:spacing w:after="0"/>
        <w:rPr>
          <w:lang w:val="en-US"/>
        </w:rPr>
      </w:pPr>
    </w:p>
    <w:p w14:paraId="4A6F38B6" w14:textId="206B29F6" w:rsidR="0084179E" w:rsidRPr="0084179E" w:rsidRDefault="0084179E" w:rsidP="0084179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Objectives </w:t>
      </w:r>
    </w:p>
    <w:p w14:paraId="42F88474" w14:textId="77777777" w:rsidR="0084179E" w:rsidRPr="00173A23" w:rsidRDefault="0084179E" w:rsidP="0084179E">
      <w:pPr>
        <w:spacing w:after="0"/>
        <w:rPr>
          <w:lang w:val="en-US"/>
        </w:rPr>
      </w:pPr>
    </w:p>
    <w:p w14:paraId="7A0E8F33" w14:textId="5500BCC9" w:rsidR="00173A23" w:rsidRPr="00173A23" w:rsidRDefault="0058390A" w:rsidP="0084179E">
      <w:pPr>
        <w:spacing w:after="0"/>
        <w:rPr>
          <w:lang w:val="en-US"/>
        </w:rPr>
      </w:pPr>
      <w:r>
        <w:rPr>
          <w:lang w:val="en-US"/>
        </w:rPr>
        <w:t xml:space="preserve">The </w:t>
      </w:r>
      <w:r>
        <w:rPr>
          <w:i/>
          <w:iCs/>
          <w:lang w:val="en-US"/>
        </w:rPr>
        <w:t xml:space="preserve">DSA </w:t>
      </w:r>
      <w:r>
        <w:rPr>
          <w:lang w:val="en-US"/>
        </w:rPr>
        <w:t xml:space="preserve">seeks to update the EU’s legal framework for dealing with online intermediaries to better address the systemic risks arising from </w:t>
      </w:r>
      <w:r w:rsidR="00173A23" w:rsidRPr="00173A23">
        <w:rPr>
          <w:lang w:val="en-US"/>
        </w:rPr>
        <w:t xml:space="preserve">the dissemination of harmful or illegal content. It </w:t>
      </w:r>
      <w:r w:rsidR="00F97A67">
        <w:rPr>
          <w:lang w:val="en-US"/>
        </w:rPr>
        <w:t>creates</w:t>
      </w:r>
      <w:r w:rsidR="00173A23" w:rsidRPr="00173A23">
        <w:rPr>
          <w:lang w:val="en-US"/>
        </w:rPr>
        <w:t xml:space="preserve"> a </w:t>
      </w:r>
      <w:r w:rsidR="00F97A67">
        <w:rPr>
          <w:lang w:val="en-US"/>
        </w:rPr>
        <w:t>tiered</w:t>
      </w:r>
      <w:r w:rsidR="00173A23" w:rsidRPr="00173A23">
        <w:rPr>
          <w:lang w:val="en-US"/>
        </w:rPr>
        <w:t xml:space="preserve"> </w:t>
      </w:r>
      <w:r>
        <w:rPr>
          <w:lang w:val="en-US"/>
        </w:rPr>
        <w:t>system</w:t>
      </w:r>
      <w:r w:rsidR="00173A23" w:rsidRPr="00173A23">
        <w:rPr>
          <w:lang w:val="en-US"/>
        </w:rPr>
        <w:t xml:space="preserve"> of obligations, with basic duties applying to all providers of intermediary services and progressively more demanding requirements imposed on Very Large Online Platforms (</w:t>
      </w:r>
      <w:r w:rsidR="0084179E">
        <w:rPr>
          <w:lang w:val="en-US"/>
        </w:rPr>
        <w:t>“</w:t>
      </w:r>
      <w:r w:rsidR="00173A23" w:rsidRPr="00173A23">
        <w:rPr>
          <w:lang w:val="en-US"/>
        </w:rPr>
        <w:t>VLOPs</w:t>
      </w:r>
      <w:r w:rsidR="0084179E">
        <w:rPr>
          <w:lang w:val="en-US"/>
        </w:rPr>
        <w:t>”</w:t>
      </w:r>
      <w:r w:rsidR="00173A23" w:rsidRPr="00173A23">
        <w:rPr>
          <w:lang w:val="en-US"/>
        </w:rPr>
        <w:t>) and Very Large Online Search Engines (</w:t>
      </w:r>
      <w:r w:rsidR="0084179E">
        <w:rPr>
          <w:lang w:val="en-US"/>
        </w:rPr>
        <w:t>“</w:t>
      </w:r>
      <w:r w:rsidR="00173A23" w:rsidRPr="00173A23">
        <w:rPr>
          <w:lang w:val="en-US"/>
        </w:rPr>
        <w:t>VLOSEs</w:t>
      </w:r>
      <w:r w:rsidR="0084179E">
        <w:rPr>
          <w:lang w:val="en-US"/>
        </w:rPr>
        <w:t>”</w:t>
      </w:r>
      <w:r w:rsidR="00173A23" w:rsidRPr="00173A23">
        <w:rPr>
          <w:lang w:val="en-US"/>
        </w:rPr>
        <w:t>), defined as those with more than 45 million monthly users in the EU</w:t>
      </w:r>
      <w:r w:rsidR="00CD7A2E">
        <w:rPr>
          <w:lang w:val="en-US"/>
        </w:rPr>
        <w:t xml:space="preserve"> (10% of the EU’s population)</w:t>
      </w:r>
      <w:r w:rsidR="00173A23" w:rsidRPr="00173A23">
        <w:rPr>
          <w:lang w:val="en-US"/>
        </w:rPr>
        <w:t xml:space="preserve">. The European Commission directly supervises compliance </w:t>
      </w:r>
      <w:r w:rsidR="00864AEF">
        <w:rPr>
          <w:lang w:val="en-US"/>
        </w:rPr>
        <w:t>for</w:t>
      </w:r>
      <w:r w:rsidR="00173A23" w:rsidRPr="00173A23">
        <w:rPr>
          <w:lang w:val="en-US"/>
        </w:rPr>
        <w:t xml:space="preserve"> VLOPs and VLOSEs, while national regulators known as Digital Services Coordinators oversee other providers</w:t>
      </w:r>
      <w:r w:rsidR="00864AEF">
        <w:rPr>
          <w:lang w:val="en-US"/>
        </w:rPr>
        <w:t>.</w:t>
      </w:r>
    </w:p>
    <w:p w14:paraId="1B988B72" w14:textId="77777777" w:rsidR="00173A23" w:rsidRDefault="00173A23" w:rsidP="0084179E">
      <w:pPr>
        <w:spacing w:after="0"/>
        <w:rPr>
          <w:lang w:val="en-US"/>
        </w:rPr>
      </w:pPr>
    </w:p>
    <w:p w14:paraId="5F23F921" w14:textId="210E0AE5" w:rsidR="00864AEF" w:rsidRPr="00864AEF" w:rsidRDefault="00864AEF" w:rsidP="0084179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Obligations Imposed</w:t>
      </w:r>
      <w:r w:rsidR="00AE4A4F">
        <w:rPr>
          <w:b/>
          <w:bCs/>
          <w:lang w:val="en-US"/>
        </w:rPr>
        <w:t xml:space="preserve"> </w:t>
      </w:r>
    </w:p>
    <w:p w14:paraId="1DFB5523" w14:textId="77777777" w:rsidR="00864AEF" w:rsidRPr="00173A23" w:rsidRDefault="00864AEF" w:rsidP="0084179E">
      <w:pPr>
        <w:spacing w:after="0"/>
        <w:rPr>
          <w:lang w:val="en-US"/>
        </w:rPr>
      </w:pPr>
    </w:p>
    <w:p w14:paraId="462A47E4" w14:textId="256EB1FC" w:rsidR="00173A23" w:rsidRPr="00173A23" w:rsidRDefault="00173A23" w:rsidP="0084179E">
      <w:pPr>
        <w:spacing w:after="0"/>
        <w:rPr>
          <w:lang w:val="en-US"/>
        </w:rPr>
      </w:pPr>
      <w:r w:rsidRPr="00173A23">
        <w:rPr>
          <w:lang w:val="en-US"/>
        </w:rPr>
        <w:t xml:space="preserve">The obligations introduced by the </w:t>
      </w:r>
      <w:r w:rsidRPr="0084179E">
        <w:rPr>
          <w:i/>
          <w:iCs/>
          <w:lang w:val="en-US"/>
        </w:rPr>
        <w:t>DSA</w:t>
      </w:r>
      <w:r w:rsidRPr="00173A23">
        <w:rPr>
          <w:lang w:val="en-US"/>
        </w:rPr>
        <w:t xml:space="preserve"> are wide-ranging. All intermediary service providers are required to maintain transparency in their terms of service and to establish</w:t>
      </w:r>
      <w:r w:rsidR="006F5411">
        <w:rPr>
          <w:lang w:val="en-US"/>
        </w:rPr>
        <w:t xml:space="preserve"> “</w:t>
      </w:r>
      <w:r w:rsidRPr="00173A23">
        <w:rPr>
          <w:lang w:val="en-US"/>
        </w:rPr>
        <w:t>notice</w:t>
      </w:r>
      <w:r w:rsidR="006F5411">
        <w:rPr>
          <w:lang w:val="en-US"/>
        </w:rPr>
        <w:t xml:space="preserve"> </w:t>
      </w:r>
      <w:r w:rsidRPr="00173A23">
        <w:rPr>
          <w:lang w:val="en-US"/>
        </w:rPr>
        <w:t>and</w:t>
      </w:r>
      <w:r w:rsidR="006F5411">
        <w:rPr>
          <w:lang w:val="en-US"/>
        </w:rPr>
        <w:t xml:space="preserve"> </w:t>
      </w:r>
      <w:r w:rsidRPr="00173A23">
        <w:rPr>
          <w:lang w:val="en-US"/>
        </w:rPr>
        <w:t>action</w:t>
      </w:r>
      <w:r w:rsidR="006F5411">
        <w:rPr>
          <w:lang w:val="en-US"/>
        </w:rPr>
        <w:t>”</w:t>
      </w:r>
      <w:r w:rsidRPr="00173A23">
        <w:rPr>
          <w:lang w:val="en-US"/>
        </w:rPr>
        <w:t xml:space="preserve"> mechanisms enabling users to flag illegal content. Online platforms must provide internal complaint</w:t>
      </w:r>
      <w:r w:rsidR="006F5411">
        <w:rPr>
          <w:lang w:val="en-US"/>
        </w:rPr>
        <w:t xml:space="preserve"> </w:t>
      </w:r>
      <w:r w:rsidRPr="00173A23">
        <w:rPr>
          <w:lang w:val="en-US"/>
        </w:rPr>
        <w:t>handling systems, cooperate with “trusted flaggers,” and suspend accounts that repeatedly disseminate manifestly illegal content. They are also required to increase transparency around online advertising</w:t>
      </w:r>
      <w:r w:rsidR="006F5411">
        <w:rPr>
          <w:lang w:val="en-US"/>
        </w:rPr>
        <w:t xml:space="preserve">. This includes </w:t>
      </w:r>
      <w:r w:rsidRPr="00173A23">
        <w:rPr>
          <w:lang w:val="en-US"/>
        </w:rPr>
        <w:t>mandatory labelling of sponsored content and prohibitions on targeted advertising directed at children or based on sensitive categories such as political opinion or sexual orientation.</w:t>
      </w:r>
    </w:p>
    <w:p w14:paraId="5F14C780" w14:textId="77777777" w:rsidR="00173A23" w:rsidRPr="00173A23" w:rsidRDefault="00173A23" w:rsidP="0084179E">
      <w:pPr>
        <w:spacing w:after="0"/>
        <w:rPr>
          <w:lang w:val="en-US"/>
        </w:rPr>
      </w:pPr>
    </w:p>
    <w:p w14:paraId="73E00783" w14:textId="5D8E2857" w:rsidR="0084179E" w:rsidRDefault="00173A23" w:rsidP="0084179E">
      <w:pPr>
        <w:spacing w:after="0"/>
        <w:rPr>
          <w:lang w:val="en-US"/>
        </w:rPr>
      </w:pPr>
      <w:r w:rsidRPr="00173A23">
        <w:rPr>
          <w:lang w:val="en-US"/>
        </w:rPr>
        <w:t xml:space="preserve">For VLOPs and VLOSEs, the regulatory demands are more extensive. </w:t>
      </w:r>
      <w:r w:rsidR="00864AEF">
        <w:rPr>
          <w:lang w:val="en-US"/>
        </w:rPr>
        <w:t xml:space="preserve">Unlike smaller intermediaries, these platforms </w:t>
      </w:r>
      <w:r w:rsidRPr="00173A23">
        <w:rPr>
          <w:lang w:val="en-US"/>
        </w:rPr>
        <w:t xml:space="preserve">must conduct annual risk assessments to identify and mitigate systemic risks associated with the dissemination of disinformation, electoral manipulation, gender-based violence, and other online harms. Mitigation measures may include </w:t>
      </w:r>
      <w:r w:rsidR="00864AEF">
        <w:rPr>
          <w:lang w:val="en-US"/>
        </w:rPr>
        <w:t>making algorithmic changes</w:t>
      </w:r>
      <w:r w:rsidRPr="00173A23">
        <w:rPr>
          <w:lang w:val="en-US"/>
        </w:rPr>
        <w:t xml:space="preserve">, restrictions on advertising practices, or enhanced cooperation with fact-checkers. The </w:t>
      </w:r>
      <w:r w:rsidRPr="0084179E">
        <w:rPr>
          <w:i/>
          <w:iCs/>
          <w:lang w:val="en-US"/>
        </w:rPr>
        <w:t>DSA</w:t>
      </w:r>
      <w:r w:rsidRPr="00173A23">
        <w:rPr>
          <w:lang w:val="en-US"/>
        </w:rPr>
        <w:t xml:space="preserve"> also introduces an unprecedented degree of scrutiny by requiring independent audits of these platforms’ compliance and mandating </w:t>
      </w:r>
      <w:r w:rsidR="00D57CCB">
        <w:rPr>
          <w:lang w:val="en-US"/>
        </w:rPr>
        <w:t>that</w:t>
      </w:r>
      <w:r w:rsidRPr="00173A23">
        <w:rPr>
          <w:lang w:val="en-US"/>
        </w:rPr>
        <w:t xml:space="preserve"> accredited researchers studying systemic risks</w:t>
      </w:r>
      <w:r w:rsidR="00D57CCB">
        <w:rPr>
          <w:lang w:val="en-US"/>
        </w:rPr>
        <w:t xml:space="preserve"> have access to datasets</w:t>
      </w:r>
      <w:r w:rsidRPr="00173A23">
        <w:rPr>
          <w:lang w:val="en-US"/>
        </w:rPr>
        <w:t xml:space="preserve">. </w:t>
      </w:r>
      <w:r w:rsidR="0084179E">
        <w:rPr>
          <w:lang w:val="en-US"/>
        </w:rPr>
        <w:t>These measures are intended to manage the significant influence</w:t>
      </w:r>
      <w:r w:rsidR="006A0272">
        <w:rPr>
          <w:lang w:val="en-US"/>
        </w:rPr>
        <w:t xml:space="preserve"> VLOPs and VLOSEs</w:t>
      </w:r>
      <w:r w:rsidR="0084179E">
        <w:rPr>
          <w:lang w:val="en-US"/>
        </w:rPr>
        <w:t xml:space="preserve"> have over democratic discourse, public health and the protection of minors. </w:t>
      </w:r>
    </w:p>
    <w:p w14:paraId="2E16C30E" w14:textId="77777777" w:rsidR="00173A23" w:rsidRDefault="00173A23" w:rsidP="0084179E">
      <w:pPr>
        <w:spacing w:after="0"/>
        <w:rPr>
          <w:lang w:val="en-US"/>
        </w:rPr>
      </w:pPr>
    </w:p>
    <w:p w14:paraId="03F6031B" w14:textId="52E9503C" w:rsidR="0084179E" w:rsidRPr="0084179E" w:rsidRDefault="0084179E" w:rsidP="0084179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Enforcement</w:t>
      </w:r>
    </w:p>
    <w:p w14:paraId="6470D100" w14:textId="77777777" w:rsidR="0084179E" w:rsidRPr="00173A23" w:rsidRDefault="0084179E" w:rsidP="0084179E">
      <w:pPr>
        <w:spacing w:after="0"/>
        <w:rPr>
          <w:lang w:val="en-US"/>
        </w:rPr>
      </w:pPr>
    </w:p>
    <w:p w14:paraId="3A45BBD7" w14:textId="552D29DA" w:rsidR="00173A23" w:rsidRPr="00173A23" w:rsidRDefault="00173A23" w:rsidP="0084179E">
      <w:pPr>
        <w:spacing w:after="0"/>
        <w:rPr>
          <w:lang w:val="en-US"/>
        </w:rPr>
      </w:pPr>
      <w:r w:rsidRPr="00173A23">
        <w:rPr>
          <w:lang w:val="en-US"/>
        </w:rPr>
        <w:t xml:space="preserve">Enforcement of the </w:t>
      </w:r>
      <w:r w:rsidRPr="0084179E">
        <w:rPr>
          <w:i/>
          <w:iCs/>
          <w:lang w:val="en-US"/>
        </w:rPr>
        <w:t>DSA</w:t>
      </w:r>
      <w:r w:rsidRPr="00173A23">
        <w:rPr>
          <w:lang w:val="en-US"/>
        </w:rPr>
        <w:t xml:space="preserve"> is backed by strong sanctions. The European Commission has the authority to impose fines of up to six per cent of a company’s global annual turnover for non-compliance, while persistent and serious infringements may even result in a temporary suspension of services within the EU</w:t>
      </w:r>
      <w:r w:rsidR="00D57CCB">
        <w:rPr>
          <w:lang w:val="en-US"/>
        </w:rPr>
        <w:t>, although this has not yet occurred</w:t>
      </w:r>
      <w:r w:rsidR="000140C0">
        <w:rPr>
          <w:lang w:val="en-US"/>
        </w:rPr>
        <w:t>.</w:t>
      </w:r>
      <w:r w:rsidR="000C0022">
        <w:rPr>
          <w:lang w:val="en-US"/>
        </w:rPr>
        <w:t xml:space="preserve"> </w:t>
      </w:r>
    </w:p>
    <w:p w14:paraId="3DC9849B" w14:textId="77777777" w:rsidR="0058390A" w:rsidRDefault="0058390A" w:rsidP="0084179E">
      <w:pPr>
        <w:spacing w:after="0"/>
        <w:rPr>
          <w:b/>
          <w:bCs/>
          <w:lang w:val="en-US"/>
        </w:rPr>
      </w:pPr>
    </w:p>
    <w:p w14:paraId="314EA10C" w14:textId="06C1398D" w:rsidR="0084179E" w:rsidRPr="0084179E" w:rsidRDefault="0084179E" w:rsidP="0084179E">
      <w:pPr>
        <w:spacing w:after="0"/>
        <w:rPr>
          <w:b/>
          <w:bCs/>
          <w:i/>
          <w:iCs/>
          <w:lang w:val="en-US"/>
        </w:rPr>
      </w:pPr>
      <w:r>
        <w:rPr>
          <w:b/>
          <w:bCs/>
          <w:lang w:val="en-US"/>
        </w:rPr>
        <w:t xml:space="preserve">Impact of the </w:t>
      </w:r>
      <w:r>
        <w:rPr>
          <w:b/>
          <w:bCs/>
          <w:i/>
          <w:iCs/>
          <w:lang w:val="en-US"/>
        </w:rPr>
        <w:t>DSA</w:t>
      </w:r>
    </w:p>
    <w:p w14:paraId="30851809" w14:textId="77777777" w:rsidR="0084179E" w:rsidRPr="00173A23" w:rsidRDefault="0084179E" w:rsidP="0084179E">
      <w:pPr>
        <w:spacing w:after="0"/>
        <w:rPr>
          <w:lang w:val="en-US"/>
        </w:rPr>
      </w:pPr>
    </w:p>
    <w:p w14:paraId="7CF7E077" w14:textId="61D0762E" w:rsidR="0084179E" w:rsidRPr="00173A23" w:rsidRDefault="0084179E" w:rsidP="0084179E">
      <w:pPr>
        <w:spacing w:after="0"/>
        <w:rPr>
          <w:lang w:val="en-US"/>
        </w:rPr>
      </w:pPr>
      <w:r w:rsidRPr="00173A23">
        <w:rPr>
          <w:lang w:val="en-US"/>
        </w:rPr>
        <w:t xml:space="preserve">The introduction of the </w:t>
      </w:r>
      <w:r w:rsidRPr="006C4179">
        <w:rPr>
          <w:i/>
          <w:iCs/>
          <w:lang w:val="en-US"/>
        </w:rPr>
        <w:t>DSA</w:t>
      </w:r>
      <w:r w:rsidRPr="00173A23">
        <w:rPr>
          <w:lang w:val="en-US"/>
        </w:rPr>
        <w:t xml:space="preserve"> </w:t>
      </w:r>
      <w:r w:rsidR="00D57CCB">
        <w:rPr>
          <w:lang w:val="en-US"/>
        </w:rPr>
        <w:t xml:space="preserve">has been an example of the </w:t>
      </w:r>
      <w:r w:rsidRPr="00173A23">
        <w:rPr>
          <w:lang w:val="en-US"/>
        </w:rPr>
        <w:t>“</w:t>
      </w:r>
      <w:r w:rsidRPr="006A0272">
        <w:rPr>
          <w:i/>
          <w:iCs/>
          <w:lang w:val="en-US"/>
        </w:rPr>
        <w:t>Brussels effect</w:t>
      </w:r>
      <w:r w:rsidRPr="00173A23">
        <w:rPr>
          <w:lang w:val="en-US"/>
        </w:rPr>
        <w:t xml:space="preserve">,” </w:t>
      </w:r>
      <w:r w:rsidR="006A0272">
        <w:rPr>
          <w:lang w:val="en-US"/>
        </w:rPr>
        <w:t>where</w:t>
      </w:r>
      <w:r w:rsidRPr="00173A23">
        <w:rPr>
          <w:lang w:val="en-US"/>
        </w:rPr>
        <w:t xml:space="preserve"> EU regulation sets global standards by virtue of </w:t>
      </w:r>
      <w:r w:rsidR="006A0272">
        <w:rPr>
          <w:lang w:val="en-US"/>
        </w:rPr>
        <w:t>its economic weight</w:t>
      </w:r>
      <w:r w:rsidRPr="00173A23">
        <w:rPr>
          <w:lang w:val="en-US"/>
        </w:rPr>
        <w:t xml:space="preserve">. Many large technology companies have announced that they will apply </w:t>
      </w:r>
      <w:r w:rsidRPr="006C4179">
        <w:rPr>
          <w:i/>
          <w:iCs/>
          <w:lang w:val="en-US"/>
        </w:rPr>
        <w:t>DSA</w:t>
      </w:r>
      <w:r w:rsidRPr="00173A23">
        <w:rPr>
          <w:lang w:val="en-US"/>
        </w:rPr>
        <w:t xml:space="preserve"> compliance measures beyond the EU</w:t>
      </w:r>
      <w:r w:rsidR="006F5411">
        <w:rPr>
          <w:lang w:val="en-US"/>
        </w:rPr>
        <w:t xml:space="preserve"> as a cost saving measure</w:t>
      </w:r>
      <w:r w:rsidRPr="00173A23">
        <w:rPr>
          <w:lang w:val="en-US"/>
        </w:rPr>
        <w:t xml:space="preserve">, </w:t>
      </w:r>
      <w:r w:rsidR="006F5411">
        <w:rPr>
          <w:lang w:val="en-US"/>
        </w:rPr>
        <w:t>which means that</w:t>
      </w:r>
      <w:r w:rsidRPr="00173A23">
        <w:rPr>
          <w:lang w:val="en-US"/>
        </w:rPr>
        <w:t xml:space="preserve"> European regulatory norms </w:t>
      </w:r>
      <w:r w:rsidR="006F5411">
        <w:rPr>
          <w:lang w:val="en-US"/>
        </w:rPr>
        <w:t xml:space="preserve">will essentially be exported </w:t>
      </w:r>
      <w:r w:rsidRPr="00173A23">
        <w:rPr>
          <w:lang w:val="en-US"/>
        </w:rPr>
        <w:t>to other jurisdictions</w:t>
      </w:r>
      <w:r w:rsidR="006C4179">
        <w:rPr>
          <w:lang w:val="en-US"/>
        </w:rPr>
        <w:t>. this worldwide</w:t>
      </w:r>
      <w:r w:rsidRPr="00173A23">
        <w:rPr>
          <w:lang w:val="en-US"/>
        </w:rPr>
        <w:t xml:space="preserve"> impact underscores the DSA’s significance as not merely a regional initiative but a global benchmark in platform regulation.</w:t>
      </w:r>
    </w:p>
    <w:p w14:paraId="4C6B3535" w14:textId="77777777" w:rsidR="0084179E" w:rsidRDefault="0084179E" w:rsidP="0084179E">
      <w:pPr>
        <w:spacing w:after="0"/>
        <w:rPr>
          <w:lang w:val="en-US"/>
        </w:rPr>
      </w:pPr>
    </w:p>
    <w:p w14:paraId="3D6E699D" w14:textId="089E49EB" w:rsidR="0058390A" w:rsidRPr="0058390A" w:rsidRDefault="0058390A" w:rsidP="0084179E">
      <w:pPr>
        <w:spacing w:after="0"/>
        <w:rPr>
          <w:b/>
          <w:bCs/>
          <w:i/>
          <w:iCs/>
          <w:lang w:val="en-US"/>
        </w:rPr>
      </w:pPr>
      <w:r>
        <w:rPr>
          <w:b/>
          <w:bCs/>
          <w:lang w:val="en-US"/>
        </w:rPr>
        <w:t xml:space="preserve">Reactions to the </w:t>
      </w:r>
      <w:r>
        <w:rPr>
          <w:b/>
          <w:bCs/>
          <w:i/>
          <w:iCs/>
          <w:lang w:val="en-US"/>
        </w:rPr>
        <w:t xml:space="preserve">DSA </w:t>
      </w:r>
    </w:p>
    <w:p w14:paraId="1493B0DB" w14:textId="77777777" w:rsidR="0058390A" w:rsidRPr="00173A23" w:rsidRDefault="0058390A" w:rsidP="0084179E">
      <w:pPr>
        <w:spacing w:after="0"/>
        <w:rPr>
          <w:lang w:val="en-US"/>
        </w:rPr>
      </w:pPr>
    </w:p>
    <w:p w14:paraId="26D474EE" w14:textId="671107A6" w:rsidR="000C0022" w:rsidRPr="000C0022" w:rsidRDefault="0084179E" w:rsidP="00670AD3">
      <w:pPr>
        <w:spacing w:after="0"/>
        <w:rPr>
          <w:lang w:val="en-US"/>
        </w:rPr>
      </w:pPr>
      <w:r w:rsidRPr="00173A23">
        <w:rPr>
          <w:lang w:val="en-US"/>
        </w:rPr>
        <w:t xml:space="preserve">Critics of the </w:t>
      </w:r>
      <w:r w:rsidRPr="006C4179">
        <w:rPr>
          <w:i/>
          <w:iCs/>
          <w:lang w:val="en-US"/>
        </w:rPr>
        <w:t>DSA</w:t>
      </w:r>
      <w:r w:rsidRPr="00173A23">
        <w:rPr>
          <w:lang w:val="en-US"/>
        </w:rPr>
        <w:t xml:space="preserve"> have raised concerns about its potential impact on freedom of expression</w:t>
      </w:r>
      <w:r w:rsidR="006F5411">
        <w:rPr>
          <w:lang w:val="en-US"/>
        </w:rPr>
        <w:t xml:space="preserve">. Some argue that </w:t>
      </w:r>
      <w:r w:rsidRPr="00173A23">
        <w:rPr>
          <w:lang w:val="en-US"/>
        </w:rPr>
        <w:t>obligations requiring platforms to act swiftly against illegal content</w:t>
      </w:r>
      <w:r w:rsidR="006F5411">
        <w:rPr>
          <w:lang w:val="en-US"/>
        </w:rPr>
        <w:t xml:space="preserve"> may </w:t>
      </w:r>
      <w:r w:rsidRPr="00173A23">
        <w:rPr>
          <w:lang w:val="en-US"/>
        </w:rPr>
        <w:t>incentivise</w:t>
      </w:r>
      <w:r w:rsidR="006A0272">
        <w:rPr>
          <w:lang w:val="en-US"/>
        </w:rPr>
        <w:t xml:space="preserve"> excessive censorship</w:t>
      </w:r>
      <w:r w:rsidRPr="00173A23">
        <w:rPr>
          <w:lang w:val="en-US"/>
        </w:rPr>
        <w:t xml:space="preserve">. </w:t>
      </w:r>
      <w:r w:rsidR="000C0022">
        <w:rPr>
          <w:lang w:val="en-US"/>
        </w:rPr>
        <w:t xml:space="preserve">This sentiment has been particularly echoed by large American tech companies, who were the subject of 60 enforcement actions just in the first year after the </w:t>
      </w:r>
      <w:r w:rsidR="000C0022">
        <w:rPr>
          <w:i/>
          <w:iCs/>
          <w:lang w:val="en-US"/>
        </w:rPr>
        <w:t xml:space="preserve">DSA’s </w:t>
      </w:r>
      <w:r w:rsidR="000C0022">
        <w:rPr>
          <w:lang w:val="en-US"/>
        </w:rPr>
        <w:t xml:space="preserve">entry into force. </w:t>
      </w:r>
    </w:p>
    <w:p w14:paraId="102B3603" w14:textId="77777777" w:rsidR="000C0022" w:rsidRDefault="000C0022" w:rsidP="00670AD3">
      <w:pPr>
        <w:spacing w:after="0"/>
        <w:rPr>
          <w:lang w:val="en-US"/>
        </w:rPr>
      </w:pPr>
    </w:p>
    <w:p w14:paraId="2043F316" w14:textId="5B97B43E" w:rsidR="00173A23" w:rsidRDefault="006A0272" w:rsidP="00670AD3">
      <w:pPr>
        <w:spacing w:after="0"/>
        <w:rPr>
          <w:lang w:val="en-US"/>
        </w:rPr>
      </w:pPr>
      <w:r>
        <w:rPr>
          <w:lang w:val="en-US"/>
        </w:rPr>
        <w:t>There is also concern over the</w:t>
      </w:r>
      <w:r w:rsidR="0084179E" w:rsidRPr="00173A23">
        <w:rPr>
          <w:lang w:val="en-US"/>
        </w:rPr>
        <w:t xml:space="preserve"> feasibility of implementing effective risk-mitigation measures without creating undue burdens on smaller platforms. </w:t>
      </w:r>
      <w:r>
        <w:rPr>
          <w:lang w:val="en-US"/>
        </w:rPr>
        <w:t xml:space="preserve">The </w:t>
      </w:r>
      <w:r w:rsidR="00670AD3">
        <w:rPr>
          <w:lang w:val="en-US"/>
        </w:rPr>
        <w:t>European</w:t>
      </w:r>
      <w:r>
        <w:rPr>
          <w:lang w:val="en-US"/>
        </w:rPr>
        <w:t xml:space="preserve"> Commission has attempted to address this issue by offering targeted 12-month exemptions </w:t>
      </w:r>
      <w:r w:rsidR="00670AD3">
        <w:rPr>
          <w:lang w:val="en-US"/>
        </w:rPr>
        <w:t>to companies transitioning into VLOPs or VLOSEs</w:t>
      </w:r>
      <w:r w:rsidR="000140C0">
        <w:rPr>
          <w:lang w:val="en-US"/>
        </w:rPr>
        <w:t>.</w:t>
      </w:r>
      <w:r w:rsidR="000140C0" w:rsidRPr="00173A23">
        <w:rPr>
          <w:lang w:val="en-US"/>
        </w:rPr>
        <w:t xml:space="preserve"> </w:t>
      </w:r>
      <w:r w:rsidR="0084179E" w:rsidRPr="00173A23">
        <w:rPr>
          <w:lang w:val="en-US"/>
        </w:rPr>
        <w:t xml:space="preserve">Nonetheless, the </w:t>
      </w:r>
      <w:r w:rsidR="0084179E" w:rsidRPr="006A0272">
        <w:rPr>
          <w:i/>
          <w:iCs/>
          <w:lang w:val="en-US"/>
        </w:rPr>
        <w:t>DSA</w:t>
      </w:r>
      <w:r w:rsidR="0084179E" w:rsidRPr="00173A23">
        <w:rPr>
          <w:lang w:val="en-US"/>
        </w:rPr>
        <w:t xml:space="preserve"> has been praised </w:t>
      </w:r>
      <w:r w:rsidR="000C0022">
        <w:rPr>
          <w:lang w:val="en-US"/>
        </w:rPr>
        <w:t>by many for</w:t>
      </w:r>
      <w:r w:rsidR="0084179E" w:rsidRPr="00173A23">
        <w:rPr>
          <w:lang w:val="en-US"/>
        </w:rPr>
        <w:t xml:space="preserve"> introducing </w:t>
      </w:r>
      <w:r>
        <w:rPr>
          <w:lang w:val="en-US"/>
        </w:rPr>
        <w:t xml:space="preserve">a more updated regulatory approach that is more transparent and better </w:t>
      </w:r>
      <w:r w:rsidR="00670AD3">
        <w:rPr>
          <w:lang w:val="en-US"/>
        </w:rPr>
        <w:t>addresses</w:t>
      </w:r>
      <w:r>
        <w:rPr>
          <w:lang w:val="en-US"/>
        </w:rPr>
        <w:t xml:space="preserve"> </w:t>
      </w:r>
      <w:r w:rsidR="00670AD3">
        <w:rPr>
          <w:lang w:val="en-US"/>
        </w:rPr>
        <w:t>the</w:t>
      </w:r>
      <w:r>
        <w:rPr>
          <w:lang w:val="en-US"/>
        </w:rPr>
        <w:t xml:space="preserve"> central </w:t>
      </w:r>
      <w:r w:rsidR="00670AD3">
        <w:rPr>
          <w:lang w:val="en-US"/>
        </w:rPr>
        <w:t>role VLOPs and VLOSEs</w:t>
      </w:r>
      <w:r>
        <w:rPr>
          <w:lang w:val="en-US"/>
        </w:rPr>
        <w:t xml:space="preserve"> </w:t>
      </w:r>
      <w:r w:rsidR="00670AD3">
        <w:rPr>
          <w:lang w:val="en-US"/>
        </w:rPr>
        <w:t xml:space="preserve">play </w:t>
      </w:r>
      <w:r>
        <w:rPr>
          <w:lang w:val="en-US"/>
        </w:rPr>
        <w:t xml:space="preserve">in shaping the online </w:t>
      </w:r>
      <w:r w:rsidR="00670AD3">
        <w:rPr>
          <w:lang w:val="en-US"/>
        </w:rPr>
        <w:t xml:space="preserve">environment. </w:t>
      </w:r>
    </w:p>
    <w:p w14:paraId="5AB5A249" w14:textId="77777777" w:rsidR="0084179E" w:rsidRDefault="0084179E" w:rsidP="0084179E">
      <w:pPr>
        <w:spacing w:after="0"/>
        <w:rPr>
          <w:lang w:val="en-US"/>
        </w:rPr>
      </w:pPr>
    </w:p>
    <w:p w14:paraId="66B24CA7" w14:textId="7E36E2C1" w:rsidR="0084179E" w:rsidRDefault="0058390A" w:rsidP="0084179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Other Relevant Policy Instruments </w:t>
      </w:r>
    </w:p>
    <w:p w14:paraId="1917D489" w14:textId="77777777" w:rsidR="0084179E" w:rsidRPr="0084179E" w:rsidRDefault="0084179E" w:rsidP="0084179E">
      <w:pPr>
        <w:spacing w:after="0"/>
        <w:rPr>
          <w:b/>
          <w:bCs/>
          <w:lang w:val="en-US"/>
        </w:rPr>
      </w:pPr>
    </w:p>
    <w:p w14:paraId="09BC9542" w14:textId="4E072531" w:rsidR="00670AD3" w:rsidRDefault="00173A23" w:rsidP="0084179E">
      <w:pPr>
        <w:spacing w:after="0"/>
        <w:rPr>
          <w:lang w:val="en-US"/>
        </w:rPr>
      </w:pPr>
      <w:r w:rsidRPr="00173A23">
        <w:rPr>
          <w:lang w:val="en-US"/>
        </w:rPr>
        <w:t xml:space="preserve">The </w:t>
      </w:r>
      <w:r w:rsidRPr="0084179E">
        <w:rPr>
          <w:i/>
          <w:iCs/>
          <w:lang w:val="en-US"/>
        </w:rPr>
        <w:t>DSA</w:t>
      </w:r>
      <w:r w:rsidRPr="00173A23">
        <w:rPr>
          <w:lang w:val="en-US"/>
        </w:rPr>
        <w:t xml:space="preserve"> does not exist in isolation but operates alongside other </w:t>
      </w:r>
      <w:r w:rsidR="0035127B">
        <w:rPr>
          <w:lang w:val="en-US"/>
        </w:rPr>
        <w:t>EU</w:t>
      </w:r>
      <w:r w:rsidRPr="00173A23">
        <w:rPr>
          <w:lang w:val="en-US"/>
        </w:rPr>
        <w:t xml:space="preserve"> policy instruments. The </w:t>
      </w:r>
      <w:r w:rsidRPr="0084179E">
        <w:rPr>
          <w:i/>
          <w:iCs/>
          <w:lang w:val="en-US"/>
        </w:rPr>
        <w:t>Digital Markets Act</w:t>
      </w:r>
      <w:r w:rsidRPr="00173A23">
        <w:rPr>
          <w:lang w:val="en-US"/>
        </w:rPr>
        <w:t xml:space="preserve"> (</w:t>
      </w:r>
      <w:r w:rsidR="0084179E">
        <w:rPr>
          <w:lang w:val="en-US"/>
        </w:rPr>
        <w:t>“</w:t>
      </w:r>
      <w:r w:rsidRPr="00173A23">
        <w:rPr>
          <w:lang w:val="en-US"/>
        </w:rPr>
        <w:t>DMA</w:t>
      </w:r>
      <w:r w:rsidR="0084179E">
        <w:rPr>
          <w:lang w:val="en-US"/>
        </w:rPr>
        <w:t>”</w:t>
      </w:r>
      <w:r w:rsidRPr="00173A23">
        <w:rPr>
          <w:lang w:val="en-US"/>
        </w:rPr>
        <w:t xml:space="preserve">), which also entered into force in 2022, complements the </w:t>
      </w:r>
      <w:r w:rsidRPr="00670AD3">
        <w:rPr>
          <w:i/>
          <w:iCs/>
          <w:lang w:val="en-US"/>
        </w:rPr>
        <w:t>DSA</w:t>
      </w:r>
      <w:r w:rsidRPr="00173A23">
        <w:rPr>
          <w:lang w:val="en-US"/>
        </w:rPr>
        <w:t xml:space="preserve"> by imposing obligations on so-called “gatekeeper” platforms to prevent anti-competitive conduct and preserve contestability in digital markets. </w:t>
      </w:r>
    </w:p>
    <w:p w14:paraId="55265936" w14:textId="77777777" w:rsidR="0084179E" w:rsidRPr="00173A23" w:rsidRDefault="0084179E" w:rsidP="0084179E">
      <w:pPr>
        <w:spacing w:after="0"/>
        <w:rPr>
          <w:lang w:val="en-US"/>
        </w:rPr>
      </w:pPr>
    </w:p>
    <w:p w14:paraId="15ED7C68" w14:textId="26FA2823" w:rsidR="0035127B" w:rsidRDefault="00D57CCB" w:rsidP="0084179E">
      <w:pPr>
        <w:spacing w:after="0"/>
        <w:rPr>
          <w:lang w:val="en-US"/>
        </w:rPr>
      </w:pPr>
      <w:r>
        <w:rPr>
          <w:lang w:val="en-US"/>
        </w:rPr>
        <w:t>T</w:t>
      </w:r>
      <w:r w:rsidR="00173A23" w:rsidRPr="00173A23">
        <w:rPr>
          <w:lang w:val="en-US"/>
        </w:rPr>
        <w:t xml:space="preserve">he </w:t>
      </w:r>
      <w:r w:rsidR="00173A23" w:rsidRPr="00670AD3">
        <w:rPr>
          <w:i/>
          <w:iCs/>
          <w:lang w:val="en-US"/>
        </w:rPr>
        <w:t>Audiovisual Media Services Directive</w:t>
      </w:r>
      <w:r w:rsidR="00173A23" w:rsidRPr="00173A23">
        <w:rPr>
          <w:lang w:val="en-US"/>
        </w:rPr>
        <w:t xml:space="preserve"> (AVMSD)</w:t>
      </w:r>
      <w:r>
        <w:rPr>
          <w:lang w:val="en-US"/>
        </w:rPr>
        <w:t xml:space="preserve"> introduced in 2010 imposes</w:t>
      </w:r>
      <w:r w:rsidR="00173A23" w:rsidRPr="00173A23">
        <w:rPr>
          <w:lang w:val="en-US"/>
        </w:rPr>
        <w:t xml:space="preserve"> standards on audiovisual media providers, including video-sharing platforms, with a focus on the protection of minors and the prohibition of incitement to violence or hatred. </w:t>
      </w:r>
    </w:p>
    <w:p w14:paraId="3ACD8445" w14:textId="77777777" w:rsidR="0035127B" w:rsidRDefault="0035127B" w:rsidP="0084179E">
      <w:pPr>
        <w:spacing w:after="0"/>
        <w:rPr>
          <w:lang w:val="en-US"/>
        </w:rPr>
      </w:pPr>
    </w:p>
    <w:p w14:paraId="558E5AD0" w14:textId="49EED17D" w:rsidR="00173A23" w:rsidRPr="00173A23" w:rsidRDefault="0035127B" w:rsidP="0084179E">
      <w:pPr>
        <w:spacing w:after="0"/>
        <w:rPr>
          <w:lang w:val="en-US"/>
        </w:rPr>
      </w:pPr>
      <w:r>
        <w:rPr>
          <w:lang w:val="en-US"/>
        </w:rPr>
        <w:t>The</w:t>
      </w:r>
      <w:r w:rsidR="00173A23" w:rsidRPr="00173A23">
        <w:rPr>
          <w:lang w:val="en-US"/>
        </w:rPr>
        <w:t xml:space="preserve"> EU </w:t>
      </w:r>
      <w:r>
        <w:rPr>
          <w:lang w:val="en-US"/>
        </w:rPr>
        <w:t xml:space="preserve">also </w:t>
      </w:r>
      <w:r w:rsidR="00D57CCB">
        <w:rPr>
          <w:lang w:val="en-US"/>
        </w:rPr>
        <w:t>introduced the</w:t>
      </w:r>
      <w:r w:rsidR="00173A23" w:rsidRPr="00173A23">
        <w:rPr>
          <w:lang w:val="en-US"/>
        </w:rPr>
        <w:t xml:space="preserve"> </w:t>
      </w:r>
      <w:r w:rsidR="00173A23" w:rsidRPr="006F5411">
        <w:rPr>
          <w:i/>
          <w:iCs/>
          <w:lang w:val="en-US"/>
        </w:rPr>
        <w:t>Code of Practice on Disinformation</w:t>
      </w:r>
      <w:r w:rsidR="00D57CCB">
        <w:rPr>
          <w:lang w:val="en-US"/>
        </w:rPr>
        <w:t xml:space="preserve"> in 2018</w:t>
      </w:r>
      <w:r w:rsidR="006F5411">
        <w:rPr>
          <w:lang w:val="en-US"/>
        </w:rPr>
        <w:t>. It is</w:t>
      </w:r>
      <w:r w:rsidR="00173A23" w:rsidRPr="00173A23">
        <w:rPr>
          <w:lang w:val="en-US"/>
        </w:rPr>
        <w:t xml:space="preserve"> a voluntary but widely adopted instrument designed to tackle online misinformation through commitments by platforms to improve transparency, curb manipulative advertising, and support independent fact-checking. While voluntary in nature, the Code’s principles have been reinforced by the binding obligations introduced in the </w:t>
      </w:r>
      <w:r w:rsidR="00173A23" w:rsidRPr="0035127B">
        <w:rPr>
          <w:i/>
          <w:iCs/>
          <w:lang w:val="en-US"/>
        </w:rPr>
        <w:t>DSA</w:t>
      </w:r>
      <w:r>
        <w:rPr>
          <w:lang w:val="en-US"/>
        </w:rPr>
        <w:t>.</w:t>
      </w:r>
    </w:p>
    <w:p w14:paraId="513ECF01" w14:textId="77777777" w:rsidR="00173A23" w:rsidRDefault="00173A23" w:rsidP="0084179E">
      <w:pPr>
        <w:spacing w:after="0"/>
        <w:rPr>
          <w:lang w:val="en-US"/>
        </w:rPr>
      </w:pPr>
    </w:p>
    <w:p w14:paraId="1A53B68F" w14:textId="46D2A984" w:rsidR="00173A23" w:rsidRDefault="00173A23" w:rsidP="0084179E">
      <w:pPr>
        <w:spacing w:after="0"/>
        <w:rPr>
          <w:lang w:val="en-US"/>
        </w:rPr>
      </w:pPr>
      <w:r>
        <w:rPr>
          <w:lang w:val="en-US"/>
        </w:rPr>
        <w:br w:type="page"/>
      </w:r>
    </w:p>
    <w:bookmarkEnd w:id="0"/>
    <w:p w14:paraId="22638B39" w14:textId="46A6FB14" w:rsidR="00173A23" w:rsidRDefault="00DE0C9B" w:rsidP="0084179E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Bibliography</w:t>
      </w:r>
    </w:p>
    <w:p w14:paraId="121468DA" w14:textId="77777777" w:rsidR="000C0022" w:rsidRDefault="000C0022" w:rsidP="0084179E">
      <w:pPr>
        <w:spacing w:after="0"/>
        <w:rPr>
          <w:b/>
          <w:bCs/>
          <w:lang w:val="en-US"/>
        </w:rPr>
      </w:pPr>
    </w:p>
    <w:p w14:paraId="26D3BA62" w14:textId="77777777" w:rsidR="000C0022" w:rsidRDefault="000C0022" w:rsidP="000C0022">
      <w:pPr>
        <w:spacing w:after="0"/>
        <w:rPr>
          <w:lang w:val="en-US"/>
        </w:rPr>
      </w:pPr>
      <w:r>
        <w:rPr>
          <w:lang w:val="en-US"/>
        </w:rPr>
        <w:t xml:space="preserve">Akash Pugalia, ‘Here’s how the Digital Services Act changes content moderation’ </w:t>
      </w:r>
      <w:r>
        <w:rPr>
          <w:i/>
          <w:iCs/>
          <w:lang w:val="en-US"/>
        </w:rPr>
        <w:t>World Economic Forum</w:t>
      </w:r>
      <w:r>
        <w:rPr>
          <w:lang w:val="en-US"/>
        </w:rPr>
        <w:t xml:space="preserve"> (online, 13 December 2022) &lt;</w:t>
      </w:r>
      <w:r w:rsidRPr="004E7AEB">
        <w:t xml:space="preserve"> </w:t>
      </w:r>
      <w:hyperlink r:id="rId7" w:history="1">
        <w:r w:rsidRPr="004C2107">
          <w:rPr>
            <w:rStyle w:val="Hyperlink"/>
            <w:lang w:val="en-US"/>
          </w:rPr>
          <w:t>https://www.weforum.org/stories/2022/12/how-companies-prepare-digital-services-act/</w:t>
        </w:r>
      </w:hyperlink>
      <w:r>
        <w:rPr>
          <w:lang w:val="en-US"/>
        </w:rPr>
        <w:t xml:space="preserve">&gt;. </w:t>
      </w:r>
    </w:p>
    <w:p w14:paraId="1D1A8EB1" w14:textId="77777777" w:rsidR="000C0022" w:rsidRDefault="000C0022" w:rsidP="000C0022">
      <w:pPr>
        <w:spacing w:after="0"/>
        <w:rPr>
          <w:lang w:val="en-US"/>
        </w:rPr>
      </w:pPr>
    </w:p>
    <w:p w14:paraId="11BBD141" w14:textId="77777777" w:rsidR="000C0022" w:rsidRDefault="000C0022" w:rsidP="000C0022">
      <w:pPr>
        <w:spacing w:after="0"/>
        <w:rPr>
          <w:lang w:val="en-US"/>
        </w:rPr>
      </w:pPr>
      <w:r>
        <w:rPr>
          <w:lang w:val="en-US"/>
        </w:rPr>
        <w:t xml:space="preserve">Alessandra Manzoni, ‘The Digital Services Act (DSA)’, </w:t>
      </w:r>
      <w:r>
        <w:rPr>
          <w:i/>
          <w:iCs/>
          <w:lang w:val="en-US"/>
        </w:rPr>
        <w:t>activeMind.legal</w:t>
      </w:r>
      <w:r>
        <w:rPr>
          <w:lang w:val="en-US"/>
        </w:rPr>
        <w:t xml:space="preserve"> (online, 22 June 2025) &lt;</w:t>
      </w:r>
      <w:r w:rsidRPr="000140C0">
        <w:t xml:space="preserve"> </w:t>
      </w:r>
      <w:hyperlink r:id="rId8" w:history="1">
        <w:r w:rsidRPr="004C2107">
          <w:rPr>
            <w:rStyle w:val="Hyperlink"/>
            <w:lang w:val="en-US"/>
          </w:rPr>
          <w:t>https://www.activemind.legal/guides/dsa/</w:t>
        </w:r>
      </w:hyperlink>
      <w:r>
        <w:rPr>
          <w:lang w:val="en-US"/>
        </w:rPr>
        <w:t xml:space="preserve">&gt;. </w:t>
      </w:r>
    </w:p>
    <w:p w14:paraId="34BD9488" w14:textId="77777777" w:rsidR="00D57CCB" w:rsidRDefault="00D57CCB" w:rsidP="00D57CCB">
      <w:pPr>
        <w:spacing w:after="0"/>
        <w:rPr>
          <w:lang w:val="en-US"/>
        </w:rPr>
      </w:pPr>
    </w:p>
    <w:p w14:paraId="2457833F" w14:textId="3BFB5A22" w:rsidR="00D57CCB" w:rsidRPr="00D57CCB" w:rsidRDefault="00D57CCB" w:rsidP="00D57CCB">
      <w:pPr>
        <w:spacing w:after="0"/>
        <w:rPr>
          <w:lang w:val="en-US"/>
        </w:rPr>
      </w:pPr>
      <w:r>
        <w:rPr>
          <w:lang w:val="en-US"/>
        </w:rPr>
        <w:t xml:space="preserve">Christian Odendahl, ‘How Europe’s new digital law will change the internet’, </w:t>
      </w:r>
      <w:r>
        <w:rPr>
          <w:i/>
          <w:iCs/>
          <w:lang w:val="en-US"/>
        </w:rPr>
        <w:t>The Economist</w:t>
      </w:r>
      <w:r>
        <w:rPr>
          <w:lang w:val="en-US"/>
        </w:rPr>
        <w:t xml:space="preserve"> (online, 24 August 2023) &lt;</w:t>
      </w:r>
      <w:hyperlink r:id="rId9" w:history="1">
        <w:r w:rsidRPr="004C2107">
          <w:rPr>
            <w:rStyle w:val="Hyperlink"/>
            <w:lang w:val="en-US"/>
          </w:rPr>
          <w:t>https://www.economist.com/the-economist-explains/2023/08/24/how-europes-new-digital-law-will-change-the-internet</w:t>
        </w:r>
      </w:hyperlink>
      <w:r>
        <w:rPr>
          <w:lang w:val="en-US"/>
        </w:rPr>
        <w:t xml:space="preserve">&gt;. </w:t>
      </w:r>
    </w:p>
    <w:p w14:paraId="6D5776F6" w14:textId="77777777" w:rsidR="000C0022" w:rsidRDefault="000C0022" w:rsidP="000C0022">
      <w:pPr>
        <w:spacing w:after="0"/>
        <w:rPr>
          <w:lang w:val="en-US"/>
        </w:rPr>
      </w:pPr>
    </w:p>
    <w:p w14:paraId="645DE7E7" w14:textId="77777777" w:rsidR="000C0022" w:rsidRDefault="000C0022" w:rsidP="000C0022">
      <w:pPr>
        <w:spacing w:after="0"/>
        <w:rPr>
          <w:lang w:val="en-US"/>
        </w:rPr>
      </w:pPr>
      <w:r>
        <w:rPr>
          <w:lang w:val="en-US"/>
        </w:rPr>
        <w:t xml:space="preserve">Eliska Pirkova, ‘The Digital Services Act: your guide to the EU’s new content moderation rules’, </w:t>
      </w:r>
      <w:r>
        <w:rPr>
          <w:i/>
          <w:iCs/>
          <w:lang w:val="en-US"/>
        </w:rPr>
        <w:t xml:space="preserve">Accessnow </w:t>
      </w:r>
      <w:r>
        <w:rPr>
          <w:lang w:val="en-US"/>
        </w:rPr>
        <w:t>(online, 6 July 2022) &lt;</w:t>
      </w:r>
      <w:r w:rsidRPr="000140C0">
        <w:t xml:space="preserve"> </w:t>
      </w:r>
      <w:hyperlink r:id="rId10" w:history="1">
        <w:r w:rsidRPr="004C2107">
          <w:rPr>
            <w:rStyle w:val="Hyperlink"/>
            <w:lang w:val="en-US"/>
          </w:rPr>
          <w:t>https://www.accessnow.org/digital-services-act-eu-content-moderation-rules-guide/</w:t>
        </w:r>
      </w:hyperlink>
      <w:r>
        <w:rPr>
          <w:lang w:val="en-US"/>
        </w:rPr>
        <w:t xml:space="preserve">&gt;. </w:t>
      </w:r>
    </w:p>
    <w:p w14:paraId="6D7C943C" w14:textId="77777777" w:rsidR="000C0022" w:rsidRDefault="000C0022" w:rsidP="007F667A">
      <w:pPr>
        <w:spacing w:after="0"/>
      </w:pPr>
    </w:p>
    <w:p w14:paraId="4CE5AD2E" w14:textId="2686559E" w:rsidR="000C0022" w:rsidRDefault="000C0022" w:rsidP="007F667A">
      <w:pPr>
        <w:spacing w:after="0"/>
      </w:pPr>
      <w:r>
        <w:t>European Commission, ‘The Digital Markets Act: ensuring fair and open digital markets’ (online 2024) &lt;</w:t>
      </w:r>
      <w:r w:rsidRPr="000C0022">
        <w:t xml:space="preserve"> </w:t>
      </w:r>
      <w:hyperlink r:id="rId11" w:history="1">
        <w:r w:rsidRPr="004C2107">
          <w:rPr>
            <w:rStyle w:val="Hyperlink"/>
          </w:rPr>
          <w:t>https://commission.europa.eu/strategy-and-policy/priorities-2019-2024/europe-fit-digital-age/digital-markets-act-ensuring-fair-and-open-digital-markets_en</w:t>
        </w:r>
      </w:hyperlink>
      <w:r>
        <w:t xml:space="preserve">&gt;. </w:t>
      </w:r>
    </w:p>
    <w:p w14:paraId="632572AD" w14:textId="77777777" w:rsidR="000C0022" w:rsidRDefault="000C0022" w:rsidP="007F667A">
      <w:pPr>
        <w:spacing w:after="0"/>
      </w:pPr>
    </w:p>
    <w:p w14:paraId="4A5FD22F" w14:textId="014C9690" w:rsidR="007F667A" w:rsidRPr="007F667A" w:rsidRDefault="007F667A" w:rsidP="007F667A">
      <w:pPr>
        <w:spacing w:after="0"/>
        <w:rPr>
          <w:lang w:val="en-US"/>
        </w:rPr>
      </w:pPr>
      <w:r w:rsidRPr="007F667A">
        <w:t xml:space="preserve">European Commission, </w:t>
      </w:r>
      <w:r>
        <w:t>‘</w:t>
      </w:r>
      <w:r w:rsidRPr="007F667A">
        <w:t>The Digital Services Act</w:t>
      </w:r>
      <w:r>
        <w:t>’</w:t>
      </w:r>
      <w:r w:rsidRPr="007F667A">
        <w:t xml:space="preserve"> (</w:t>
      </w:r>
      <w:r>
        <w:t>onlin</w:t>
      </w:r>
      <w:r w:rsidR="000140C0">
        <w:t>e</w:t>
      </w:r>
      <w:r w:rsidRPr="007F667A">
        <w:t>, 202</w:t>
      </w:r>
      <w:r w:rsidR="000C0022">
        <w:t>4</w:t>
      </w:r>
      <w:r w:rsidRPr="007F667A">
        <w:t xml:space="preserve">) </w:t>
      </w:r>
      <w:r>
        <w:t>&lt;</w:t>
      </w:r>
      <w:hyperlink r:id="rId12" w:history="1">
        <w:r w:rsidRPr="004C2107">
          <w:rPr>
            <w:rStyle w:val="Hyperlink"/>
          </w:rPr>
          <w:t>https://commission.europa.eu/strategy-and-policy/priorities-2019-2024/europe-fit-digital-age/digital-services-act_en</w:t>
        </w:r>
      </w:hyperlink>
      <w:r>
        <w:rPr>
          <w:lang w:val="en-US"/>
        </w:rPr>
        <w:t>&gt;</w:t>
      </w:r>
      <w:r w:rsidRPr="007F667A">
        <w:t>.</w:t>
      </w:r>
    </w:p>
    <w:p w14:paraId="500B1EA0" w14:textId="77777777" w:rsidR="00DE0C9B" w:rsidRDefault="00DE0C9B" w:rsidP="0084179E">
      <w:pPr>
        <w:spacing w:after="0"/>
        <w:rPr>
          <w:b/>
          <w:bCs/>
          <w:lang w:val="en-US"/>
        </w:rPr>
      </w:pPr>
    </w:p>
    <w:p w14:paraId="607716DF" w14:textId="1D02E713" w:rsidR="00DE0C9B" w:rsidRDefault="007F667A" w:rsidP="0084179E">
      <w:pPr>
        <w:spacing w:after="0"/>
        <w:rPr>
          <w:lang w:val="en-US"/>
        </w:rPr>
      </w:pPr>
      <w:r w:rsidRPr="007F667A">
        <w:t xml:space="preserve">European Commission, </w:t>
      </w:r>
      <w:r>
        <w:t>‘</w:t>
      </w:r>
      <w:r w:rsidRPr="007F667A">
        <w:t>The Enforcement Framework under the Digital Services Act</w:t>
      </w:r>
      <w:r>
        <w:t>’</w:t>
      </w:r>
      <w:r>
        <w:rPr>
          <w:i/>
          <w:iCs/>
        </w:rPr>
        <w:t xml:space="preserve"> </w:t>
      </w:r>
      <w:r w:rsidRPr="007F667A">
        <w:t>(</w:t>
      </w:r>
      <w:r>
        <w:t>onlin</w:t>
      </w:r>
      <w:r w:rsidR="000140C0">
        <w:t>e</w:t>
      </w:r>
      <w:r w:rsidRPr="007F667A">
        <w:t xml:space="preserve">, 2024) </w:t>
      </w:r>
      <w:r>
        <w:t>&lt;</w:t>
      </w:r>
      <w:hyperlink r:id="rId13" w:history="1">
        <w:r w:rsidRPr="004C2107">
          <w:rPr>
            <w:rStyle w:val="Hyperlink"/>
          </w:rPr>
          <w:t>https://digital-strategy.ec.europa.eu/en/policies/dsa-enforcement</w:t>
        </w:r>
      </w:hyperlink>
      <w:r>
        <w:t>&gt;</w:t>
      </w:r>
      <w:r>
        <w:rPr>
          <w:lang w:val="en-US"/>
        </w:rPr>
        <w:t xml:space="preserve">. </w:t>
      </w:r>
    </w:p>
    <w:p w14:paraId="10848A4D" w14:textId="77777777" w:rsidR="007F667A" w:rsidRDefault="007F667A" w:rsidP="0084179E">
      <w:pPr>
        <w:spacing w:after="0"/>
        <w:rPr>
          <w:lang w:val="en-US"/>
        </w:rPr>
      </w:pPr>
    </w:p>
    <w:p w14:paraId="7A128AED" w14:textId="650AC8B2" w:rsidR="007F667A" w:rsidRDefault="000140C0">
      <w:pPr>
        <w:spacing w:after="0"/>
        <w:rPr>
          <w:lang w:val="en-US"/>
        </w:rPr>
      </w:pPr>
      <w:r>
        <w:rPr>
          <w:lang w:val="en-US"/>
        </w:rPr>
        <w:t>European Commission, ‘A strengthened EU Code of Practice on Disinformation’ (online, 2024) &lt;</w:t>
      </w:r>
      <w:r w:rsidRPr="000140C0">
        <w:t xml:space="preserve"> </w:t>
      </w:r>
      <w:hyperlink r:id="rId14" w:history="1">
        <w:r w:rsidRPr="004C2107">
          <w:rPr>
            <w:rStyle w:val="Hyperlink"/>
            <w:lang w:val="en-US"/>
          </w:rPr>
          <w:t>https://commission.europa.eu/strategy-and-policy/priorities-2019-2024/new-push-european-democracy/protecting-democracy/strengthened-eu-code-practice-disinformation_en</w:t>
        </w:r>
      </w:hyperlink>
      <w:r>
        <w:rPr>
          <w:lang w:val="en-US"/>
        </w:rPr>
        <w:t>&gt;.</w:t>
      </w:r>
    </w:p>
    <w:p w14:paraId="7431B812" w14:textId="77777777" w:rsidR="000140C0" w:rsidRDefault="000140C0">
      <w:pPr>
        <w:spacing w:after="0"/>
        <w:rPr>
          <w:lang w:val="en-US"/>
        </w:rPr>
      </w:pPr>
    </w:p>
    <w:p w14:paraId="47DD3D13" w14:textId="1F4225CC" w:rsidR="004E7AEB" w:rsidRDefault="004E7AEB">
      <w:pPr>
        <w:spacing w:after="0"/>
        <w:rPr>
          <w:lang w:val="en-US"/>
        </w:rPr>
      </w:pPr>
      <w:r>
        <w:rPr>
          <w:lang w:val="en-US"/>
        </w:rPr>
        <w:t xml:space="preserve">Martin Coulter, ‘Big Tech braces for rollout of EU’s Digital Services Act’, </w:t>
      </w:r>
      <w:r>
        <w:rPr>
          <w:i/>
          <w:iCs/>
          <w:lang w:val="en-US"/>
        </w:rPr>
        <w:t>itnews</w:t>
      </w:r>
      <w:r>
        <w:rPr>
          <w:lang w:val="en-US"/>
        </w:rPr>
        <w:t xml:space="preserve"> (online, 25 August 2023) &lt;</w:t>
      </w:r>
      <w:hyperlink r:id="rId15" w:history="1">
        <w:r w:rsidRPr="004C2107">
          <w:rPr>
            <w:rStyle w:val="Hyperlink"/>
            <w:lang w:val="en-US"/>
          </w:rPr>
          <w:t>https://www.itnews.com.au/news/big-tech-braces-for-rollout-of-eus-digital-services-act-599620?utm_source=feed&amp;utm_medium=rss&amp;utm_campaign=iTnews</w:t>
        </w:r>
      </w:hyperlink>
      <w:r>
        <w:rPr>
          <w:lang w:val="en-US"/>
        </w:rPr>
        <w:t xml:space="preserve">&gt;. </w:t>
      </w:r>
    </w:p>
    <w:p w14:paraId="055D001B" w14:textId="77777777" w:rsidR="000C0022" w:rsidRDefault="000C0022">
      <w:pPr>
        <w:spacing w:after="0"/>
        <w:rPr>
          <w:lang w:val="en-US"/>
        </w:rPr>
      </w:pPr>
    </w:p>
    <w:p w14:paraId="4D2172F5" w14:textId="52018067" w:rsidR="000C0022" w:rsidRDefault="000C0022">
      <w:pPr>
        <w:spacing w:after="0"/>
        <w:rPr>
          <w:lang w:val="en-US"/>
        </w:rPr>
      </w:pPr>
      <w:r>
        <w:rPr>
          <w:lang w:val="en-US"/>
        </w:rPr>
        <w:t xml:space="preserve">Svea, Windwehr, ‘Trump vs Europe: The role of the Digital Services Act’, </w:t>
      </w:r>
      <w:r>
        <w:rPr>
          <w:i/>
          <w:iCs/>
          <w:lang w:val="en-US"/>
        </w:rPr>
        <w:t>Heinrich Boll Stifttung</w:t>
      </w:r>
      <w:r>
        <w:rPr>
          <w:lang w:val="en-US"/>
        </w:rPr>
        <w:t xml:space="preserve"> (online, 18 February 2025) &lt;</w:t>
      </w:r>
      <w:r w:rsidRPr="000C0022">
        <w:t xml:space="preserve"> </w:t>
      </w:r>
      <w:hyperlink r:id="rId16" w:history="1">
        <w:r w:rsidRPr="004C2107">
          <w:rPr>
            <w:rStyle w:val="Hyperlink"/>
            <w:lang w:val="en-US"/>
          </w:rPr>
          <w:t>https://eu.boell.org/en/2025/02/18/trump-vs-europe-role-digital-services-act</w:t>
        </w:r>
      </w:hyperlink>
      <w:r>
        <w:rPr>
          <w:lang w:val="en-US"/>
        </w:rPr>
        <w:t xml:space="preserve">&gt;.  </w:t>
      </w:r>
    </w:p>
    <w:bookmarkEnd w:id="1"/>
    <w:p w14:paraId="4D8B6FA8" w14:textId="4496EBEC" w:rsidR="00D57CCB" w:rsidRDefault="00D57CCB">
      <w:pPr>
        <w:spacing w:after="0"/>
        <w:rPr>
          <w:lang w:val="en-US"/>
        </w:rPr>
      </w:pPr>
    </w:p>
    <w:sectPr w:rsidR="00D57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3EE9" w14:textId="77777777" w:rsidR="00137414" w:rsidRDefault="00137414" w:rsidP="00864AEF">
      <w:pPr>
        <w:spacing w:after="0" w:line="240" w:lineRule="auto"/>
      </w:pPr>
      <w:r>
        <w:separator/>
      </w:r>
    </w:p>
  </w:endnote>
  <w:endnote w:type="continuationSeparator" w:id="0">
    <w:p w14:paraId="1FD76BF4" w14:textId="77777777" w:rsidR="00137414" w:rsidRDefault="00137414" w:rsidP="00864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DF8D2" w14:textId="77777777" w:rsidR="00137414" w:rsidRDefault="00137414" w:rsidP="00864AEF">
      <w:pPr>
        <w:spacing w:after="0" w:line="240" w:lineRule="auto"/>
      </w:pPr>
      <w:r>
        <w:separator/>
      </w:r>
    </w:p>
  </w:footnote>
  <w:footnote w:type="continuationSeparator" w:id="0">
    <w:p w14:paraId="7AFC575C" w14:textId="77777777" w:rsidR="00137414" w:rsidRDefault="00137414" w:rsidP="00864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01C76"/>
    <w:multiLevelType w:val="hybridMultilevel"/>
    <w:tmpl w:val="AAA86C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84F4C"/>
    <w:multiLevelType w:val="hybridMultilevel"/>
    <w:tmpl w:val="959AB586"/>
    <w:lvl w:ilvl="0" w:tplc="E8EE7B2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hint="default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894186">
    <w:abstractNumId w:val="0"/>
  </w:num>
  <w:num w:numId="2" w16cid:durableId="2056612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AA"/>
    <w:rsid w:val="000140C0"/>
    <w:rsid w:val="000209E0"/>
    <w:rsid w:val="0002467D"/>
    <w:rsid w:val="00026834"/>
    <w:rsid w:val="000549E1"/>
    <w:rsid w:val="0005660B"/>
    <w:rsid w:val="00097B12"/>
    <w:rsid w:val="000C0022"/>
    <w:rsid w:val="000C3F80"/>
    <w:rsid w:val="001214CF"/>
    <w:rsid w:val="00137414"/>
    <w:rsid w:val="00151CA0"/>
    <w:rsid w:val="00154E93"/>
    <w:rsid w:val="0017051E"/>
    <w:rsid w:val="00173A23"/>
    <w:rsid w:val="00182BD3"/>
    <w:rsid w:val="001B49F4"/>
    <w:rsid w:val="001B7796"/>
    <w:rsid w:val="00234ED0"/>
    <w:rsid w:val="00257D78"/>
    <w:rsid w:val="002606AA"/>
    <w:rsid w:val="002B6A5E"/>
    <w:rsid w:val="002B6A83"/>
    <w:rsid w:val="002D047B"/>
    <w:rsid w:val="002D4836"/>
    <w:rsid w:val="00337259"/>
    <w:rsid w:val="00350C20"/>
    <w:rsid w:val="0035127B"/>
    <w:rsid w:val="003B2C32"/>
    <w:rsid w:val="00454F61"/>
    <w:rsid w:val="00467250"/>
    <w:rsid w:val="004A0511"/>
    <w:rsid w:val="004A7B15"/>
    <w:rsid w:val="004E7AEB"/>
    <w:rsid w:val="00506B4F"/>
    <w:rsid w:val="0052301D"/>
    <w:rsid w:val="0058390A"/>
    <w:rsid w:val="0058766D"/>
    <w:rsid w:val="005A397E"/>
    <w:rsid w:val="005C288A"/>
    <w:rsid w:val="005C2C8E"/>
    <w:rsid w:val="005D22F2"/>
    <w:rsid w:val="005D3988"/>
    <w:rsid w:val="006005A7"/>
    <w:rsid w:val="00643F15"/>
    <w:rsid w:val="00670AD3"/>
    <w:rsid w:val="006A0272"/>
    <w:rsid w:val="006C4179"/>
    <w:rsid w:val="006D0B9E"/>
    <w:rsid w:val="006F5411"/>
    <w:rsid w:val="007F667A"/>
    <w:rsid w:val="0084179E"/>
    <w:rsid w:val="00864AEF"/>
    <w:rsid w:val="008C79F6"/>
    <w:rsid w:val="008E321D"/>
    <w:rsid w:val="00901F76"/>
    <w:rsid w:val="009730E8"/>
    <w:rsid w:val="00973E56"/>
    <w:rsid w:val="00982789"/>
    <w:rsid w:val="009C0047"/>
    <w:rsid w:val="009D3C2D"/>
    <w:rsid w:val="009D6153"/>
    <w:rsid w:val="009F4710"/>
    <w:rsid w:val="00A02EA8"/>
    <w:rsid w:val="00A2393B"/>
    <w:rsid w:val="00A52867"/>
    <w:rsid w:val="00AA4740"/>
    <w:rsid w:val="00AD21C8"/>
    <w:rsid w:val="00AE4A4F"/>
    <w:rsid w:val="00B12979"/>
    <w:rsid w:val="00B40EA6"/>
    <w:rsid w:val="00B92F31"/>
    <w:rsid w:val="00BA732E"/>
    <w:rsid w:val="00BC52AC"/>
    <w:rsid w:val="00BD7526"/>
    <w:rsid w:val="00BF661F"/>
    <w:rsid w:val="00C65529"/>
    <w:rsid w:val="00CD7A2E"/>
    <w:rsid w:val="00D57CCB"/>
    <w:rsid w:val="00D61F13"/>
    <w:rsid w:val="00DE0C9B"/>
    <w:rsid w:val="00DF3813"/>
    <w:rsid w:val="00E12A22"/>
    <w:rsid w:val="00E71753"/>
    <w:rsid w:val="00EE516D"/>
    <w:rsid w:val="00F35B5D"/>
    <w:rsid w:val="00F605D2"/>
    <w:rsid w:val="00F97A67"/>
    <w:rsid w:val="00FC2C82"/>
    <w:rsid w:val="00FD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B6BF3"/>
  <w15:chartTrackingRefBased/>
  <w15:docId w15:val="{BB2352BF-DEAE-489F-88C9-2FB895C9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0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0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39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9E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73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4AE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4A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64AEF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35127B"/>
    <w:rPr>
      <w:i/>
      <w:iCs/>
    </w:rPr>
  </w:style>
  <w:style w:type="character" w:styleId="Strong">
    <w:name w:val="Strong"/>
    <w:basedOn w:val="DefaultParagraphFont"/>
    <w:uiPriority w:val="22"/>
    <w:qFormat/>
    <w:rsid w:val="00351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tivemind.legal/guides/dsa/" TargetMode="External"/><Relationship Id="rId13" Type="http://schemas.openxmlformats.org/officeDocument/2006/relationships/hyperlink" Target="https://digital-strategy.ec.europa.eu/en/policies/dsa-enforcement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eforum.org/stories/2022/12/how-companies-prepare-digital-services-act/" TargetMode="External"/><Relationship Id="rId12" Type="http://schemas.openxmlformats.org/officeDocument/2006/relationships/hyperlink" Target="https://commission.europa.eu/strategy-and-policy/priorities-2019-2024/europe-fit-digital-age/digital-services-act_e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u.boell.org/en/2025/02/18/trump-vs-europe-role-digital-services-ac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ission.europa.eu/strategy-and-policy/priorities-2019-2024/europe-fit-digital-age/digital-markets-act-ensuring-fair-and-open-digital-markets_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itnews.com.au/news/big-tech-braces-for-rollout-of-eus-digital-services-act-599620?utm_source=feed&amp;utm_medium=rss&amp;utm_campaign=iTnews" TargetMode="External"/><Relationship Id="rId10" Type="http://schemas.openxmlformats.org/officeDocument/2006/relationships/hyperlink" Target="https://www.accessnow.org/digital-services-act-eu-content-moderation-rules-gui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conomist.com/the-economist-explains/2023/08/24/how-europes-new-digital-law-will-change-the-internet" TargetMode="External"/><Relationship Id="rId14" Type="http://schemas.openxmlformats.org/officeDocument/2006/relationships/hyperlink" Target="https://commission.europa.eu/strategy-and-policy/priorities-2019-2024/new-push-european-democracy/protecting-democracy/strengthened-eu-code-practice-disinformation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7686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Hadley</dc:creator>
  <cp:keywords/>
  <dc:description/>
  <cp:lastModifiedBy>Marie Hadley</cp:lastModifiedBy>
  <cp:revision>3</cp:revision>
  <dcterms:created xsi:type="dcterms:W3CDTF">2026-08-17T09:36:00Z</dcterms:created>
  <dcterms:modified xsi:type="dcterms:W3CDTF">2026-08-17T09:36:00Z</dcterms:modified>
</cp:coreProperties>
</file>