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744BF" w14:textId="4C8343F1" w:rsidR="005B780E" w:rsidRPr="00D05503" w:rsidRDefault="006A54FF" w:rsidP="005F3156">
      <w:pPr>
        <w:rPr>
          <w:rFonts w:ascii="Arial" w:hAnsi="Arial" w:cs="Arial"/>
          <w:b/>
          <w:bCs/>
        </w:rPr>
      </w:pPr>
      <w:r w:rsidRPr="2F434BCC">
        <w:rPr>
          <w:rFonts w:ascii="Arial" w:hAnsi="Arial" w:cs="Arial"/>
          <w:b/>
          <w:bCs/>
        </w:rPr>
        <w:t>Image</w:t>
      </w:r>
      <w:r w:rsidR="33C9CB8F" w:rsidRPr="2F434BCC">
        <w:rPr>
          <w:rFonts w:ascii="Arial" w:hAnsi="Arial" w:cs="Arial"/>
          <w:b/>
          <w:bCs/>
        </w:rPr>
        <w:t>-b</w:t>
      </w:r>
      <w:r w:rsidRPr="2F434BCC">
        <w:rPr>
          <w:rFonts w:ascii="Arial" w:hAnsi="Arial" w:cs="Arial"/>
          <w:b/>
          <w:bCs/>
        </w:rPr>
        <w:t xml:space="preserve">ased </w:t>
      </w:r>
      <w:r w:rsidR="3B373FB0" w:rsidRPr="2F434BCC">
        <w:rPr>
          <w:rFonts w:ascii="Arial" w:hAnsi="Arial" w:cs="Arial"/>
          <w:b/>
          <w:bCs/>
        </w:rPr>
        <w:t>a</w:t>
      </w:r>
      <w:r w:rsidRPr="2F434BCC">
        <w:rPr>
          <w:rFonts w:ascii="Arial" w:hAnsi="Arial" w:cs="Arial"/>
          <w:b/>
          <w:bCs/>
        </w:rPr>
        <w:t>buse</w:t>
      </w:r>
    </w:p>
    <w:p w14:paraId="7F178618" w14:textId="231E5A34" w:rsidR="005F3156" w:rsidRPr="005F3156" w:rsidRDefault="005F3156" w:rsidP="005F3156">
      <w:pPr>
        <w:rPr>
          <w:rFonts w:ascii="Arial" w:hAnsi="Arial" w:cs="Arial"/>
          <w:b/>
          <w:bCs/>
        </w:rPr>
      </w:pPr>
      <w:r w:rsidRPr="005F3156">
        <w:rPr>
          <w:rFonts w:ascii="Arial" w:hAnsi="Arial" w:cs="Arial"/>
          <w:b/>
          <w:bCs/>
        </w:rPr>
        <w:t>5.1.1 Introduction</w:t>
      </w:r>
    </w:p>
    <w:p w14:paraId="3B5FD328" w14:textId="4653C6E3" w:rsidR="005F3156" w:rsidRPr="005F3156" w:rsidRDefault="005F3156" w:rsidP="005F3156">
      <w:pPr>
        <w:rPr>
          <w:rFonts w:ascii="Arial" w:hAnsi="Arial" w:cs="Arial"/>
        </w:rPr>
      </w:pPr>
      <w:r w:rsidRPr="005F3156">
        <w:rPr>
          <w:rFonts w:ascii="Arial" w:hAnsi="Arial" w:cs="Arial"/>
        </w:rPr>
        <w:t>Image-based abuse (</w:t>
      </w:r>
      <w:r w:rsidR="2702964E" w:rsidRPr="005F3156">
        <w:rPr>
          <w:rFonts w:ascii="Arial" w:hAnsi="Arial" w:cs="Arial"/>
        </w:rPr>
        <w:t>also known as “</w:t>
      </w:r>
      <w:r w:rsidRPr="005F3156">
        <w:rPr>
          <w:rFonts w:ascii="Arial" w:hAnsi="Arial" w:cs="Arial"/>
        </w:rPr>
        <w:t>revenge porn</w:t>
      </w:r>
      <w:r w:rsidR="79B31909" w:rsidRPr="005F3156">
        <w:rPr>
          <w:rFonts w:ascii="Arial" w:hAnsi="Arial" w:cs="Arial"/>
        </w:rPr>
        <w:t>”</w:t>
      </w:r>
      <w:r w:rsidRPr="005F3156">
        <w:rPr>
          <w:rFonts w:ascii="Arial" w:hAnsi="Arial" w:cs="Arial"/>
        </w:rPr>
        <w:t>) refers to the distribution of intimate materials without a person’s consent. This can</w:t>
      </w:r>
      <w:r w:rsidR="00F72DAC" w:rsidRPr="00D05503">
        <w:rPr>
          <w:rFonts w:ascii="Arial" w:hAnsi="Arial" w:cs="Arial"/>
        </w:rPr>
        <w:t xml:space="preserve"> </w:t>
      </w:r>
      <w:r w:rsidRPr="005F3156">
        <w:rPr>
          <w:rFonts w:ascii="Arial" w:hAnsi="Arial" w:cs="Arial"/>
        </w:rPr>
        <w:t>occur in both image and video formats. An intimate image is ‘an image showing someone's private parts, or a person</w:t>
      </w:r>
      <w:r w:rsidR="00F72DAC" w:rsidRPr="00D05503">
        <w:rPr>
          <w:rFonts w:ascii="Arial" w:hAnsi="Arial" w:cs="Arial"/>
        </w:rPr>
        <w:t xml:space="preserve"> </w:t>
      </w:r>
      <w:r w:rsidRPr="005F3156">
        <w:rPr>
          <w:rFonts w:ascii="Arial" w:hAnsi="Arial" w:cs="Arial"/>
        </w:rPr>
        <w:t>involved in a private activity, in situations where a reasonable individual would expect privacy’</w:t>
      </w:r>
      <w:r w:rsidR="4DEC148C" w:rsidRPr="005F3156">
        <w:rPr>
          <w:rFonts w:ascii="Arial" w:hAnsi="Arial" w:cs="Arial"/>
        </w:rPr>
        <w:t xml:space="preserve"> (s 15, </w:t>
      </w:r>
      <w:r w:rsidR="4DEC148C" w:rsidRPr="2F434BCC">
        <w:rPr>
          <w:rFonts w:ascii="Arial" w:hAnsi="Arial" w:cs="Arial"/>
          <w:i/>
          <w:iCs/>
        </w:rPr>
        <w:t>Online Safety Act 2021</w:t>
      </w:r>
      <w:r w:rsidR="4DEC148C" w:rsidRPr="005F3156">
        <w:rPr>
          <w:rFonts w:ascii="Arial" w:hAnsi="Arial" w:cs="Arial"/>
        </w:rPr>
        <w:t xml:space="preserve"> (</w:t>
      </w:r>
      <w:proofErr w:type="spellStart"/>
      <w:r w:rsidR="4DEC148C" w:rsidRPr="005F3156">
        <w:rPr>
          <w:rFonts w:ascii="Arial" w:hAnsi="Arial" w:cs="Arial"/>
        </w:rPr>
        <w:t>Cth</w:t>
      </w:r>
      <w:proofErr w:type="spellEnd"/>
      <w:r w:rsidR="4DEC148C" w:rsidRPr="005F3156">
        <w:rPr>
          <w:rFonts w:ascii="Arial" w:hAnsi="Arial" w:cs="Arial"/>
        </w:rPr>
        <w:t>))</w:t>
      </w:r>
      <w:r w:rsidRPr="005F3156">
        <w:rPr>
          <w:rFonts w:ascii="Arial" w:hAnsi="Arial" w:cs="Arial"/>
        </w:rPr>
        <w:t>. Image-based abuse</w:t>
      </w:r>
      <w:r w:rsidR="00F72DAC" w:rsidRPr="00D05503">
        <w:rPr>
          <w:rFonts w:ascii="Arial" w:hAnsi="Arial" w:cs="Arial"/>
        </w:rPr>
        <w:t xml:space="preserve"> </w:t>
      </w:r>
      <w:r w:rsidRPr="005F3156">
        <w:rPr>
          <w:rFonts w:ascii="Arial" w:hAnsi="Arial" w:cs="Arial"/>
        </w:rPr>
        <w:t>can be distributed to public sites such as social media platforms or private sites such as image boards, deep web sites</w:t>
      </w:r>
      <w:r w:rsidR="00F72DAC" w:rsidRPr="00D05503">
        <w:rPr>
          <w:rFonts w:ascii="Arial" w:hAnsi="Arial" w:cs="Arial"/>
        </w:rPr>
        <w:t xml:space="preserve"> </w:t>
      </w:r>
      <w:r w:rsidRPr="005F3156">
        <w:rPr>
          <w:rFonts w:ascii="Arial" w:hAnsi="Arial" w:cs="Arial"/>
        </w:rPr>
        <w:t>or closed community pages. Due to the digital footprint left behind, the internet not only facilitates quick distribution</w:t>
      </w:r>
      <w:r w:rsidR="00F72DAC" w:rsidRPr="00D05503">
        <w:rPr>
          <w:rFonts w:ascii="Arial" w:hAnsi="Arial" w:cs="Arial"/>
        </w:rPr>
        <w:t xml:space="preserve"> </w:t>
      </w:r>
      <w:r w:rsidRPr="005F3156">
        <w:rPr>
          <w:rFonts w:ascii="Arial" w:hAnsi="Arial" w:cs="Arial"/>
        </w:rPr>
        <w:t>and sharing but also establishes an unchangeable and permanent record of every action made behind a screen.</w:t>
      </w:r>
    </w:p>
    <w:p w14:paraId="66347E18" w14:textId="4F943675" w:rsidR="005F3156" w:rsidRPr="005F3156" w:rsidRDefault="005F3156" w:rsidP="005F3156">
      <w:pPr>
        <w:rPr>
          <w:rFonts w:ascii="Arial" w:hAnsi="Arial" w:cs="Arial"/>
          <w:b/>
          <w:bCs/>
        </w:rPr>
      </w:pPr>
      <w:r w:rsidRPr="2F434BCC">
        <w:rPr>
          <w:rFonts w:ascii="Arial" w:hAnsi="Arial" w:cs="Arial"/>
          <w:b/>
          <w:bCs/>
        </w:rPr>
        <w:t xml:space="preserve">5.1.2 Legal </w:t>
      </w:r>
      <w:r w:rsidR="6D3ABFF7" w:rsidRPr="2F434BCC">
        <w:rPr>
          <w:rFonts w:ascii="Arial" w:hAnsi="Arial" w:cs="Arial"/>
          <w:b/>
          <w:bCs/>
        </w:rPr>
        <w:t>c</w:t>
      </w:r>
      <w:r w:rsidRPr="2F434BCC">
        <w:rPr>
          <w:rFonts w:ascii="Arial" w:hAnsi="Arial" w:cs="Arial"/>
          <w:b/>
          <w:bCs/>
        </w:rPr>
        <w:t>ontext</w:t>
      </w:r>
    </w:p>
    <w:p w14:paraId="06D65363" w14:textId="459BFB32" w:rsidR="005F3156" w:rsidRPr="005F3156" w:rsidRDefault="005F3156" w:rsidP="2F434BCC">
      <w:pPr>
        <w:rPr>
          <w:rFonts w:ascii="Arial" w:hAnsi="Arial" w:cs="Arial"/>
          <w:i/>
          <w:iCs/>
        </w:rPr>
      </w:pPr>
      <w:r w:rsidRPr="2F434BCC">
        <w:rPr>
          <w:rFonts w:ascii="Arial" w:hAnsi="Arial" w:cs="Arial"/>
          <w:i/>
          <w:iCs/>
        </w:rPr>
        <w:t xml:space="preserve">5.1.2.1 Regulation for </w:t>
      </w:r>
      <w:r w:rsidR="54408CA0" w:rsidRPr="2F434BCC">
        <w:rPr>
          <w:rFonts w:ascii="Arial" w:hAnsi="Arial" w:cs="Arial"/>
          <w:i/>
          <w:iCs/>
        </w:rPr>
        <w:t>i</w:t>
      </w:r>
      <w:r w:rsidRPr="2F434BCC">
        <w:rPr>
          <w:rFonts w:ascii="Arial" w:hAnsi="Arial" w:cs="Arial"/>
          <w:i/>
          <w:iCs/>
        </w:rPr>
        <w:t>ndividuals</w:t>
      </w:r>
    </w:p>
    <w:p w14:paraId="026AE5E7" w14:textId="0C9232CC" w:rsidR="005F3156" w:rsidRPr="005F3156" w:rsidRDefault="005F3156" w:rsidP="2F434BCC">
      <w:pPr>
        <w:rPr>
          <w:rFonts w:ascii="Arial" w:hAnsi="Arial" w:cs="Arial"/>
          <w:i/>
          <w:iCs/>
        </w:rPr>
      </w:pPr>
      <w:r w:rsidRPr="005F3156">
        <w:rPr>
          <w:rFonts w:ascii="Arial" w:hAnsi="Arial" w:cs="Arial"/>
        </w:rPr>
        <w:t xml:space="preserve">In 2016, there was a </w:t>
      </w:r>
      <w:hyperlink r:id="rId8">
        <w:r w:rsidRPr="2F434BCC">
          <w:rPr>
            <w:rStyle w:val="Hyperlink"/>
            <w:rFonts w:ascii="Arial" w:hAnsi="Arial" w:cs="Arial"/>
          </w:rPr>
          <w:t xml:space="preserve">senate </w:t>
        </w:r>
        <w:r w:rsidR="004C3619">
          <w:rPr>
            <w:rStyle w:val="Hyperlink"/>
            <w:rFonts w:ascii="Arial" w:hAnsi="Arial" w:cs="Arial"/>
          </w:rPr>
          <w:t>i</w:t>
        </w:r>
        <w:r w:rsidRPr="2F434BCC">
          <w:rPr>
            <w:rStyle w:val="Hyperlink"/>
            <w:rFonts w:ascii="Arial" w:hAnsi="Arial" w:cs="Arial"/>
          </w:rPr>
          <w:t>nquiry</w:t>
        </w:r>
      </w:hyperlink>
      <w:r w:rsidRPr="005F3156">
        <w:rPr>
          <w:rFonts w:ascii="Arial" w:hAnsi="Arial" w:cs="Arial"/>
        </w:rPr>
        <w:t xml:space="preserve"> that called for image-based abuse to be criminalised at federal level.</w:t>
      </w:r>
      <w:r w:rsidR="00F72DAC" w:rsidRPr="00D05503">
        <w:rPr>
          <w:rFonts w:ascii="Arial" w:hAnsi="Arial" w:cs="Arial"/>
        </w:rPr>
        <w:t xml:space="preserve"> </w:t>
      </w:r>
      <w:r w:rsidRPr="005F3156">
        <w:rPr>
          <w:rFonts w:ascii="Arial" w:hAnsi="Arial" w:cs="Arial"/>
        </w:rPr>
        <w:t>This was</w:t>
      </w:r>
      <w:r w:rsidR="00F72DAC" w:rsidRPr="00D05503">
        <w:rPr>
          <w:rFonts w:ascii="Arial" w:hAnsi="Arial" w:cs="Arial"/>
        </w:rPr>
        <w:t xml:space="preserve"> </w:t>
      </w:r>
      <w:r w:rsidRPr="005F3156">
        <w:rPr>
          <w:rFonts w:ascii="Arial" w:hAnsi="Arial" w:cs="Arial"/>
        </w:rPr>
        <w:t xml:space="preserve">shortly followed with the passing of </w:t>
      </w:r>
      <w:r w:rsidRPr="2F434BCC">
        <w:rPr>
          <w:rFonts w:ascii="Arial" w:hAnsi="Arial" w:cs="Arial"/>
          <w:i/>
          <w:iCs/>
        </w:rPr>
        <w:t>Criminal Code Amendment (Protecting Minors Online) Bill 2017</w:t>
      </w:r>
      <w:r w:rsidRPr="005F3156">
        <w:rPr>
          <w:rFonts w:ascii="Arial" w:hAnsi="Arial" w:cs="Arial"/>
        </w:rPr>
        <w:t xml:space="preserve"> </w:t>
      </w:r>
      <w:r w:rsidR="66815EA2" w:rsidRPr="005F3156">
        <w:rPr>
          <w:rFonts w:ascii="Arial" w:hAnsi="Arial" w:cs="Arial"/>
        </w:rPr>
        <w:t>(</w:t>
      </w:r>
      <w:proofErr w:type="spellStart"/>
      <w:r w:rsidR="66815EA2" w:rsidRPr="005F3156">
        <w:rPr>
          <w:rFonts w:ascii="Arial" w:hAnsi="Arial" w:cs="Arial"/>
        </w:rPr>
        <w:t>Cth</w:t>
      </w:r>
      <w:proofErr w:type="spellEnd"/>
      <w:r w:rsidR="66815EA2" w:rsidRPr="005F3156">
        <w:rPr>
          <w:rFonts w:ascii="Arial" w:hAnsi="Arial" w:cs="Arial"/>
        </w:rPr>
        <w:t xml:space="preserve">) </w:t>
      </w:r>
      <w:r w:rsidRPr="005F3156">
        <w:rPr>
          <w:rFonts w:ascii="Arial" w:hAnsi="Arial" w:cs="Arial"/>
        </w:rPr>
        <w:t>and the</w:t>
      </w:r>
      <w:r w:rsidR="00F72DAC" w:rsidRPr="2F434BCC">
        <w:rPr>
          <w:rFonts w:ascii="Arial" w:hAnsi="Arial" w:cs="Arial"/>
          <w:i/>
          <w:iCs/>
        </w:rPr>
        <w:t xml:space="preserve"> </w:t>
      </w:r>
      <w:r w:rsidRPr="2F434BCC">
        <w:rPr>
          <w:rFonts w:ascii="Arial" w:hAnsi="Arial" w:cs="Arial"/>
          <w:i/>
          <w:iCs/>
        </w:rPr>
        <w:t xml:space="preserve">Enhancing Online Safety (Non-Consensual Sharing </w:t>
      </w:r>
      <w:r w:rsidR="3FC98A36" w:rsidRPr="2F434BCC">
        <w:rPr>
          <w:rFonts w:ascii="Arial" w:hAnsi="Arial" w:cs="Arial"/>
          <w:i/>
          <w:iCs/>
        </w:rPr>
        <w:t>o</w:t>
      </w:r>
      <w:r w:rsidRPr="2F434BCC">
        <w:rPr>
          <w:rFonts w:ascii="Arial" w:hAnsi="Arial" w:cs="Arial"/>
          <w:i/>
          <w:iCs/>
        </w:rPr>
        <w:t xml:space="preserve">f Intimate Images) Act </w:t>
      </w:r>
      <w:r w:rsidRPr="005F3156">
        <w:rPr>
          <w:rFonts w:ascii="Arial" w:hAnsi="Arial" w:cs="Arial"/>
        </w:rPr>
        <w:t xml:space="preserve">2018 </w:t>
      </w:r>
      <w:r w:rsidR="1CCF4F00" w:rsidRPr="005F3156">
        <w:rPr>
          <w:rFonts w:ascii="Arial" w:hAnsi="Arial" w:cs="Arial"/>
        </w:rPr>
        <w:t>(</w:t>
      </w:r>
      <w:proofErr w:type="spellStart"/>
      <w:r w:rsidR="1CCF4F00" w:rsidRPr="005F3156">
        <w:rPr>
          <w:rFonts w:ascii="Arial" w:hAnsi="Arial" w:cs="Arial"/>
        </w:rPr>
        <w:t>Cth</w:t>
      </w:r>
      <w:proofErr w:type="spellEnd"/>
      <w:r w:rsidR="1CCF4F00" w:rsidRPr="005F3156">
        <w:rPr>
          <w:rFonts w:ascii="Arial" w:hAnsi="Arial" w:cs="Arial"/>
        </w:rPr>
        <w:t xml:space="preserve">) </w:t>
      </w:r>
      <w:r w:rsidRPr="005F3156">
        <w:rPr>
          <w:rFonts w:ascii="Arial" w:hAnsi="Arial" w:cs="Arial"/>
        </w:rPr>
        <w:t xml:space="preserve">which amended the </w:t>
      </w:r>
      <w:r w:rsidRPr="2F434BCC">
        <w:rPr>
          <w:rFonts w:ascii="Arial" w:hAnsi="Arial" w:cs="Arial"/>
          <w:i/>
          <w:iCs/>
        </w:rPr>
        <w:t>Criminal Code</w:t>
      </w:r>
      <w:r w:rsidR="00F72DAC" w:rsidRPr="2F434BCC">
        <w:rPr>
          <w:rFonts w:ascii="Arial" w:hAnsi="Arial" w:cs="Arial"/>
          <w:i/>
          <w:iCs/>
        </w:rPr>
        <w:t xml:space="preserve"> </w:t>
      </w:r>
      <w:r w:rsidRPr="2F434BCC">
        <w:rPr>
          <w:rFonts w:ascii="Arial" w:hAnsi="Arial" w:cs="Arial"/>
          <w:i/>
          <w:iCs/>
        </w:rPr>
        <w:t>Act 1995</w:t>
      </w:r>
      <w:r w:rsidR="092B62BC" w:rsidRPr="2F434BCC">
        <w:rPr>
          <w:rFonts w:ascii="Arial" w:hAnsi="Arial" w:cs="Arial"/>
          <w:i/>
          <w:iCs/>
        </w:rPr>
        <w:t xml:space="preserve"> </w:t>
      </w:r>
      <w:r w:rsidR="092B62BC" w:rsidRPr="2F434BCC">
        <w:rPr>
          <w:rFonts w:ascii="Arial" w:hAnsi="Arial" w:cs="Arial"/>
        </w:rPr>
        <w:t>(</w:t>
      </w:r>
      <w:proofErr w:type="spellStart"/>
      <w:r w:rsidR="092B62BC" w:rsidRPr="2F434BCC">
        <w:rPr>
          <w:rFonts w:ascii="Arial" w:hAnsi="Arial" w:cs="Arial"/>
        </w:rPr>
        <w:t>Cth</w:t>
      </w:r>
      <w:proofErr w:type="spellEnd"/>
      <w:r w:rsidR="092B62BC" w:rsidRPr="2F434BCC">
        <w:rPr>
          <w:rFonts w:ascii="Arial" w:hAnsi="Arial" w:cs="Arial"/>
        </w:rPr>
        <w:t>)</w:t>
      </w:r>
      <w:r w:rsidRPr="005F3156">
        <w:rPr>
          <w:rFonts w:ascii="Arial" w:hAnsi="Arial" w:cs="Arial"/>
        </w:rPr>
        <w:t xml:space="preserve">, making it an offence for an adult to use a device to </w:t>
      </w:r>
      <w:r w:rsidRPr="2F434BCC">
        <w:rPr>
          <w:rFonts w:ascii="Arial" w:hAnsi="Arial" w:cs="Arial"/>
          <w:i/>
          <w:iCs/>
        </w:rPr>
        <w:t>"</w:t>
      </w:r>
      <w:r w:rsidRPr="2F434BCC">
        <w:rPr>
          <w:rFonts w:ascii="Arial" w:hAnsi="Arial" w:cs="Arial"/>
        </w:rPr>
        <w:t>prepare or plan to cause harm to, procure, or engage</w:t>
      </w:r>
      <w:r w:rsidR="00F72DAC" w:rsidRPr="2F434BCC">
        <w:rPr>
          <w:rFonts w:ascii="Arial" w:hAnsi="Arial" w:cs="Arial"/>
        </w:rPr>
        <w:t xml:space="preserve"> </w:t>
      </w:r>
      <w:r w:rsidRPr="2F434BCC">
        <w:rPr>
          <w:rFonts w:ascii="Arial" w:hAnsi="Arial" w:cs="Arial"/>
        </w:rPr>
        <w:t>in sexual activity with, a person under the age of 16 (a child)"</w:t>
      </w:r>
      <w:r w:rsidR="369ADB17" w:rsidRPr="2F434BCC">
        <w:rPr>
          <w:rFonts w:ascii="Arial" w:hAnsi="Arial" w:cs="Arial"/>
        </w:rPr>
        <w:t>.</w:t>
      </w:r>
    </w:p>
    <w:p w14:paraId="071D70FD" w14:textId="1E27F658" w:rsidR="005F3156" w:rsidRPr="005F3156" w:rsidRDefault="005F3156" w:rsidP="005F3156">
      <w:pPr>
        <w:rPr>
          <w:rFonts w:ascii="Arial" w:hAnsi="Arial" w:cs="Arial"/>
        </w:rPr>
      </w:pPr>
      <w:r w:rsidRPr="005F3156">
        <w:rPr>
          <w:rFonts w:ascii="Arial" w:hAnsi="Arial" w:cs="Arial"/>
        </w:rPr>
        <w:t xml:space="preserve">In 2017, the Australian Government released the </w:t>
      </w:r>
      <w:hyperlink r:id="rId9">
        <w:r w:rsidRPr="2F434BCC">
          <w:rPr>
            <w:rStyle w:val="Hyperlink"/>
            <w:rFonts w:ascii="Arial" w:hAnsi="Arial" w:cs="Arial"/>
          </w:rPr>
          <w:t>National Statement of Principles relating to the criminalisation of</w:t>
        </w:r>
        <w:r w:rsidR="00F72DAC" w:rsidRPr="2F434BCC">
          <w:rPr>
            <w:rStyle w:val="Hyperlink"/>
            <w:rFonts w:ascii="Arial" w:hAnsi="Arial" w:cs="Arial"/>
          </w:rPr>
          <w:t xml:space="preserve"> </w:t>
        </w:r>
        <w:r w:rsidRPr="2F434BCC">
          <w:rPr>
            <w:rStyle w:val="Hyperlink"/>
            <w:rFonts w:ascii="Arial" w:hAnsi="Arial" w:cs="Arial"/>
          </w:rPr>
          <w:t>the non-consensual sharing of intimate images</w:t>
        </w:r>
      </w:hyperlink>
      <w:r w:rsidR="3B9D8462" w:rsidRPr="2F434BCC">
        <w:rPr>
          <w:rFonts w:ascii="Arial" w:hAnsi="Arial" w:cs="Arial"/>
        </w:rPr>
        <w:t xml:space="preserve">. </w:t>
      </w:r>
      <w:r w:rsidRPr="005F3156">
        <w:rPr>
          <w:rFonts w:ascii="Arial" w:hAnsi="Arial" w:cs="Arial"/>
        </w:rPr>
        <w:t>It called on each state and territory to consider the existing legal</w:t>
      </w:r>
      <w:r w:rsidR="00F72DAC" w:rsidRPr="00D05503">
        <w:rPr>
          <w:rFonts w:ascii="Arial" w:hAnsi="Arial" w:cs="Arial"/>
        </w:rPr>
        <w:t xml:space="preserve"> </w:t>
      </w:r>
      <w:r w:rsidRPr="005F3156">
        <w:rPr>
          <w:rFonts w:ascii="Arial" w:hAnsi="Arial" w:cs="Arial"/>
        </w:rPr>
        <w:t xml:space="preserve">scheme (law and policy), and to develop and review it in accordance with the principles such </w:t>
      </w:r>
      <w:proofErr w:type="gramStart"/>
      <w:r w:rsidRPr="005F3156">
        <w:rPr>
          <w:rFonts w:ascii="Arial" w:hAnsi="Arial" w:cs="Arial"/>
        </w:rPr>
        <w:t>as;</w:t>
      </w:r>
      <w:proofErr w:type="gramEnd"/>
    </w:p>
    <w:p w14:paraId="0F8444FF" w14:textId="3702DBFD" w:rsidR="005F3156" w:rsidRPr="005F3156" w:rsidRDefault="005F3156" w:rsidP="2F434B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2F434BCC">
        <w:rPr>
          <w:rFonts w:ascii="Arial" w:hAnsi="Arial" w:cs="Arial"/>
        </w:rPr>
        <w:t xml:space="preserve">The threat to and/or distribution of images without consent is a breach of community </w:t>
      </w:r>
      <w:proofErr w:type="gramStart"/>
      <w:r w:rsidRPr="2F434BCC">
        <w:rPr>
          <w:rFonts w:ascii="Arial" w:hAnsi="Arial" w:cs="Arial"/>
        </w:rPr>
        <w:t>standards;</w:t>
      </w:r>
      <w:proofErr w:type="gramEnd"/>
    </w:p>
    <w:p w14:paraId="6057AF1F" w14:textId="23C53083" w:rsidR="005F3156" w:rsidRPr="005F3156" w:rsidRDefault="005F3156" w:rsidP="2F434B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2F434BCC">
        <w:rPr>
          <w:rFonts w:ascii="Arial" w:hAnsi="Arial" w:cs="Arial"/>
        </w:rPr>
        <w:t xml:space="preserve">The prioritisation of the safety of victims is </w:t>
      </w:r>
      <w:proofErr w:type="gramStart"/>
      <w:r w:rsidRPr="2F434BCC">
        <w:rPr>
          <w:rFonts w:ascii="Arial" w:hAnsi="Arial" w:cs="Arial"/>
        </w:rPr>
        <w:t>paramount;</w:t>
      </w:r>
      <w:proofErr w:type="gramEnd"/>
    </w:p>
    <w:p w14:paraId="1EE612DA" w14:textId="6D2499E3" w:rsidR="005F3156" w:rsidRPr="005F3156" w:rsidRDefault="005F3156" w:rsidP="2F434B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2F434BCC">
        <w:rPr>
          <w:rFonts w:ascii="Arial" w:hAnsi="Arial" w:cs="Arial"/>
        </w:rPr>
        <w:t>The response to image-based abuse may include criminal charges, civil penalties, education and awareness; and</w:t>
      </w:r>
    </w:p>
    <w:p w14:paraId="7B6DFFD2" w14:textId="19277567" w:rsidR="005F3156" w:rsidRPr="005F3156" w:rsidRDefault="005F3156" w:rsidP="2F434B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2F434BCC">
        <w:rPr>
          <w:rFonts w:ascii="Arial" w:hAnsi="Arial" w:cs="Arial"/>
        </w:rPr>
        <w:t>Responding to image abuse needs to account for all methods and circumstances in how it may be distributed.</w:t>
      </w:r>
    </w:p>
    <w:p w14:paraId="45FC1832" w14:textId="0EA5E764" w:rsidR="005F3156" w:rsidRPr="005F3156" w:rsidRDefault="005F3156" w:rsidP="005F3156">
      <w:pPr>
        <w:rPr>
          <w:rFonts w:ascii="Arial" w:hAnsi="Arial" w:cs="Arial"/>
        </w:rPr>
      </w:pPr>
      <w:r w:rsidRPr="005F3156">
        <w:rPr>
          <w:rFonts w:ascii="Arial" w:hAnsi="Arial" w:cs="Arial"/>
        </w:rPr>
        <w:t xml:space="preserve">See the full list of principles </w:t>
      </w:r>
      <w:hyperlink r:id="rId10" w:history="1">
        <w:r w:rsidRPr="005F3156">
          <w:rPr>
            <w:rStyle w:val="Hyperlink"/>
            <w:rFonts w:ascii="Arial" w:hAnsi="Arial" w:cs="Arial"/>
          </w:rPr>
          <w:t>here</w:t>
        </w:r>
      </w:hyperlink>
      <w:r w:rsidR="00F72DAC" w:rsidRPr="00D05503">
        <w:rPr>
          <w:rFonts w:ascii="Arial" w:hAnsi="Arial" w:cs="Arial"/>
        </w:rPr>
        <w:t>.</w:t>
      </w:r>
    </w:p>
    <w:p w14:paraId="09E38F99" w14:textId="287BCA50" w:rsidR="00F70FC5" w:rsidRDefault="005F3156" w:rsidP="00E66DC5">
      <w:pPr>
        <w:rPr>
          <w:rFonts w:ascii="Arial" w:hAnsi="Arial" w:cs="Arial"/>
          <w:b/>
          <w:bCs/>
          <w:color w:val="215E99" w:themeColor="text2" w:themeTint="BF"/>
        </w:rPr>
      </w:pPr>
      <w:r w:rsidRPr="2F434BCC">
        <w:rPr>
          <w:rFonts w:ascii="Arial" w:hAnsi="Arial" w:cs="Arial"/>
        </w:rPr>
        <w:t xml:space="preserve">Since then, Australia has seen the introduction of the </w:t>
      </w:r>
      <w:r w:rsidRPr="2F434BCC">
        <w:rPr>
          <w:rFonts w:ascii="Arial" w:hAnsi="Arial" w:cs="Arial"/>
          <w:i/>
          <w:iCs/>
        </w:rPr>
        <w:t xml:space="preserve">Online Safety Act 2021 </w:t>
      </w:r>
      <w:r w:rsidRPr="2F434BCC">
        <w:rPr>
          <w:rFonts w:ascii="Arial" w:hAnsi="Arial" w:cs="Arial"/>
        </w:rPr>
        <w:t>(</w:t>
      </w:r>
      <w:proofErr w:type="spellStart"/>
      <w:r w:rsidRPr="2F434BCC">
        <w:rPr>
          <w:rFonts w:ascii="Arial" w:hAnsi="Arial" w:cs="Arial"/>
        </w:rPr>
        <w:t>Cth</w:t>
      </w:r>
      <w:proofErr w:type="spellEnd"/>
      <w:r w:rsidRPr="2F434BCC">
        <w:rPr>
          <w:rFonts w:ascii="Arial" w:hAnsi="Arial" w:cs="Arial"/>
        </w:rPr>
        <w:t>) which makes it an offence to</w:t>
      </w:r>
      <w:r w:rsidR="00F72DAC" w:rsidRPr="2F434BCC">
        <w:rPr>
          <w:rFonts w:ascii="Arial" w:hAnsi="Arial" w:cs="Arial"/>
        </w:rPr>
        <w:t xml:space="preserve"> </w:t>
      </w:r>
      <w:r w:rsidRPr="2F434BCC">
        <w:rPr>
          <w:rFonts w:ascii="Arial" w:hAnsi="Arial" w:cs="Arial"/>
        </w:rPr>
        <w:t xml:space="preserve">threaten and/or distribute intimate images without a person’s consent. </w:t>
      </w:r>
      <w:r w:rsidR="00E87CA0" w:rsidRPr="2F434BCC">
        <w:rPr>
          <w:rFonts w:ascii="Arial" w:hAnsi="Arial" w:cs="Arial"/>
        </w:rPr>
        <w:t xml:space="preserve">A summary of the charges </w:t>
      </w:r>
      <w:r w:rsidRPr="2F434BCC">
        <w:rPr>
          <w:rFonts w:ascii="Arial" w:hAnsi="Arial" w:cs="Arial"/>
        </w:rPr>
        <w:t>applicable to image-based abuse</w:t>
      </w:r>
      <w:r w:rsidR="00F72DAC" w:rsidRPr="2F434BCC">
        <w:rPr>
          <w:rFonts w:ascii="Arial" w:hAnsi="Arial" w:cs="Arial"/>
        </w:rPr>
        <w:t xml:space="preserve"> </w:t>
      </w:r>
      <w:r w:rsidRPr="2F434BCC">
        <w:rPr>
          <w:rFonts w:ascii="Arial" w:hAnsi="Arial" w:cs="Arial"/>
        </w:rPr>
        <w:t>both at the federal level and in New South Wales are depicted in the table below (not exhaustive)</w:t>
      </w:r>
      <w:r w:rsidR="7C067878" w:rsidRPr="2F434BCC">
        <w:rPr>
          <w:rFonts w:ascii="Arial" w:hAnsi="Arial" w:cs="Arial"/>
        </w:rPr>
        <w:t>:</w:t>
      </w:r>
    </w:p>
    <w:p w14:paraId="3703DC63" w14:textId="77777777" w:rsidR="00F912AC" w:rsidRPr="00D05503" w:rsidRDefault="00F912AC" w:rsidP="00E66DC5">
      <w:pPr>
        <w:rPr>
          <w:rFonts w:ascii="Arial" w:hAnsi="Arial" w:cs="Arial"/>
          <w:b/>
          <w:bCs/>
          <w:color w:val="215E99" w:themeColor="text2" w:themeTint="BF"/>
        </w:rPr>
      </w:pPr>
    </w:p>
    <w:tbl>
      <w:tblPr>
        <w:tblW w:w="9015" w:type="dxa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5"/>
        <w:gridCol w:w="6440"/>
      </w:tblGrid>
      <w:tr w:rsidR="00E66DC5" w:rsidRPr="00D05503" w14:paraId="335F4F88" w14:textId="77777777" w:rsidTr="2F434BCC">
        <w:trPr>
          <w:trHeight w:val="565"/>
        </w:trPr>
        <w:tc>
          <w:tcPr>
            <w:tcW w:w="2575" w:type="dxa"/>
          </w:tcPr>
          <w:p w14:paraId="40E07782" w14:textId="73A29052" w:rsidR="00E66DC5" w:rsidRPr="00D05503" w:rsidRDefault="00E66DC5" w:rsidP="009F39EF">
            <w:pPr>
              <w:pStyle w:val="TableParagraph"/>
              <w:rPr>
                <w:rFonts w:ascii="Arial" w:hAnsi="Arial" w:cs="Arial"/>
                <w:b/>
                <w:spacing w:val="-2"/>
                <w:w w:val="80"/>
                <w:sz w:val="24"/>
                <w:szCs w:val="24"/>
              </w:rPr>
            </w:pPr>
            <w:r w:rsidRPr="00D05503">
              <w:rPr>
                <w:rFonts w:ascii="Arial" w:hAnsi="Arial" w:cs="Arial"/>
                <w:b/>
                <w:spacing w:val="-2"/>
                <w:w w:val="80"/>
                <w:sz w:val="24"/>
                <w:szCs w:val="24"/>
              </w:rPr>
              <w:t>Source</w:t>
            </w:r>
          </w:p>
        </w:tc>
        <w:tc>
          <w:tcPr>
            <w:tcW w:w="6440" w:type="dxa"/>
            <w:shd w:val="clear" w:color="auto" w:fill="D1D1D1" w:themeFill="background2" w:themeFillShade="E6"/>
          </w:tcPr>
          <w:p w14:paraId="7E558F17" w14:textId="33A5B6DC" w:rsidR="00E66DC5" w:rsidRPr="00D05503" w:rsidRDefault="00E66DC5" w:rsidP="009F39EF">
            <w:pPr>
              <w:pStyle w:val="Table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D05503">
              <w:rPr>
                <w:rFonts w:ascii="Arial" w:hAnsi="Arial" w:cs="Arial"/>
                <w:b/>
                <w:sz w:val="24"/>
                <w:szCs w:val="24"/>
              </w:rPr>
              <w:t>Descr</w:t>
            </w:r>
            <w:r w:rsidR="009F39EF" w:rsidRPr="00D05503">
              <w:rPr>
                <w:rFonts w:ascii="Arial" w:hAnsi="Arial" w:cs="Arial"/>
                <w:b/>
                <w:sz w:val="24"/>
                <w:szCs w:val="24"/>
              </w:rPr>
              <w:t>iption</w:t>
            </w:r>
          </w:p>
        </w:tc>
      </w:tr>
      <w:tr w:rsidR="00E66DC5" w:rsidRPr="00D05503" w14:paraId="1DCA5348" w14:textId="77777777" w:rsidTr="2F434BCC">
        <w:trPr>
          <w:trHeight w:val="565"/>
        </w:trPr>
        <w:tc>
          <w:tcPr>
            <w:tcW w:w="2575" w:type="dxa"/>
          </w:tcPr>
          <w:p w14:paraId="32E9D69C" w14:textId="6A043251" w:rsidR="00E66DC5" w:rsidRPr="00D05503" w:rsidRDefault="00E66DC5" w:rsidP="2F434BCC">
            <w:pPr>
              <w:pStyle w:val="TableParagrap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2F434BCC">
              <w:rPr>
                <w:rFonts w:ascii="Arial" w:hAnsi="Arial" w:cs="Arial"/>
                <w:b/>
                <w:bCs/>
                <w:spacing w:val="-2"/>
                <w:w w:val="80"/>
                <w:sz w:val="24"/>
                <w:szCs w:val="24"/>
              </w:rPr>
              <w:t>Commonwealth</w:t>
            </w:r>
            <w:r w:rsidRPr="2F434BCC">
              <w:rPr>
                <w:rFonts w:ascii="Arial" w:hAnsi="Arial" w:cs="Arial"/>
                <w:b/>
                <w:bCs/>
                <w:spacing w:val="6"/>
                <w:sz w:val="24"/>
                <w:szCs w:val="24"/>
              </w:rPr>
              <w:t xml:space="preserve"> </w:t>
            </w:r>
            <w:r w:rsidR="36301A72" w:rsidRPr="2F434BCC">
              <w:rPr>
                <w:rFonts w:ascii="Arial" w:hAnsi="Arial" w:cs="Arial"/>
                <w:b/>
                <w:bCs/>
                <w:spacing w:val="6"/>
                <w:sz w:val="24"/>
                <w:szCs w:val="24"/>
              </w:rPr>
              <w:t>l</w:t>
            </w:r>
            <w:r w:rsidRPr="2F434BCC">
              <w:rPr>
                <w:rFonts w:ascii="Arial" w:hAnsi="Arial" w:cs="Arial"/>
                <w:b/>
                <w:bCs/>
                <w:spacing w:val="-2"/>
                <w:w w:val="90"/>
                <w:sz w:val="24"/>
                <w:szCs w:val="24"/>
              </w:rPr>
              <w:t>evel</w:t>
            </w:r>
          </w:p>
        </w:tc>
        <w:tc>
          <w:tcPr>
            <w:tcW w:w="6440" w:type="dxa"/>
            <w:shd w:val="clear" w:color="auto" w:fill="D1D1D1" w:themeFill="background2" w:themeFillShade="E6"/>
          </w:tcPr>
          <w:p w14:paraId="4FDAF3DD" w14:textId="77777777" w:rsidR="00E66DC5" w:rsidRPr="00D05503" w:rsidRDefault="00E66DC5" w:rsidP="009F39EF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6DC5" w:rsidRPr="00D05503" w14:paraId="0EE97C12" w14:textId="77777777" w:rsidTr="2F434BCC">
        <w:trPr>
          <w:trHeight w:val="1905"/>
        </w:trPr>
        <w:tc>
          <w:tcPr>
            <w:tcW w:w="2575" w:type="dxa"/>
          </w:tcPr>
          <w:p w14:paraId="23180197" w14:textId="3EC31C66" w:rsidR="00E66DC5" w:rsidRPr="00D05503" w:rsidRDefault="00E66DC5" w:rsidP="009F39E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D05503">
              <w:rPr>
                <w:rFonts w:ascii="Arial" w:hAnsi="Arial" w:cs="Arial"/>
                <w:w w:val="80"/>
                <w:sz w:val="24"/>
                <w:szCs w:val="24"/>
              </w:rPr>
              <w:t>Section</w:t>
            </w:r>
            <w:r w:rsidRPr="00D05503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w w:val="80"/>
                <w:sz w:val="24"/>
                <w:szCs w:val="24"/>
              </w:rPr>
              <w:t>474.17</w:t>
            </w:r>
            <w:r w:rsidR="106024B1" w:rsidRPr="00D05503">
              <w:rPr>
                <w:rFonts w:ascii="Arial" w:hAnsi="Arial" w:cs="Arial"/>
                <w:w w:val="80"/>
                <w:sz w:val="24"/>
                <w:szCs w:val="24"/>
              </w:rPr>
              <w:t>,</w:t>
            </w:r>
            <w:r w:rsidRPr="00D05503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2F434BCC">
              <w:rPr>
                <w:rFonts w:ascii="Arial" w:hAnsi="Arial" w:cs="Arial"/>
                <w:i/>
                <w:iCs/>
                <w:spacing w:val="-2"/>
                <w:w w:val="80"/>
                <w:sz w:val="24"/>
                <w:szCs w:val="24"/>
              </w:rPr>
              <w:t>Criminal</w:t>
            </w:r>
            <w:r w:rsidR="61F87472" w:rsidRPr="2F434BCC">
              <w:rPr>
                <w:rFonts w:ascii="Arial" w:hAnsi="Arial" w:cs="Arial"/>
                <w:i/>
                <w:iCs/>
                <w:spacing w:val="-2"/>
                <w:w w:val="80"/>
                <w:sz w:val="24"/>
                <w:szCs w:val="24"/>
              </w:rPr>
              <w:t xml:space="preserve"> </w:t>
            </w:r>
            <w:r w:rsidRPr="2F434BCC">
              <w:rPr>
                <w:rFonts w:ascii="Arial" w:hAnsi="Arial" w:cs="Arial"/>
                <w:i/>
                <w:iCs/>
                <w:w w:val="80"/>
                <w:sz w:val="24"/>
                <w:szCs w:val="24"/>
              </w:rPr>
              <w:t>Code</w:t>
            </w:r>
            <w:r w:rsidRPr="2F434BCC">
              <w:rPr>
                <w:rFonts w:ascii="Arial" w:hAnsi="Arial" w:cs="Arial"/>
                <w:i/>
                <w:iCs/>
                <w:spacing w:val="-5"/>
                <w:w w:val="80"/>
                <w:sz w:val="24"/>
                <w:szCs w:val="24"/>
              </w:rPr>
              <w:t xml:space="preserve"> </w:t>
            </w:r>
            <w:r w:rsidRPr="2F434BCC">
              <w:rPr>
                <w:rFonts w:ascii="Arial" w:hAnsi="Arial" w:cs="Arial"/>
                <w:i/>
                <w:iCs/>
                <w:w w:val="80"/>
                <w:sz w:val="24"/>
                <w:szCs w:val="24"/>
              </w:rPr>
              <w:t>Act</w:t>
            </w:r>
            <w:r w:rsidRPr="2F434BCC">
              <w:rPr>
                <w:rFonts w:ascii="Arial" w:hAnsi="Arial" w:cs="Arial"/>
                <w:i/>
                <w:iCs/>
                <w:spacing w:val="-2"/>
                <w:w w:val="80"/>
                <w:sz w:val="24"/>
                <w:szCs w:val="24"/>
              </w:rPr>
              <w:t xml:space="preserve"> </w:t>
            </w:r>
            <w:r w:rsidRPr="2F434BCC">
              <w:rPr>
                <w:rFonts w:ascii="Arial" w:hAnsi="Arial" w:cs="Arial"/>
                <w:i/>
                <w:iCs/>
                <w:w w:val="80"/>
                <w:sz w:val="24"/>
                <w:szCs w:val="24"/>
              </w:rPr>
              <w:t>1995</w:t>
            </w:r>
            <w:r w:rsidRPr="2F434BCC">
              <w:rPr>
                <w:rFonts w:ascii="Arial" w:hAnsi="Arial" w:cs="Arial"/>
                <w:i/>
                <w:iCs/>
                <w:spacing w:val="-2"/>
                <w:w w:val="80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spacing w:val="-4"/>
                <w:w w:val="80"/>
                <w:sz w:val="24"/>
                <w:szCs w:val="24"/>
              </w:rPr>
              <w:t>(</w:t>
            </w:r>
            <w:proofErr w:type="spellStart"/>
            <w:r w:rsidRPr="00D05503">
              <w:rPr>
                <w:rFonts w:ascii="Arial" w:hAnsi="Arial" w:cs="Arial"/>
                <w:spacing w:val="-4"/>
                <w:w w:val="80"/>
                <w:sz w:val="24"/>
                <w:szCs w:val="24"/>
              </w:rPr>
              <w:t>Cth</w:t>
            </w:r>
            <w:proofErr w:type="spellEnd"/>
            <w:r w:rsidRPr="00D05503">
              <w:rPr>
                <w:rFonts w:ascii="Arial" w:hAnsi="Arial" w:cs="Arial"/>
                <w:spacing w:val="-4"/>
                <w:w w:val="80"/>
                <w:sz w:val="24"/>
                <w:szCs w:val="24"/>
              </w:rPr>
              <w:t>)</w:t>
            </w:r>
          </w:p>
        </w:tc>
        <w:tc>
          <w:tcPr>
            <w:tcW w:w="6440" w:type="dxa"/>
          </w:tcPr>
          <w:p w14:paraId="6B01BDEB" w14:textId="77777777" w:rsidR="00E66DC5" w:rsidRPr="00D05503" w:rsidRDefault="00E66DC5" w:rsidP="00C21660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</w:tabs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D05503">
              <w:rPr>
                <w:rFonts w:ascii="Arial" w:hAnsi="Arial" w:cs="Arial"/>
                <w:spacing w:val="-2"/>
                <w:w w:val="80"/>
                <w:sz w:val="24"/>
                <w:szCs w:val="24"/>
              </w:rPr>
              <w:t>Use</w:t>
            </w:r>
            <w:r w:rsidRPr="00D05503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spacing w:val="-2"/>
                <w:w w:val="80"/>
                <w:sz w:val="24"/>
                <w:szCs w:val="24"/>
              </w:rPr>
              <w:t>of</w:t>
            </w:r>
            <w:r w:rsidRPr="00D05503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spacing w:val="-2"/>
                <w:w w:val="80"/>
                <w:sz w:val="24"/>
                <w:szCs w:val="24"/>
              </w:rPr>
              <w:t>a</w:t>
            </w:r>
            <w:r w:rsidRPr="00D05503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spacing w:val="-2"/>
                <w:w w:val="80"/>
                <w:sz w:val="24"/>
                <w:szCs w:val="24"/>
              </w:rPr>
              <w:t>carriage</w:t>
            </w:r>
            <w:r w:rsidRPr="00D05503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spacing w:val="-2"/>
                <w:w w:val="80"/>
                <w:sz w:val="24"/>
                <w:szCs w:val="24"/>
              </w:rPr>
              <w:t>service</w:t>
            </w:r>
            <w:r w:rsidRPr="00D05503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spacing w:val="-2"/>
                <w:w w:val="80"/>
                <w:sz w:val="24"/>
                <w:szCs w:val="24"/>
              </w:rPr>
              <w:t>to</w:t>
            </w:r>
            <w:r w:rsidRPr="00D05503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spacing w:val="-2"/>
                <w:w w:val="80"/>
                <w:sz w:val="24"/>
                <w:szCs w:val="24"/>
              </w:rPr>
              <w:t>menace,</w:t>
            </w:r>
            <w:r w:rsidRPr="00D05503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spacing w:val="-2"/>
                <w:w w:val="80"/>
                <w:sz w:val="24"/>
                <w:szCs w:val="24"/>
              </w:rPr>
              <w:t>harass</w:t>
            </w:r>
            <w:r w:rsidRPr="00D05503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spacing w:val="-2"/>
                <w:w w:val="80"/>
                <w:sz w:val="24"/>
                <w:szCs w:val="24"/>
              </w:rPr>
              <w:t>or</w:t>
            </w:r>
            <w:r w:rsidRPr="00D05503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spacing w:val="-2"/>
                <w:w w:val="80"/>
                <w:sz w:val="24"/>
                <w:szCs w:val="24"/>
              </w:rPr>
              <w:t>cause</w:t>
            </w:r>
            <w:r w:rsidRPr="00D05503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spacing w:val="-2"/>
                <w:w w:val="80"/>
                <w:sz w:val="24"/>
                <w:szCs w:val="24"/>
              </w:rPr>
              <w:t>offence.</w:t>
            </w:r>
          </w:p>
          <w:p w14:paraId="3CDFC5D3" w14:textId="77777777" w:rsidR="00E66DC5" w:rsidRPr="00D05503" w:rsidRDefault="00E66DC5" w:rsidP="00C21660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6FB50764" w14:textId="3B1638B9" w:rsidR="00E66DC5" w:rsidRPr="00D05503" w:rsidRDefault="00E66DC5" w:rsidP="00C21660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</w:tabs>
              <w:ind w:right="92" w:firstLine="0"/>
              <w:rPr>
                <w:rFonts w:ascii="Arial" w:hAnsi="Arial" w:cs="Arial"/>
                <w:sz w:val="24"/>
                <w:szCs w:val="24"/>
              </w:rPr>
            </w:pPr>
            <w:r w:rsidRPr="00D05503">
              <w:rPr>
                <w:rFonts w:ascii="Arial" w:hAnsi="Arial" w:cs="Arial"/>
                <w:w w:val="90"/>
                <w:sz w:val="24"/>
                <w:szCs w:val="24"/>
              </w:rPr>
              <w:t>Under</w:t>
            </w:r>
            <w:r w:rsidRPr="00D05503">
              <w:rPr>
                <w:rFonts w:ascii="Arial" w:hAnsi="Arial" w:cs="Arial"/>
                <w:spacing w:val="-5"/>
                <w:w w:val="90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w w:val="90"/>
                <w:sz w:val="24"/>
                <w:szCs w:val="24"/>
              </w:rPr>
              <w:t>section</w:t>
            </w:r>
            <w:r w:rsidRPr="00D05503">
              <w:rPr>
                <w:rFonts w:ascii="Arial" w:hAnsi="Arial" w:cs="Arial"/>
                <w:spacing w:val="-5"/>
                <w:w w:val="90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w w:val="90"/>
                <w:sz w:val="24"/>
                <w:szCs w:val="24"/>
              </w:rPr>
              <w:t>474.17A,</w:t>
            </w:r>
            <w:r w:rsidRPr="00D05503">
              <w:rPr>
                <w:rFonts w:ascii="Arial" w:hAnsi="Arial" w:cs="Arial"/>
                <w:spacing w:val="-5"/>
                <w:w w:val="90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w w:val="90"/>
                <w:sz w:val="24"/>
                <w:szCs w:val="24"/>
              </w:rPr>
              <w:t>this</w:t>
            </w:r>
            <w:r w:rsidRPr="00D05503">
              <w:rPr>
                <w:rFonts w:ascii="Arial" w:hAnsi="Arial" w:cs="Arial"/>
                <w:spacing w:val="-5"/>
                <w:w w:val="90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w w:val="90"/>
                <w:sz w:val="24"/>
                <w:szCs w:val="24"/>
              </w:rPr>
              <w:t>offence</w:t>
            </w:r>
            <w:r w:rsidRPr="00D05503">
              <w:rPr>
                <w:rFonts w:ascii="Arial" w:hAnsi="Arial" w:cs="Arial"/>
                <w:spacing w:val="-5"/>
                <w:w w:val="90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w w:val="90"/>
                <w:sz w:val="24"/>
                <w:szCs w:val="24"/>
              </w:rPr>
              <w:t>become</w:t>
            </w:r>
            <w:r w:rsidR="70016D2B" w:rsidRPr="00D05503">
              <w:rPr>
                <w:rFonts w:ascii="Arial" w:hAnsi="Arial" w:cs="Arial"/>
                <w:w w:val="90"/>
                <w:sz w:val="24"/>
                <w:szCs w:val="24"/>
              </w:rPr>
              <w:t>s</w:t>
            </w:r>
            <w:r w:rsidRPr="00D05503">
              <w:rPr>
                <w:rFonts w:ascii="Arial" w:hAnsi="Arial" w:cs="Arial"/>
                <w:spacing w:val="-4"/>
                <w:w w:val="90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w w:val="90"/>
                <w:sz w:val="24"/>
                <w:szCs w:val="24"/>
              </w:rPr>
              <w:t>aggravated</w:t>
            </w:r>
            <w:r w:rsidRPr="00D05503">
              <w:rPr>
                <w:rFonts w:ascii="Arial" w:hAnsi="Arial" w:cs="Arial"/>
                <w:spacing w:val="-5"/>
                <w:w w:val="90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w w:val="90"/>
                <w:sz w:val="24"/>
                <w:szCs w:val="24"/>
              </w:rPr>
              <w:t>if</w:t>
            </w:r>
            <w:r w:rsidRPr="00D05503">
              <w:rPr>
                <w:rFonts w:ascii="Arial" w:hAnsi="Arial" w:cs="Arial"/>
                <w:spacing w:val="-5"/>
                <w:w w:val="90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w w:val="90"/>
                <w:sz w:val="24"/>
                <w:szCs w:val="24"/>
              </w:rPr>
              <w:t>it</w:t>
            </w:r>
            <w:r w:rsidRPr="00D05503">
              <w:rPr>
                <w:rFonts w:ascii="Arial" w:hAnsi="Arial" w:cs="Arial"/>
                <w:spacing w:val="-5"/>
                <w:w w:val="90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w w:val="90"/>
                <w:sz w:val="24"/>
                <w:szCs w:val="24"/>
              </w:rPr>
              <w:t>involves</w:t>
            </w:r>
            <w:r w:rsidRPr="00D05503">
              <w:rPr>
                <w:rFonts w:ascii="Arial" w:hAnsi="Arial" w:cs="Arial"/>
                <w:spacing w:val="-5"/>
                <w:w w:val="90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w w:val="90"/>
                <w:sz w:val="24"/>
                <w:szCs w:val="24"/>
              </w:rPr>
              <w:t xml:space="preserve">the </w:t>
            </w:r>
            <w:r w:rsidRPr="00D05503">
              <w:rPr>
                <w:rFonts w:ascii="Arial" w:hAnsi="Arial" w:cs="Arial"/>
                <w:spacing w:val="-2"/>
                <w:w w:val="90"/>
                <w:sz w:val="24"/>
                <w:szCs w:val="24"/>
              </w:rPr>
              <w:t xml:space="preserve">transmission, making available, publication, distribution, advertisement or </w:t>
            </w:r>
            <w:r w:rsidRPr="00D05503">
              <w:rPr>
                <w:rFonts w:ascii="Arial" w:hAnsi="Arial" w:cs="Arial"/>
                <w:w w:val="85"/>
                <w:sz w:val="24"/>
                <w:szCs w:val="24"/>
              </w:rPr>
              <w:t>promotion</w:t>
            </w:r>
            <w:r w:rsidRPr="00D05503">
              <w:rPr>
                <w:rFonts w:ascii="Arial" w:hAnsi="Arial" w:cs="Arial"/>
                <w:spacing w:val="-6"/>
                <w:w w:val="85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w w:val="85"/>
                <w:sz w:val="24"/>
                <w:szCs w:val="24"/>
              </w:rPr>
              <w:t>of</w:t>
            </w:r>
            <w:r w:rsidRPr="00D05503">
              <w:rPr>
                <w:rFonts w:ascii="Arial" w:hAnsi="Arial" w:cs="Arial"/>
                <w:spacing w:val="-6"/>
                <w:w w:val="85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w w:val="85"/>
                <w:sz w:val="24"/>
                <w:szCs w:val="24"/>
              </w:rPr>
              <w:t>private</w:t>
            </w:r>
            <w:r w:rsidRPr="00D05503">
              <w:rPr>
                <w:rFonts w:ascii="Arial" w:hAnsi="Arial" w:cs="Arial"/>
                <w:spacing w:val="-6"/>
                <w:w w:val="85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w w:val="85"/>
                <w:sz w:val="24"/>
                <w:szCs w:val="24"/>
              </w:rPr>
              <w:t>sexual</w:t>
            </w:r>
            <w:r w:rsidRPr="00D05503">
              <w:rPr>
                <w:rFonts w:ascii="Arial" w:hAnsi="Arial" w:cs="Arial"/>
                <w:spacing w:val="-6"/>
                <w:w w:val="85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w w:val="85"/>
                <w:sz w:val="24"/>
                <w:szCs w:val="24"/>
              </w:rPr>
              <w:t>material.</w:t>
            </w:r>
          </w:p>
        </w:tc>
      </w:tr>
      <w:tr w:rsidR="00E66DC5" w:rsidRPr="00D05503" w14:paraId="47FB95AE" w14:textId="77777777" w:rsidTr="2F434BCC">
        <w:trPr>
          <w:trHeight w:val="950"/>
        </w:trPr>
        <w:tc>
          <w:tcPr>
            <w:tcW w:w="2575" w:type="dxa"/>
          </w:tcPr>
          <w:p w14:paraId="2E497204" w14:textId="2D18411F" w:rsidR="00E66DC5" w:rsidRPr="00D05503" w:rsidRDefault="00E66DC5" w:rsidP="2F434BCC">
            <w:pPr>
              <w:pStyle w:val="TableParagraph"/>
              <w:tabs>
                <w:tab w:val="left" w:pos="1248"/>
              </w:tabs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05503">
              <w:rPr>
                <w:rFonts w:ascii="Arial" w:hAnsi="Arial" w:cs="Arial"/>
                <w:spacing w:val="-2"/>
                <w:w w:val="90"/>
                <w:sz w:val="24"/>
                <w:szCs w:val="24"/>
              </w:rPr>
              <w:t>Section</w:t>
            </w:r>
            <w:r w:rsidR="6937B2E7" w:rsidRPr="00D05503">
              <w:rPr>
                <w:rFonts w:ascii="Arial" w:hAnsi="Arial" w:cs="Arial"/>
                <w:spacing w:val="-2"/>
                <w:w w:val="90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w w:val="80"/>
                <w:sz w:val="24"/>
                <w:szCs w:val="24"/>
              </w:rPr>
              <w:t>75</w:t>
            </w:r>
            <w:r w:rsidR="42EE5245" w:rsidRPr="00D05503">
              <w:rPr>
                <w:rFonts w:ascii="Arial" w:hAnsi="Arial" w:cs="Arial"/>
                <w:w w:val="80"/>
                <w:sz w:val="24"/>
                <w:szCs w:val="24"/>
              </w:rPr>
              <w:t xml:space="preserve">, </w:t>
            </w:r>
            <w:r w:rsidRPr="2F434BCC">
              <w:rPr>
                <w:rFonts w:ascii="Arial" w:hAnsi="Arial" w:cs="Arial"/>
                <w:i/>
                <w:iCs/>
                <w:spacing w:val="-2"/>
                <w:w w:val="90"/>
                <w:sz w:val="24"/>
                <w:szCs w:val="24"/>
              </w:rPr>
              <w:t>Online</w:t>
            </w:r>
          </w:p>
          <w:p w14:paraId="52A7D520" w14:textId="77777777" w:rsidR="00E66DC5" w:rsidRPr="00D05503" w:rsidRDefault="00E66DC5" w:rsidP="009F39E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2F434BCC">
              <w:rPr>
                <w:rFonts w:ascii="Arial" w:hAnsi="Arial" w:cs="Arial"/>
                <w:i/>
                <w:iCs/>
                <w:w w:val="80"/>
                <w:sz w:val="24"/>
                <w:szCs w:val="24"/>
              </w:rPr>
              <w:t>Safety</w:t>
            </w:r>
            <w:r w:rsidRPr="2F434BCC">
              <w:rPr>
                <w:rFonts w:ascii="Arial" w:hAnsi="Arial" w:cs="Arial"/>
                <w:i/>
                <w:iCs/>
                <w:spacing w:val="-2"/>
                <w:w w:val="80"/>
                <w:sz w:val="24"/>
                <w:szCs w:val="24"/>
              </w:rPr>
              <w:t xml:space="preserve"> </w:t>
            </w:r>
            <w:r w:rsidRPr="2F434BCC">
              <w:rPr>
                <w:rFonts w:ascii="Arial" w:hAnsi="Arial" w:cs="Arial"/>
                <w:i/>
                <w:iCs/>
                <w:w w:val="80"/>
                <w:sz w:val="24"/>
                <w:szCs w:val="24"/>
              </w:rPr>
              <w:t>Act</w:t>
            </w:r>
            <w:r w:rsidRPr="2F434BCC">
              <w:rPr>
                <w:rFonts w:ascii="Arial" w:hAnsi="Arial" w:cs="Arial"/>
                <w:i/>
                <w:iCs/>
                <w:spacing w:val="-1"/>
                <w:w w:val="80"/>
                <w:sz w:val="24"/>
                <w:szCs w:val="24"/>
              </w:rPr>
              <w:t xml:space="preserve"> </w:t>
            </w:r>
            <w:r w:rsidRPr="2F434BCC">
              <w:rPr>
                <w:rFonts w:ascii="Arial" w:hAnsi="Arial" w:cs="Arial"/>
                <w:i/>
                <w:iCs/>
                <w:w w:val="80"/>
                <w:sz w:val="24"/>
                <w:szCs w:val="24"/>
              </w:rPr>
              <w:t>2021</w:t>
            </w:r>
            <w:r w:rsidRPr="2F434BCC">
              <w:rPr>
                <w:rFonts w:ascii="Arial" w:hAnsi="Arial" w:cs="Arial"/>
                <w:i/>
                <w:iCs/>
                <w:spacing w:val="-1"/>
                <w:w w:val="80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spacing w:val="-2"/>
                <w:w w:val="80"/>
                <w:sz w:val="24"/>
                <w:szCs w:val="24"/>
              </w:rPr>
              <w:t>(</w:t>
            </w:r>
            <w:proofErr w:type="spellStart"/>
            <w:r w:rsidRPr="00D05503">
              <w:rPr>
                <w:rFonts w:ascii="Arial" w:hAnsi="Arial" w:cs="Arial"/>
                <w:spacing w:val="-2"/>
                <w:w w:val="80"/>
                <w:sz w:val="24"/>
                <w:szCs w:val="24"/>
              </w:rPr>
              <w:t>Cth</w:t>
            </w:r>
            <w:proofErr w:type="spellEnd"/>
            <w:r w:rsidRPr="00D05503">
              <w:rPr>
                <w:rFonts w:ascii="Arial" w:hAnsi="Arial" w:cs="Arial"/>
                <w:spacing w:val="-2"/>
                <w:w w:val="80"/>
                <w:sz w:val="24"/>
                <w:szCs w:val="24"/>
              </w:rPr>
              <w:t>)</w:t>
            </w:r>
          </w:p>
        </w:tc>
        <w:tc>
          <w:tcPr>
            <w:tcW w:w="6440" w:type="dxa"/>
          </w:tcPr>
          <w:p w14:paraId="0BA80605" w14:textId="77777777" w:rsidR="00E66DC5" w:rsidRPr="00D05503" w:rsidRDefault="00E66DC5" w:rsidP="009F39EF">
            <w:pPr>
              <w:pStyle w:val="TableParagraph"/>
              <w:numPr>
                <w:ilvl w:val="0"/>
                <w:numId w:val="5"/>
              </w:numPr>
              <w:tabs>
                <w:tab w:val="left" w:pos="469"/>
              </w:tabs>
              <w:ind w:right="98" w:firstLine="0"/>
              <w:rPr>
                <w:rFonts w:ascii="Arial" w:hAnsi="Arial" w:cs="Arial"/>
                <w:sz w:val="24"/>
                <w:szCs w:val="24"/>
              </w:rPr>
            </w:pPr>
            <w:r w:rsidRPr="00D05503">
              <w:rPr>
                <w:rFonts w:ascii="Arial" w:hAnsi="Arial" w:cs="Arial"/>
                <w:w w:val="80"/>
                <w:sz w:val="24"/>
                <w:szCs w:val="24"/>
              </w:rPr>
              <w:t>Prohibits</w:t>
            </w:r>
            <w:r w:rsidRPr="00D05503">
              <w:rPr>
                <w:rFonts w:ascii="Arial" w:hAnsi="Arial" w:cs="Arial"/>
                <w:spacing w:val="-5"/>
                <w:w w:val="80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w w:val="80"/>
                <w:sz w:val="24"/>
                <w:szCs w:val="24"/>
              </w:rPr>
              <w:t>the</w:t>
            </w:r>
            <w:r w:rsidRPr="00D05503">
              <w:rPr>
                <w:rFonts w:ascii="Arial" w:hAnsi="Arial" w:cs="Arial"/>
                <w:spacing w:val="-5"/>
                <w:w w:val="80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w w:val="80"/>
                <w:sz w:val="24"/>
                <w:szCs w:val="24"/>
              </w:rPr>
              <w:t>threatening</w:t>
            </w:r>
            <w:r w:rsidRPr="00D05503">
              <w:rPr>
                <w:rFonts w:ascii="Arial" w:hAnsi="Arial" w:cs="Arial"/>
                <w:spacing w:val="-5"/>
                <w:w w:val="80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w w:val="80"/>
                <w:sz w:val="24"/>
                <w:szCs w:val="24"/>
              </w:rPr>
              <w:t>to</w:t>
            </w:r>
            <w:r w:rsidRPr="00D05503">
              <w:rPr>
                <w:rFonts w:ascii="Arial" w:hAnsi="Arial" w:cs="Arial"/>
                <w:spacing w:val="-5"/>
                <w:w w:val="80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w w:val="80"/>
                <w:sz w:val="24"/>
                <w:szCs w:val="24"/>
              </w:rPr>
              <w:t>and/or</w:t>
            </w:r>
            <w:r w:rsidRPr="00D05503">
              <w:rPr>
                <w:rFonts w:ascii="Arial" w:hAnsi="Arial" w:cs="Arial"/>
                <w:spacing w:val="-5"/>
                <w:w w:val="80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w w:val="80"/>
                <w:sz w:val="24"/>
                <w:szCs w:val="24"/>
              </w:rPr>
              <w:t>posting</w:t>
            </w:r>
            <w:r w:rsidRPr="00D05503">
              <w:rPr>
                <w:rFonts w:ascii="Arial" w:hAnsi="Arial" w:cs="Arial"/>
                <w:spacing w:val="-5"/>
                <w:w w:val="80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w w:val="80"/>
                <w:sz w:val="24"/>
                <w:szCs w:val="24"/>
              </w:rPr>
              <w:t>of</w:t>
            </w:r>
            <w:r w:rsidRPr="00D05503">
              <w:rPr>
                <w:rFonts w:ascii="Arial" w:hAnsi="Arial" w:cs="Arial"/>
                <w:spacing w:val="-5"/>
                <w:w w:val="80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w w:val="80"/>
                <w:sz w:val="24"/>
                <w:szCs w:val="24"/>
              </w:rPr>
              <w:t>an</w:t>
            </w:r>
            <w:r w:rsidRPr="00D05503">
              <w:rPr>
                <w:rFonts w:ascii="Arial" w:hAnsi="Arial" w:cs="Arial"/>
                <w:spacing w:val="-5"/>
                <w:w w:val="80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w w:val="80"/>
                <w:sz w:val="24"/>
                <w:szCs w:val="24"/>
              </w:rPr>
              <w:t>intimate</w:t>
            </w:r>
            <w:r w:rsidRPr="00D05503">
              <w:rPr>
                <w:rFonts w:ascii="Arial" w:hAnsi="Arial" w:cs="Arial"/>
                <w:spacing w:val="-5"/>
                <w:w w:val="80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w w:val="80"/>
                <w:sz w:val="24"/>
                <w:szCs w:val="24"/>
              </w:rPr>
              <w:t>image</w:t>
            </w:r>
            <w:r w:rsidRPr="00D05503">
              <w:rPr>
                <w:rFonts w:ascii="Arial" w:hAnsi="Arial" w:cs="Arial"/>
                <w:spacing w:val="-5"/>
                <w:w w:val="80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w w:val="80"/>
                <w:sz w:val="24"/>
                <w:szCs w:val="24"/>
              </w:rPr>
              <w:t>without</w:t>
            </w:r>
            <w:r w:rsidRPr="00D05503">
              <w:rPr>
                <w:rFonts w:ascii="Arial" w:hAnsi="Arial" w:cs="Arial"/>
                <w:spacing w:val="-5"/>
                <w:w w:val="80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w w:val="80"/>
                <w:sz w:val="24"/>
                <w:szCs w:val="24"/>
              </w:rPr>
              <w:t>a</w:t>
            </w:r>
            <w:r w:rsidRPr="00D05503">
              <w:rPr>
                <w:rFonts w:ascii="Arial" w:hAnsi="Arial" w:cs="Arial"/>
                <w:spacing w:val="-5"/>
                <w:w w:val="80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w w:val="80"/>
                <w:sz w:val="24"/>
                <w:szCs w:val="24"/>
              </w:rPr>
              <w:t xml:space="preserve">person’s </w:t>
            </w:r>
            <w:r w:rsidRPr="00D05503">
              <w:rPr>
                <w:rFonts w:ascii="Arial" w:hAnsi="Arial" w:cs="Arial"/>
                <w:spacing w:val="-2"/>
                <w:w w:val="90"/>
                <w:sz w:val="24"/>
                <w:szCs w:val="24"/>
              </w:rPr>
              <w:t>consent.</w:t>
            </w:r>
          </w:p>
        </w:tc>
      </w:tr>
      <w:tr w:rsidR="00E66DC5" w:rsidRPr="00D05503" w14:paraId="7625C3BB" w14:textId="77777777" w:rsidTr="2F434BCC">
        <w:trPr>
          <w:trHeight w:val="892"/>
        </w:trPr>
        <w:tc>
          <w:tcPr>
            <w:tcW w:w="2575" w:type="dxa"/>
          </w:tcPr>
          <w:p w14:paraId="19A9FFF7" w14:textId="77777777" w:rsidR="00E66DC5" w:rsidRPr="00D05503" w:rsidRDefault="00E66DC5" w:rsidP="2F434BCC">
            <w:pPr>
              <w:pStyle w:val="TableParagraph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2F434BCC">
              <w:rPr>
                <w:rFonts w:ascii="Arial" w:hAnsi="Arial" w:cs="Arial"/>
                <w:b/>
                <w:bCs/>
                <w:w w:val="85"/>
                <w:sz w:val="24"/>
                <w:szCs w:val="24"/>
              </w:rPr>
              <w:t>State</w:t>
            </w:r>
            <w:r w:rsidRPr="2F434BCC">
              <w:rPr>
                <w:rFonts w:ascii="Arial" w:hAnsi="Arial" w:cs="Arial"/>
                <w:b/>
                <w:bCs/>
                <w:spacing w:val="31"/>
                <w:sz w:val="24"/>
                <w:szCs w:val="24"/>
              </w:rPr>
              <w:t xml:space="preserve"> </w:t>
            </w:r>
            <w:r w:rsidRPr="2F434BCC">
              <w:rPr>
                <w:rFonts w:ascii="Arial" w:hAnsi="Arial" w:cs="Arial"/>
                <w:b/>
                <w:bCs/>
                <w:w w:val="85"/>
                <w:sz w:val="24"/>
                <w:szCs w:val="24"/>
              </w:rPr>
              <w:t>Level</w:t>
            </w:r>
            <w:r w:rsidRPr="2F434BCC">
              <w:rPr>
                <w:rFonts w:ascii="Arial" w:hAnsi="Arial" w:cs="Arial"/>
                <w:b/>
                <w:bCs/>
                <w:spacing w:val="32"/>
                <w:sz w:val="24"/>
                <w:szCs w:val="24"/>
              </w:rPr>
              <w:t xml:space="preserve"> </w:t>
            </w:r>
            <w:r w:rsidRPr="2F434BCC">
              <w:rPr>
                <w:rFonts w:ascii="Arial" w:hAnsi="Arial" w:cs="Arial"/>
                <w:b/>
                <w:bCs/>
                <w:w w:val="85"/>
                <w:sz w:val="24"/>
                <w:szCs w:val="24"/>
              </w:rPr>
              <w:t>–</w:t>
            </w:r>
            <w:r w:rsidRPr="2F434BCC">
              <w:rPr>
                <w:rFonts w:ascii="Arial" w:hAnsi="Arial" w:cs="Arial"/>
                <w:b/>
                <w:bCs/>
                <w:spacing w:val="32"/>
                <w:sz w:val="24"/>
                <w:szCs w:val="24"/>
              </w:rPr>
              <w:t xml:space="preserve"> </w:t>
            </w:r>
            <w:r w:rsidRPr="2F434BCC">
              <w:rPr>
                <w:rFonts w:ascii="Arial" w:hAnsi="Arial" w:cs="Arial"/>
                <w:b/>
                <w:bCs/>
                <w:i/>
                <w:iCs/>
                <w:spacing w:val="-2"/>
                <w:w w:val="85"/>
                <w:sz w:val="24"/>
                <w:szCs w:val="24"/>
              </w:rPr>
              <w:t>Crimes</w:t>
            </w:r>
          </w:p>
          <w:p w14:paraId="29CD72B6" w14:textId="77777777" w:rsidR="00E66DC5" w:rsidRPr="00D05503" w:rsidRDefault="00E66DC5" w:rsidP="2F434BCC">
            <w:pPr>
              <w:pStyle w:val="TableParagrap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2F434BCC">
              <w:rPr>
                <w:rFonts w:ascii="Arial" w:hAnsi="Arial" w:cs="Arial"/>
                <w:b/>
                <w:bCs/>
                <w:i/>
                <w:iCs/>
                <w:w w:val="80"/>
                <w:sz w:val="24"/>
                <w:szCs w:val="24"/>
              </w:rPr>
              <w:t>Act</w:t>
            </w:r>
            <w:r w:rsidRPr="2F434BCC">
              <w:rPr>
                <w:rFonts w:ascii="Arial" w:hAnsi="Arial" w:cs="Arial"/>
                <w:b/>
                <w:bCs/>
                <w:i/>
                <w:iCs/>
                <w:spacing w:val="-1"/>
                <w:w w:val="80"/>
                <w:sz w:val="24"/>
                <w:szCs w:val="24"/>
              </w:rPr>
              <w:t xml:space="preserve"> </w:t>
            </w:r>
            <w:r w:rsidRPr="2F434BCC">
              <w:rPr>
                <w:rFonts w:ascii="Arial" w:hAnsi="Arial" w:cs="Arial"/>
                <w:b/>
                <w:bCs/>
                <w:i/>
                <w:iCs/>
                <w:w w:val="80"/>
                <w:sz w:val="24"/>
                <w:szCs w:val="24"/>
              </w:rPr>
              <w:t>1900</w:t>
            </w:r>
            <w:r w:rsidRPr="2F434BCC">
              <w:rPr>
                <w:rFonts w:ascii="Arial" w:hAnsi="Arial" w:cs="Arial"/>
                <w:b/>
                <w:bCs/>
                <w:w w:val="80"/>
                <w:sz w:val="24"/>
                <w:szCs w:val="24"/>
              </w:rPr>
              <w:t xml:space="preserve"> </w:t>
            </w:r>
            <w:r w:rsidRPr="2F434BCC">
              <w:rPr>
                <w:rFonts w:ascii="Arial" w:hAnsi="Arial" w:cs="Arial"/>
                <w:b/>
                <w:bCs/>
                <w:spacing w:val="-2"/>
                <w:w w:val="80"/>
                <w:sz w:val="24"/>
                <w:szCs w:val="24"/>
              </w:rPr>
              <w:t>(NSW)</w:t>
            </w:r>
          </w:p>
        </w:tc>
        <w:tc>
          <w:tcPr>
            <w:tcW w:w="6440" w:type="dxa"/>
            <w:shd w:val="clear" w:color="auto" w:fill="D1D1D1" w:themeFill="background2" w:themeFillShade="E6"/>
          </w:tcPr>
          <w:p w14:paraId="49B66AA3" w14:textId="77777777" w:rsidR="00E66DC5" w:rsidRPr="00D05503" w:rsidRDefault="00E66DC5" w:rsidP="009F39EF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6DC5" w:rsidRPr="00D05503" w14:paraId="1E5FBA5A" w14:textId="77777777" w:rsidTr="2F434BCC">
        <w:trPr>
          <w:trHeight w:val="628"/>
        </w:trPr>
        <w:tc>
          <w:tcPr>
            <w:tcW w:w="2575" w:type="dxa"/>
          </w:tcPr>
          <w:p w14:paraId="21D2D8F1" w14:textId="77777777" w:rsidR="00E66DC5" w:rsidRPr="00D05503" w:rsidRDefault="00E66DC5" w:rsidP="009F39E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D05503">
              <w:rPr>
                <w:rFonts w:ascii="Arial" w:hAnsi="Arial" w:cs="Arial"/>
                <w:w w:val="80"/>
                <w:sz w:val="24"/>
                <w:szCs w:val="24"/>
              </w:rPr>
              <w:t>Section</w:t>
            </w:r>
            <w:r w:rsidRPr="00D05503">
              <w:rPr>
                <w:rFonts w:ascii="Arial" w:hAnsi="Arial" w:cs="Arial"/>
                <w:spacing w:val="-3"/>
                <w:w w:val="80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spacing w:val="-5"/>
                <w:w w:val="90"/>
                <w:sz w:val="24"/>
                <w:szCs w:val="24"/>
              </w:rPr>
              <w:t>91P</w:t>
            </w:r>
          </w:p>
        </w:tc>
        <w:tc>
          <w:tcPr>
            <w:tcW w:w="6440" w:type="dxa"/>
          </w:tcPr>
          <w:p w14:paraId="30D960B5" w14:textId="77777777" w:rsidR="00E66DC5" w:rsidRPr="00D05503" w:rsidRDefault="00E66DC5" w:rsidP="009F39EF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</w:tabs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D05503">
              <w:rPr>
                <w:rFonts w:ascii="Arial" w:hAnsi="Arial" w:cs="Arial"/>
                <w:spacing w:val="-2"/>
                <w:w w:val="80"/>
                <w:sz w:val="24"/>
                <w:szCs w:val="24"/>
              </w:rPr>
              <w:t>Recording</w:t>
            </w:r>
            <w:r w:rsidRPr="00D0550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spacing w:val="-2"/>
                <w:w w:val="80"/>
                <w:sz w:val="24"/>
                <w:szCs w:val="24"/>
              </w:rPr>
              <w:t>an</w:t>
            </w:r>
            <w:r w:rsidRPr="00D0550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spacing w:val="-2"/>
                <w:w w:val="80"/>
                <w:sz w:val="24"/>
                <w:szCs w:val="24"/>
              </w:rPr>
              <w:t>intimate</w:t>
            </w:r>
            <w:r w:rsidRPr="00D0550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spacing w:val="-2"/>
                <w:w w:val="80"/>
                <w:sz w:val="24"/>
                <w:szCs w:val="24"/>
              </w:rPr>
              <w:t>image</w:t>
            </w:r>
            <w:r w:rsidRPr="00D0550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spacing w:val="-2"/>
                <w:w w:val="80"/>
                <w:sz w:val="24"/>
                <w:szCs w:val="24"/>
              </w:rPr>
              <w:t>without</w:t>
            </w:r>
            <w:r w:rsidRPr="00D05503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spacing w:val="-2"/>
                <w:w w:val="80"/>
                <w:sz w:val="24"/>
                <w:szCs w:val="24"/>
              </w:rPr>
              <w:t>consent.</w:t>
            </w:r>
          </w:p>
        </w:tc>
      </w:tr>
      <w:tr w:rsidR="00E66DC5" w:rsidRPr="00D05503" w14:paraId="69049703" w14:textId="77777777" w:rsidTr="2F434BCC">
        <w:trPr>
          <w:trHeight w:val="949"/>
        </w:trPr>
        <w:tc>
          <w:tcPr>
            <w:tcW w:w="2575" w:type="dxa"/>
          </w:tcPr>
          <w:p w14:paraId="597CC3D1" w14:textId="77777777" w:rsidR="00E66DC5" w:rsidRPr="00D05503" w:rsidRDefault="00E66DC5" w:rsidP="009F39E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D05503">
              <w:rPr>
                <w:rFonts w:ascii="Arial" w:hAnsi="Arial" w:cs="Arial"/>
                <w:w w:val="80"/>
                <w:sz w:val="24"/>
                <w:szCs w:val="24"/>
              </w:rPr>
              <w:t>Section</w:t>
            </w:r>
            <w:r w:rsidRPr="00D05503">
              <w:rPr>
                <w:rFonts w:ascii="Arial" w:hAnsi="Arial" w:cs="Arial"/>
                <w:spacing w:val="-3"/>
                <w:w w:val="80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spacing w:val="-5"/>
                <w:w w:val="90"/>
                <w:sz w:val="24"/>
                <w:szCs w:val="24"/>
              </w:rPr>
              <w:t>91Q</w:t>
            </w:r>
          </w:p>
        </w:tc>
        <w:tc>
          <w:tcPr>
            <w:tcW w:w="6440" w:type="dxa"/>
          </w:tcPr>
          <w:p w14:paraId="227120D0" w14:textId="77777777" w:rsidR="00E66DC5" w:rsidRPr="00D05503" w:rsidRDefault="00E66DC5" w:rsidP="009F39EF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</w:tabs>
              <w:ind w:right="96" w:firstLine="0"/>
              <w:rPr>
                <w:rFonts w:ascii="Arial" w:hAnsi="Arial" w:cs="Arial"/>
                <w:sz w:val="24"/>
                <w:szCs w:val="24"/>
              </w:rPr>
            </w:pPr>
            <w:r w:rsidRPr="00D05503">
              <w:rPr>
                <w:rFonts w:ascii="Arial" w:hAnsi="Arial" w:cs="Arial"/>
                <w:w w:val="80"/>
                <w:sz w:val="24"/>
                <w:szCs w:val="24"/>
              </w:rPr>
              <w:t xml:space="preserve">Intentionally distributing an intimate image of another person without consent or </w:t>
            </w:r>
            <w:r w:rsidRPr="00D05503">
              <w:rPr>
                <w:rFonts w:ascii="Arial" w:hAnsi="Arial" w:cs="Arial"/>
                <w:w w:val="85"/>
                <w:sz w:val="24"/>
                <w:szCs w:val="24"/>
              </w:rPr>
              <w:t>being</w:t>
            </w:r>
            <w:r w:rsidRPr="00D05503">
              <w:rPr>
                <w:rFonts w:ascii="Arial" w:hAnsi="Arial" w:cs="Arial"/>
                <w:spacing w:val="-5"/>
                <w:w w:val="85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w w:val="85"/>
                <w:sz w:val="24"/>
                <w:szCs w:val="24"/>
              </w:rPr>
              <w:t>reckless</w:t>
            </w:r>
            <w:r w:rsidRPr="00D05503">
              <w:rPr>
                <w:rFonts w:ascii="Arial" w:hAnsi="Arial" w:cs="Arial"/>
                <w:spacing w:val="-5"/>
                <w:w w:val="85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w w:val="85"/>
                <w:sz w:val="24"/>
                <w:szCs w:val="24"/>
              </w:rPr>
              <w:t>in</w:t>
            </w:r>
            <w:r w:rsidRPr="00D05503">
              <w:rPr>
                <w:rFonts w:ascii="Arial" w:hAnsi="Arial" w:cs="Arial"/>
                <w:spacing w:val="-5"/>
                <w:w w:val="85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w w:val="85"/>
                <w:sz w:val="24"/>
                <w:szCs w:val="24"/>
              </w:rPr>
              <w:t>ascertaining</w:t>
            </w:r>
            <w:r w:rsidRPr="00D05503">
              <w:rPr>
                <w:rFonts w:ascii="Arial" w:hAnsi="Arial" w:cs="Arial"/>
                <w:spacing w:val="-5"/>
                <w:w w:val="85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w w:val="85"/>
                <w:sz w:val="24"/>
                <w:szCs w:val="24"/>
              </w:rPr>
              <w:t>consent.</w:t>
            </w:r>
          </w:p>
        </w:tc>
      </w:tr>
      <w:tr w:rsidR="00E66DC5" w:rsidRPr="00D05503" w14:paraId="3325C7C2" w14:textId="77777777" w:rsidTr="2F434BCC">
        <w:trPr>
          <w:trHeight w:val="950"/>
        </w:trPr>
        <w:tc>
          <w:tcPr>
            <w:tcW w:w="2575" w:type="dxa"/>
          </w:tcPr>
          <w:p w14:paraId="70224AEB" w14:textId="77777777" w:rsidR="00E66DC5" w:rsidRPr="00D05503" w:rsidRDefault="00E66DC5" w:rsidP="009F39E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D05503">
              <w:rPr>
                <w:rFonts w:ascii="Arial" w:hAnsi="Arial" w:cs="Arial"/>
                <w:w w:val="80"/>
                <w:sz w:val="24"/>
                <w:szCs w:val="24"/>
              </w:rPr>
              <w:t>Section</w:t>
            </w:r>
            <w:r w:rsidRPr="00D05503">
              <w:rPr>
                <w:rFonts w:ascii="Arial" w:hAnsi="Arial" w:cs="Arial"/>
                <w:spacing w:val="-3"/>
                <w:w w:val="80"/>
                <w:sz w:val="24"/>
                <w:szCs w:val="24"/>
              </w:rPr>
              <w:t xml:space="preserve"> </w:t>
            </w:r>
            <w:r w:rsidRPr="00D05503">
              <w:rPr>
                <w:rFonts w:ascii="Arial" w:hAnsi="Arial" w:cs="Arial"/>
                <w:spacing w:val="-5"/>
                <w:w w:val="90"/>
                <w:sz w:val="24"/>
                <w:szCs w:val="24"/>
              </w:rPr>
              <w:t>91R</w:t>
            </w:r>
          </w:p>
        </w:tc>
        <w:tc>
          <w:tcPr>
            <w:tcW w:w="6440" w:type="dxa"/>
          </w:tcPr>
          <w:p w14:paraId="6EA10ABC" w14:textId="77777777" w:rsidR="00E66DC5" w:rsidRPr="00D05503" w:rsidRDefault="00E66DC5" w:rsidP="009F39EF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</w:tabs>
              <w:ind w:right="95" w:firstLine="0"/>
              <w:rPr>
                <w:rFonts w:ascii="Arial" w:hAnsi="Arial" w:cs="Arial"/>
                <w:sz w:val="24"/>
                <w:szCs w:val="24"/>
              </w:rPr>
            </w:pPr>
            <w:r w:rsidRPr="00D05503">
              <w:rPr>
                <w:rFonts w:ascii="Arial" w:hAnsi="Arial" w:cs="Arial"/>
                <w:w w:val="80"/>
                <w:sz w:val="24"/>
                <w:szCs w:val="24"/>
              </w:rPr>
              <w:t xml:space="preserve">Threating to record or distribute intimate image without consent knowing that the </w:t>
            </w:r>
            <w:r w:rsidRPr="00D05503">
              <w:rPr>
                <w:rFonts w:ascii="Arial" w:hAnsi="Arial" w:cs="Arial"/>
                <w:spacing w:val="-2"/>
                <w:w w:val="85"/>
                <w:sz w:val="24"/>
                <w:szCs w:val="24"/>
              </w:rPr>
              <w:t>other person would fear the threat would be carried out.</w:t>
            </w:r>
          </w:p>
        </w:tc>
      </w:tr>
    </w:tbl>
    <w:p w14:paraId="38CE1679" w14:textId="77777777" w:rsidR="00F70FC5" w:rsidRPr="00D05503" w:rsidRDefault="00F70FC5" w:rsidP="005F3156">
      <w:pPr>
        <w:rPr>
          <w:rFonts w:ascii="Arial" w:hAnsi="Arial" w:cs="Arial"/>
          <w:b/>
          <w:bCs/>
          <w:color w:val="215E99" w:themeColor="text2" w:themeTint="BF"/>
        </w:rPr>
      </w:pPr>
    </w:p>
    <w:p w14:paraId="5A930CA2" w14:textId="0951FFFD" w:rsidR="005F3156" w:rsidRPr="005F3156" w:rsidRDefault="005F3156" w:rsidP="005F3156">
      <w:pPr>
        <w:rPr>
          <w:rFonts w:ascii="Arial" w:hAnsi="Arial" w:cs="Arial"/>
        </w:rPr>
      </w:pPr>
      <w:r w:rsidRPr="005F3156">
        <w:rPr>
          <w:rFonts w:ascii="Arial" w:hAnsi="Arial" w:cs="Arial"/>
        </w:rPr>
        <w:t xml:space="preserve">Section 474.17 of the </w:t>
      </w:r>
      <w:r w:rsidRPr="2F434BCC">
        <w:rPr>
          <w:rFonts w:ascii="Arial" w:hAnsi="Arial" w:cs="Arial"/>
          <w:i/>
          <w:iCs/>
        </w:rPr>
        <w:t xml:space="preserve">Criminal Code Act 1995 </w:t>
      </w:r>
      <w:r w:rsidRPr="005F3156">
        <w:rPr>
          <w:rFonts w:ascii="Arial" w:hAnsi="Arial" w:cs="Arial"/>
        </w:rPr>
        <w:t>(</w:t>
      </w:r>
      <w:proofErr w:type="spellStart"/>
      <w:r w:rsidRPr="005F3156">
        <w:rPr>
          <w:rFonts w:ascii="Arial" w:hAnsi="Arial" w:cs="Arial"/>
        </w:rPr>
        <w:t>Cth</w:t>
      </w:r>
      <w:proofErr w:type="spellEnd"/>
      <w:r w:rsidRPr="005F3156">
        <w:rPr>
          <w:rFonts w:ascii="Arial" w:hAnsi="Arial" w:cs="Arial"/>
        </w:rPr>
        <w:t>) has seen multiple perpetrators convicted of using the internet to</w:t>
      </w:r>
      <w:r w:rsidR="00355F8D" w:rsidRPr="00D05503">
        <w:rPr>
          <w:rFonts w:ascii="Arial" w:hAnsi="Arial" w:cs="Arial"/>
        </w:rPr>
        <w:t xml:space="preserve"> </w:t>
      </w:r>
      <w:r w:rsidRPr="005F3156">
        <w:rPr>
          <w:rFonts w:ascii="Arial" w:hAnsi="Arial" w:cs="Arial"/>
        </w:rPr>
        <w:t>harass individuals.</w:t>
      </w:r>
      <w:r w:rsidR="00D2391A" w:rsidRPr="00D05503">
        <w:rPr>
          <w:rStyle w:val="FootnoteReference"/>
          <w:rFonts w:ascii="Arial" w:hAnsi="Arial" w:cs="Arial"/>
        </w:rPr>
        <w:footnoteReference w:id="1"/>
      </w:r>
    </w:p>
    <w:p w14:paraId="56587F2A" w14:textId="77777777" w:rsidR="005F3156" w:rsidRPr="005F3156" w:rsidRDefault="005F3156" w:rsidP="005F3156">
      <w:pPr>
        <w:rPr>
          <w:rFonts w:ascii="Arial" w:hAnsi="Arial" w:cs="Arial"/>
          <w:i/>
          <w:iCs/>
        </w:rPr>
      </w:pPr>
      <w:r w:rsidRPr="005F3156">
        <w:rPr>
          <w:rFonts w:ascii="Arial" w:hAnsi="Arial" w:cs="Arial"/>
          <w:i/>
          <w:iCs/>
        </w:rPr>
        <w:t>5.1.2.2 Regulation for social media platforms</w:t>
      </w:r>
    </w:p>
    <w:p w14:paraId="297FC73D" w14:textId="18D6B0D0" w:rsidR="005F3156" w:rsidRPr="005F3156" w:rsidRDefault="005F3156" w:rsidP="005F3156">
      <w:pPr>
        <w:rPr>
          <w:rFonts w:ascii="Arial" w:hAnsi="Arial" w:cs="Arial"/>
        </w:rPr>
      </w:pPr>
      <w:r w:rsidRPr="2F434BCC">
        <w:rPr>
          <w:rFonts w:ascii="Arial" w:hAnsi="Arial" w:cs="Arial"/>
          <w:i/>
          <w:iCs/>
        </w:rPr>
        <w:t xml:space="preserve">The Online Safety Act 2021 </w:t>
      </w:r>
      <w:r w:rsidRPr="2F434BCC">
        <w:rPr>
          <w:rFonts w:ascii="Arial" w:hAnsi="Arial" w:cs="Arial"/>
        </w:rPr>
        <w:t>(</w:t>
      </w:r>
      <w:proofErr w:type="spellStart"/>
      <w:r w:rsidRPr="2F434BCC">
        <w:rPr>
          <w:rFonts w:ascii="Arial" w:hAnsi="Arial" w:cs="Arial"/>
        </w:rPr>
        <w:t>Cth</w:t>
      </w:r>
      <w:proofErr w:type="spellEnd"/>
      <w:r w:rsidRPr="2F434BCC">
        <w:rPr>
          <w:rFonts w:ascii="Arial" w:hAnsi="Arial" w:cs="Arial"/>
        </w:rPr>
        <w:t>) has introduced basic online safety expectations (</w:t>
      </w:r>
      <w:r w:rsidRPr="2F434BCC">
        <w:rPr>
          <w:rFonts w:ascii="Arial" w:hAnsi="Arial" w:cs="Arial"/>
          <w:b/>
          <w:bCs/>
        </w:rPr>
        <w:t>‘BOSE’</w:t>
      </w:r>
      <w:r w:rsidRPr="2F434BCC">
        <w:rPr>
          <w:rFonts w:ascii="Arial" w:hAnsi="Arial" w:cs="Arial"/>
        </w:rPr>
        <w:t>) for online service</w:t>
      </w:r>
      <w:r w:rsidR="00D2391A" w:rsidRPr="2F434BCC">
        <w:rPr>
          <w:rFonts w:ascii="Arial" w:hAnsi="Arial" w:cs="Arial"/>
        </w:rPr>
        <w:t xml:space="preserve"> </w:t>
      </w:r>
      <w:r w:rsidRPr="2F434BCC">
        <w:rPr>
          <w:rFonts w:ascii="Arial" w:hAnsi="Arial" w:cs="Arial"/>
        </w:rPr>
        <w:t>providers requiring them to take reasonable steps to minimise the risk of harm. These include</w:t>
      </w:r>
      <w:r w:rsidR="3AEDBDD4" w:rsidRPr="2F434BCC">
        <w:rPr>
          <w:rFonts w:ascii="Arial" w:hAnsi="Arial" w:cs="Arial"/>
        </w:rPr>
        <w:t>:</w:t>
      </w:r>
    </w:p>
    <w:p w14:paraId="260B49C0" w14:textId="77777777" w:rsidR="005F3156" w:rsidRPr="005F3156" w:rsidRDefault="005F3156" w:rsidP="00D2391A">
      <w:pPr>
        <w:ind w:left="720"/>
        <w:rPr>
          <w:rFonts w:ascii="Arial" w:hAnsi="Arial" w:cs="Arial"/>
        </w:rPr>
      </w:pPr>
      <w:r w:rsidRPr="005F3156">
        <w:rPr>
          <w:rFonts w:ascii="Arial" w:hAnsi="Arial" w:cs="Arial"/>
        </w:rPr>
        <w:t xml:space="preserve">• Technological precautions are in place to ensure access to age-appropriate </w:t>
      </w:r>
      <w:proofErr w:type="gramStart"/>
      <w:r w:rsidRPr="005F3156">
        <w:rPr>
          <w:rFonts w:ascii="Arial" w:hAnsi="Arial" w:cs="Arial"/>
        </w:rPr>
        <w:t>material;</w:t>
      </w:r>
      <w:proofErr w:type="gramEnd"/>
    </w:p>
    <w:p w14:paraId="4F5600C8" w14:textId="54A0F94A" w:rsidR="005F3156" w:rsidRPr="005F3156" w:rsidRDefault="005F3156" w:rsidP="00D2391A">
      <w:pPr>
        <w:ind w:left="720"/>
        <w:rPr>
          <w:rFonts w:ascii="Arial" w:hAnsi="Arial" w:cs="Arial"/>
        </w:rPr>
      </w:pPr>
      <w:r w:rsidRPr="005F3156">
        <w:rPr>
          <w:rFonts w:ascii="Arial" w:hAnsi="Arial" w:cs="Arial"/>
        </w:rPr>
        <w:t>• Ensuring that there is a sufficient reports and complaints process for material that breaches the OSP’s terms and</w:t>
      </w:r>
      <w:r w:rsidR="00D2391A" w:rsidRPr="00D05503">
        <w:rPr>
          <w:rFonts w:ascii="Arial" w:hAnsi="Arial" w:cs="Arial"/>
        </w:rPr>
        <w:t xml:space="preserve"> </w:t>
      </w:r>
      <w:r w:rsidRPr="005F3156">
        <w:rPr>
          <w:rFonts w:ascii="Arial" w:hAnsi="Arial" w:cs="Arial"/>
        </w:rPr>
        <w:t>conditions as well as the act; and</w:t>
      </w:r>
    </w:p>
    <w:p w14:paraId="3168CAA1" w14:textId="3EE86676" w:rsidR="005F3156" w:rsidRPr="005F3156" w:rsidRDefault="005F3156" w:rsidP="2F434BCC">
      <w:pPr>
        <w:ind w:left="720"/>
        <w:rPr>
          <w:rStyle w:val="FootnoteReference"/>
          <w:rFonts w:ascii="Arial" w:hAnsi="Arial" w:cs="Arial"/>
        </w:rPr>
      </w:pPr>
      <w:r w:rsidRPr="005F3156">
        <w:rPr>
          <w:rFonts w:ascii="Arial" w:hAnsi="Arial" w:cs="Arial"/>
        </w:rPr>
        <w:lastRenderedPageBreak/>
        <w:t xml:space="preserve">• Complaints and removal notices issued by the </w:t>
      </w:r>
      <w:proofErr w:type="spellStart"/>
      <w:r w:rsidRPr="005F3156">
        <w:rPr>
          <w:rFonts w:ascii="Arial" w:hAnsi="Arial" w:cs="Arial"/>
        </w:rPr>
        <w:t>eSafety</w:t>
      </w:r>
      <w:proofErr w:type="spellEnd"/>
      <w:r w:rsidRPr="005F3156">
        <w:rPr>
          <w:rFonts w:ascii="Arial" w:hAnsi="Arial" w:cs="Arial"/>
        </w:rPr>
        <w:t xml:space="preserve"> Commissioner are removed within 30 days</w:t>
      </w:r>
      <w:r w:rsidR="77BFCFBA" w:rsidRPr="005F3156">
        <w:rPr>
          <w:rFonts w:ascii="Arial" w:hAnsi="Arial" w:cs="Arial"/>
        </w:rPr>
        <w:t xml:space="preserve"> (s 46, Online Safety Act 2021 (</w:t>
      </w:r>
      <w:proofErr w:type="spellStart"/>
      <w:r w:rsidR="77BFCFBA" w:rsidRPr="005F3156">
        <w:rPr>
          <w:rFonts w:ascii="Arial" w:hAnsi="Arial" w:cs="Arial"/>
        </w:rPr>
        <w:t>Cth</w:t>
      </w:r>
      <w:proofErr w:type="spellEnd"/>
      <w:r w:rsidR="77BFCFBA" w:rsidRPr="005F3156">
        <w:rPr>
          <w:rFonts w:ascii="Arial" w:hAnsi="Arial" w:cs="Arial"/>
        </w:rPr>
        <w:t>))</w:t>
      </w:r>
      <w:r w:rsidRPr="005F3156">
        <w:rPr>
          <w:rFonts w:ascii="Arial" w:hAnsi="Arial" w:cs="Arial"/>
        </w:rPr>
        <w:t>.</w:t>
      </w:r>
    </w:p>
    <w:p w14:paraId="0D90B5E7" w14:textId="2AD87097" w:rsidR="005F3156" w:rsidRPr="005F3156" w:rsidRDefault="005F3156" w:rsidP="005F3156">
      <w:pPr>
        <w:rPr>
          <w:rFonts w:ascii="Arial" w:hAnsi="Arial" w:cs="Arial"/>
        </w:rPr>
      </w:pPr>
      <w:r w:rsidRPr="005F3156">
        <w:rPr>
          <w:rFonts w:ascii="Arial" w:hAnsi="Arial" w:cs="Arial"/>
        </w:rPr>
        <w:t>In 2021, the High Court found that the moderators of public social media pages may be found liable for defamatory</w:t>
      </w:r>
      <w:r w:rsidR="00D2391A" w:rsidRPr="00D05503">
        <w:rPr>
          <w:rFonts w:ascii="Arial" w:hAnsi="Arial" w:cs="Arial"/>
        </w:rPr>
        <w:t xml:space="preserve"> </w:t>
      </w:r>
      <w:r w:rsidRPr="005F3156">
        <w:rPr>
          <w:rFonts w:ascii="Arial" w:hAnsi="Arial" w:cs="Arial"/>
        </w:rPr>
        <w:t>content that is published by users.</w:t>
      </w:r>
      <w:r w:rsidR="00D2391A" w:rsidRPr="00D05503">
        <w:rPr>
          <w:rStyle w:val="FootnoteReference"/>
          <w:rFonts w:ascii="Arial" w:hAnsi="Arial" w:cs="Arial"/>
        </w:rPr>
        <w:footnoteReference w:id="2"/>
      </w:r>
      <w:r w:rsidRPr="005F3156">
        <w:rPr>
          <w:rFonts w:ascii="Arial" w:hAnsi="Arial" w:cs="Arial"/>
        </w:rPr>
        <w:t xml:space="preserve"> Additionally, if this is reported to the </w:t>
      </w:r>
      <w:proofErr w:type="spellStart"/>
      <w:r w:rsidRPr="005F3156">
        <w:rPr>
          <w:rFonts w:ascii="Arial" w:hAnsi="Arial" w:cs="Arial"/>
        </w:rPr>
        <w:t>eSafety</w:t>
      </w:r>
      <w:proofErr w:type="spellEnd"/>
      <w:r w:rsidRPr="005F3156">
        <w:rPr>
          <w:rFonts w:ascii="Arial" w:hAnsi="Arial" w:cs="Arial"/>
        </w:rPr>
        <w:t xml:space="preserve"> commissioner, the commissioner can</w:t>
      </w:r>
      <w:r w:rsidR="00D2391A" w:rsidRPr="00D05503">
        <w:rPr>
          <w:rFonts w:ascii="Arial" w:hAnsi="Arial" w:cs="Arial"/>
        </w:rPr>
        <w:t xml:space="preserve"> </w:t>
      </w:r>
      <w:r w:rsidRPr="005F3156">
        <w:rPr>
          <w:rFonts w:ascii="Arial" w:hAnsi="Arial" w:cs="Arial"/>
        </w:rPr>
        <w:t>issue a breach notice where a social media platform has 24 hours to remove the content, or they may be penalised up</w:t>
      </w:r>
      <w:r w:rsidR="00D2391A" w:rsidRPr="00D05503">
        <w:rPr>
          <w:rFonts w:ascii="Arial" w:hAnsi="Arial" w:cs="Arial"/>
        </w:rPr>
        <w:t xml:space="preserve"> </w:t>
      </w:r>
      <w:r w:rsidRPr="005F3156">
        <w:rPr>
          <w:rFonts w:ascii="Arial" w:hAnsi="Arial" w:cs="Arial"/>
        </w:rPr>
        <w:t>to $550,000</w:t>
      </w:r>
      <w:r w:rsidR="41F96CBF" w:rsidRPr="005F3156">
        <w:rPr>
          <w:rFonts w:ascii="Arial" w:hAnsi="Arial" w:cs="Arial"/>
        </w:rPr>
        <w:t xml:space="preserve"> (s 77, Online Safety Act 2021 (</w:t>
      </w:r>
      <w:proofErr w:type="spellStart"/>
      <w:r w:rsidR="41F96CBF" w:rsidRPr="005F3156">
        <w:rPr>
          <w:rFonts w:ascii="Arial" w:hAnsi="Arial" w:cs="Arial"/>
        </w:rPr>
        <w:t>Cth</w:t>
      </w:r>
      <w:proofErr w:type="spellEnd"/>
      <w:r w:rsidR="41F96CBF" w:rsidRPr="005F3156">
        <w:rPr>
          <w:rFonts w:ascii="Arial" w:hAnsi="Arial" w:cs="Arial"/>
        </w:rPr>
        <w:t>)).</w:t>
      </w:r>
      <w:r w:rsidR="00D2391A" w:rsidRPr="00D05503">
        <w:rPr>
          <w:rFonts w:ascii="Arial" w:hAnsi="Arial" w:cs="Arial"/>
        </w:rPr>
        <w:t xml:space="preserve"> </w:t>
      </w:r>
    </w:p>
    <w:p w14:paraId="5DE2472B" w14:textId="79DD5BC8" w:rsidR="005F3156" w:rsidRPr="005F3156" w:rsidRDefault="005F3156" w:rsidP="005F3156">
      <w:pPr>
        <w:rPr>
          <w:rFonts w:ascii="Arial" w:hAnsi="Arial" w:cs="Arial"/>
          <w:b/>
          <w:bCs/>
        </w:rPr>
      </w:pPr>
      <w:r w:rsidRPr="2F434BCC">
        <w:rPr>
          <w:rFonts w:ascii="Arial" w:hAnsi="Arial" w:cs="Arial"/>
          <w:b/>
          <w:bCs/>
        </w:rPr>
        <w:t xml:space="preserve">5.1.3 Social </w:t>
      </w:r>
      <w:r w:rsidR="558F05F1" w:rsidRPr="2F434BCC">
        <w:rPr>
          <w:rFonts w:ascii="Arial" w:hAnsi="Arial" w:cs="Arial"/>
          <w:b/>
          <w:bCs/>
        </w:rPr>
        <w:t>c</w:t>
      </w:r>
      <w:r w:rsidRPr="2F434BCC">
        <w:rPr>
          <w:rFonts w:ascii="Arial" w:hAnsi="Arial" w:cs="Arial"/>
          <w:b/>
          <w:bCs/>
        </w:rPr>
        <w:t>ontext</w:t>
      </w:r>
    </w:p>
    <w:p w14:paraId="4CD12B97" w14:textId="2A28DFD4" w:rsidR="005F3156" w:rsidRPr="005F3156" w:rsidRDefault="005F3156" w:rsidP="2F434BCC">
      <w:pPr>
        <w:rPr>
          <w:rFonts w:ascii="Arial" w:hAnsi="Arial" w:cs="Arial"/>
          <w:i/>
          <w:iCs/>
        </w:rPr>
      </w:pPr>
      <w:r w:rsidRPr="2F434BCC">
        <w:rPr>
          <w:rFonts w:ascii="Arial" w:hAnsi="Arial" w:cs="Arial"/>
          <w:i/>
          <w:iCs/>
        </w:rPr>
        <w:t xml:space="preserve">5.1.3.1 Key </w:t>
      </w:r>
      <w:r w:rsidR="5628A32F" w:rsidRPr="2F434BCC">
        <w:rPr>
          <w:rFonts w:ascii="Arial" w:hAnsi="Arial" w:cs="Arial"/>
          <w:i/>
          <w:iCs/>
        </w:rPr>
        <w:t>s</w:t>
      </w:r>
      <w:r w:rsidRPr="2F434BCC">
        <w:rPr>
          <w:rFonts w:ascii="Arial" w:hAnsi="Arial" w:cs="Arial"/>
          <w:i/>
          <w:iCs/>
        </w:rPr>
        <w:t>tatistics</w:t>
      </w:r>
    </w:p>
    <w:p w14:paraId="5D213515" w14:textId="76AC90D0" w:rsidR="005F3156" w:rsidRPr="005F3156" w:rsidRDefault="005F3156" w:rsidP="005F3156">
      <w:pPr>
        <w:rPr>
          <w:rFonts w:ascii="Arial" w:hAnsi="Arial" w:cs="Arial"/>
        </w:rPr>
      </w:pPr>
      <w:r w:rsidRPr="2F434BCC">
        <w:rPr>
          <w:rFonts w:ascii="Arial" w:hAnsi="Arial" w:cs="Arial"/>
        </w:rPr>
        <w:t xml:space="preserve">The prevalence of image-based abuse was highlighted in a study conducted by the </w:t>
      </w:r>
      <w:proofErr w:type="spellStart"/>
      <w:r w:rsidRPr="2F434BCC">
        <w:rPr>
          <w:rFonts w:ascii="Arial" w:hAnsi="Arial" w:cs="Arial"/>
        </w:rPr>
        <w:t>eSafety</w:t>
      </w:r>
      <w:proofErr w:type="spellEnd"/>
      <w:r w:rsidRPr="2F434BCC">
        <w:rPr>
          <w:rFonts w:ascii="Arial" w:hAnsi="Arial" w:cs="Arial"/>
        </w:rPr>
        <w:t xml:space="preserve"> commissioner in 2017 that</w:t>
      </w:r>
      <w:r w:rsidR="00D2391A" w:rsidRPr="2F434BCC">
        <w:rPr>
          <w:rFonts w:ascii="Arial" w:hAnsi="Arial" w:cs="Arial"/>
        </w:rPr>
        <w:t xml:space="preserve"> </w:t>
      </w:r>
      <w:r w:rsidRPr="2F434BCC">
        <w:rPr>
          <w:rFonts w:ascii="Arial" w:hAnsi="Arial" w:cs="Arial"/>
        </w:rPr>
        <w:t>found that 1 in 10 individuals experienced image-based abuse</w:t>
      </w:r>
      <w:r w:rsidR="57275889" w:rsidRPr="2F434BCC">
        <w:rPr>
          <w:rFonts w:ascii="Arial" w:hAnsi="Arial" w:cs="Arial"/>
        </w:rPr>
        <w:t>,</w:t>
      </w:r>
      <w:r w:rsidRPr="2F434BCC">
        <w:rPr>
          <w:rFonts w:ascii="Arial" w:hAnsi="Arial" w:cs="Arial"/>
        </w:rPr>
        <w:t xml:space="preserve"> with females aged between 15 to 17 years being most</w:t>
      </w:r>
      <w:r w:rsidR="00D2391A" w:rsidRPr="2F434BCC">
        <w:rPr>
          <w:rFonts w:ascii="Arial" w:hAnsi="Arial" w:cs="Arial"/>
        </w:rPr>
        <w:t xml:space="preserve"> </w:t>
      </w:r>
      <w:r w:rsidRPr="2F434BCC">
        <w:rPr>
          <w:rFonts w:ascii="Arial" w:hAnsi="Arial" w:cs="Arial"/>
        </w:rPr>
        <w:t>at risk. The report also found the following:</w:t>
      </w:r>
    </w:p>
    <w:p w14:paraId="5DFE5D17" w14:textId="77777777" w:rsidR="005F3156" w:rsidRPr="005F3156" w:rsidRDefault="005F3156" w:rsidP="00D2391A">
      <w:pPr>
        <w:ind w:firstLine="720"/>
        <w:rPr>
          <w:rFonts w:ascii="Arial" w:hAnsi="Arial" w:cs="Arial"/>
        </w:rPr>
      </w:pPr>
      <w:r w:rsidRPr="005F3156">
        <w:rPr>
          <w:rFonts w:ascii="Arial" w:hAnsi="Arial" w:cs="Arial"/>
        </w:rPr>
        <w:t xml:space="preserve">• 6 in 10 victims knew the </w:t>
      </w:r>
      <w:proofErr w:type="gramStart"/>
      <w:r w:rsidRPr="005F3156">
        <w:rPr>
          <w:rFonts w:ascii="Arial" w:hAnsi="Arial" w:cs="Arial"/>
        </w:rPr>
        <w:t>perpetrator;</w:t>
      </w:r>
      <w:proofErr w:type="gramEnd"/>
    </w:p>
    <w:p w14:paraId="56A7C553" w14:textId="6AAFD08F" w:rsidR="005F3156" w:rsidRPr="005F3156" w:rsidRDefault="005F3156" w:rsidP="00D2391A">
      <w:pPr>
        <w:ind w:left="720"/>
        <w:rPr>
          <w:rFonts w:ascii="Arial" w:hAnsi="Arial" w:cs="Arial"/>
        </w:rPr>
      </w:pPr>
      <w:r w:rsidRPr="005F3156">
        <w:rPr>
          <w:rFonts w:ascii="Arial" w:hAnsi="Arial" w:cs="Arial"/>
        </w:rPr>
        <w:t>• The perpetrator was a friend that they knew offline (29%), an ex-partner (13%), a current partner (12%) or a</w:t>
      </w:r>
      <w:r w:rsidR="00D2391A" w:rsidRPr="00D05503">
        <w:rPr>
          <w:rFonts w:ascii="Arial" w:hAnsi="Arial" w:cs="Arial"/>
        </w:rPr>
        <w:t xml:space="preserve"> </w:t>
      </w:r>
      <w:r w:rsidRPr="005F3156">
        <w:rPr>
          <w:rFonts w:ascii="Arial" w:hAnsi="Arial" w:cs="Arial"/>
        </w:rPr>
        <w:t>family member (10%); and</w:t>
      </w:r>
    </w:p>
    <w:p w14:paraId="7D49EB66" w14:textId="6F644F85" w:rsidR="005F3156" w:rsidRPr="005F3156" w:rsidRDefault="005F3156" w:rsidP="00D2391A">
      <w:pPr>
        <w:ind w:firstLine="720"/>
        <w:rPr>
          <w:rFonts w:ascii="Arial" w:hAnsi="Arial" w:cs="Arial"/>
        </w:rPr>
      </w:pPr>
      <w:r w:rsidRPr="005F3156">
        <w:rPr>
          <w:rFonts w:ascii="Arial" w:hAnsi="Arial" w:cs="Arial"/>
        </w:rPr>
        <w:t>• Image-based abuse is more likely to occur on Facebook (53%).</w:t>
      </w:r>
      <w:r w:rsidR="00D2391A" w:rsidRPr="00D05503">
        <w:rPr>
          <w:rStyle w:val="FootnoteReference"/>
          <w:rFonts w:ascii="Arial" w:hAnsi="Arial" w:cs="Arial"/>
        </w:rPr>
        <w:footnoteReference w:id="3"/>
      </w:r>
    </w:p>
    <w:p w14:paraId="17D8AEA1" w14:textId="77777777" w:rsidR="005F3156" w:rsidRPr="005F3156" w:rsidRDefault="005F3156" w:rsidP="005F3156">
      <w:pPr>
        <w:rPr>
          <w:rFonts w:ascii="Arial" w:hAnsi="Arial" w:cs="Arial"/>
          <w:i/>
          <w:iCs/>
        </w:rPr>
      </w:pPr>
      <w:r w:rsidRPr="005F3156">
        <w:rPr>
          <w:rFonts w:ascii="Arial" w:hAnsi="Arial" w:cs="Arial"/>
          <w:i/>
          <w:iCs/>
        </w:rPr>
        <w:t>5.1.3.2 Factors affecting image-based abuse</w:t>
      </w:r>
    </w:p>
    <w:p w14:paraId="6F98B646" w14:textId="4C4C1D28" w:rsidR="005F3156" w:rsidRPr="005F3156" w:rsidRDefault="005F3156" w:rsidP="005F3156">
      <w:pPr>
        <w:rPr>
          <w:rFonts w:ascii="Arial" w:hAnsi="Arial" w:cs="Arial"/>
        </w:rPr>
      </w:pPr>
      <w:r w:rsidRPr="005F3156">
        <w:rPr>
          <w:rFonts w:ascii="Arial" w:hAnsi="Arial" w:cs="Arial"/>
        </w:rPr>
        <w:t xml:space="preserve">The </w:t>
      </w:r>
      <w:proofErr w:type="spellStart"/>
      <w:r w:rsidRPr="005F3156">
        <w:rPr>
          <w:rFonts w:ascii="Arial" w:hAnsi="Arial" w:cs="Arial"/>
        </w:rPr>
        <w:t>eSafety</w:t>
      </w:r>
      <w:proofErr w:type="spellEnd"/>
      <w:r w:rsidRPr="005F3156">
        <w:rPr>
          <w:rFonts w:ascii="Arial" w:hAnsi="Arial" w:cs="Arial"/>
        </w:rPr>
        <w:t xml:space="preserve"> commissioner is empowered to investigate and make decisions regarding image-based abuse but this</w:t>
      </w:r>
      <w:r w:rsidR="00D2391A" w:rsidRPr="00D05503">
        <w:rPr>
          <w:rFonts w:ascii="Arial" w:hAnsi="Arial" w:cs="Arial"/>
        </w:rPr>
        <w:t xml:space="preserve"> </w:t>
      </w:r>
      <w:r w:rsidRPr="005F3156">
        <w:rPr>
          <w:rFonts w:ascii="Arial" w:hAnsi="Arial" w:cs="Arial"/>
        </w:rPr>
        <w:t>requires victims to report it. Studies have estimated that only 35% of cases of image-based abuse are reported.</w:t>
      </w:r>
      <w:r w:rsidR="00D2391A" w:rsidRPr="00D05503">
        <w:rPr>
          <w:rStyle w:val="FootnoteReference"/>
          <w:rFonts w:ascii="Arial" w:hAnsi="Arial" w:cs="Arial"/>
        </w:rPr>
        <w:footnoteReference w:id="4"/>
      </w:r>
      <w:r w:rsidR="00D2391A" w:rsidRPr="00D05503">
        <w:rPr>
          <w:rFonts w:ascii="Arial" w:hAnsi="Arial" w:cs="Arial"/>
        </w:rPr>
        <w:t xml:space="preserve"> </w:t>
      </w:r>
      <w:r w:rsidRPr="005F3156">
        <w:rPr>
          <w:rFonts w:ascii="Arial" w:hAnsi="Arial" w:cs="Arial"/>
        </w:rPr>
        <w:t>The</w:t>
      </w:r>
      <w:r w:rsidR="00D2391A" w:rsidRPr="00D05503">
        <w:rPr>
          <w:rFonts w:ascii="Arial" w:hAnsi="Arial" w:cs="Arial"/>
        </w:rPr>
        <w:t xml:space="preserve"> </w:t>
      </w:r>
      <w:r w:rsidRPr="005F3156">
        <w:rPr>
          <w:rFonts w:ascii="Arial" w:hAnsi="Arial" w:cs="Arial"/>
        </w:rPr>
        <w:t xml:space="preserve">factors influencing a victim not reporting can </w:t>
      </w:r>
      <w:proofErr w:type="gramStart"/>
      <w:r w:rsidRPr="005F3156">
        <w:rPr>
          <w:rFonts w:ascii="Arial" w:hAnsi="Arial" w:cs="Arial"/>
        </w:rPr>
        <w:t>include;</w:t>
      </w:r>
      <w:proofErr w:type="gramEnd"/>
    </w:p>
    <w:p w14:paraId="50957CC3" w14:textId="77777777" w:rsidR="005F3156" w:rsidRPr="005F3156" w:rsidRDefault="005F3156" w:rsidP="00D2391A">
      <w:pPr>
        <w:ind w:firstLine="720"/>
        <w:rPr>
          <w:rFonts w:ascii="Arial" w:hAnsi="Arial" w:cs="Arial"/>
        </w:rPr>
      </w:pPr>
      <w:r w:rsidRPr="005F3156">
        <w:rPr>
          <w:rFonts w:ascii="Arial" w:hAnsi="Arial" w:cs="Arial"/>
        </w:rPr>
        <w:t xml:space="preserve">• Negative </w:t>
      </w:r>
      <w:proofErr w:type="gramStart"/>
      <w:r w:rsidRPr="005F3156">
        <w:rPr>
          <w:rFonts w:ascii="Arial" w:hAnsi="Arial" w:cs="Arial"/>
        </w:rPr>
        <w:t>stigma;</w:t>
      </w:r>
      <w:proofErr w:type="gramEnd"/>
    </w:p>
    <w:p w14:paraId="11E01CE2" w14:textId="77777777" w:rsidR="005F3156" w:rsidRPr="005F3156" w:rsidRDefault="005F3156" w:rsidP="00D2391A">
      <w:pPr>
        <w:ind w:left="720"/>
        <w:rPr>
          <w:rFonts w:ascii="Arial" w:hAnsi="Arial" w:cs="Arial"/>
        </w:rPr>
      </w:pPr>
      <w:r w:rsidRPr="005F3156">
        <w:rPr>
          <w:rFonts w:ascii="Arial" w:hAnsi="Arial" w:cs="Arial"/>
        </w:rPr>
        <w:t xml:space="preserve">• Psychological barriers including victim blaming, humiliation and </w:t>
      </w:r>
      <w:proofErr w:type="gramStart"/>
      <w:r w:rsidRPr="005F3156">
        <w:rPr>
          <w:rFonts w:ascii="Arial" w:hAnsi="Arial" w:cs="Arial"/>
        </w:rPr>
        <w:t>embarrassment;</w:t>
      </w:r>
      <w:proofErr w:type="gramEnd"/>
    </w:p>
    <w:p w14:paraId="5DC0CDFC" w14:textId="77777777" w:rsidR="005F3156" w:rsidRPr="005F3156" w:rsidRDefault="005F3156" w:rsidP="00D2391A">
      <w:pPr>
        <w:ind w:firstLine="720"/>
        <w:rPr>
          <w:rFonts w:ascii="Arial" w:hAnsi="Arial" w:cs="Arial"/>
        </w:rPr>
      </w:pPr>
      <w:r w:rsidRPr="005F3156">
        <w:rPr>
          <w:rFonts w:ascii="Arial" w:hAnsi="Arial" w:cs="Arial"/>
        </w:rPr>
        <w:t xml:space="preserve">• An unawareness of the severity of the </w:t>
      </w:r>
      <w:proofErr w:type="gramStart"/>
      <w:r w:rsidRPr="005F3156">
        <w:rPr>
          <w:rFonts w:ascii="Arial" w:hAnsi="Arial" w:cs="Arial"/>
        </w:rPr>
        <w:t>incident;</w:t>
      </w:r>
      <w:proofErr w:type="gramEnd"/>
    </w:p>
    <w:p w14:paraId="48AB2C1D" w14:textId="77777777" w:rsidR="005F3156" w:rsidRPr="005F3156" w:rsidRDefault="005F3156" w:rsidP="00D2391A">
      <w:pPr>
        <w:ind w:left="720"/>
        <w:rPr>
          <w:rFonts w:ascii="Arial" w:hAnsi="Arial" w:cs="Arial"/>
        </w:rPr>
      </w:pPr>
      <w:r w:rsidRPr="005F3156">
        <w:rPr>
          <w:rFonts w:ascii="Arial" w:hAnsi="Arial" w:cs="Arial"/>
        </w:rPr>
        <w:t xml:space="preserve">• A fear of exacerbating or making it worse including attention to image-based </w:t>
      </w:r>
      <w:proofErr w:type="gramStart"/>
      <w:r w:rsidRPr="005F3156">
        <w:rPr>
          <w:rFonts w:ascii="Arial" w:hAnsi="Arial" w:cs="Arial"/>
        </w:rPr>
        <w:t>abuse;</w:t>
      </w:r>
      <w:proofErr w:type="gramEnd"/>
    </w:p>
    <w:p w14:paraId="69C84021" w14:textId="77777777" w:rsidR="005F3156" w:rsidRPr="005F3156" w:rsidRDefault="005F3156" w:rsidP="00D2391A">
      <w:pPr>
        <w:ind w:firstLine="720"/>
        <w:rPr>
          <w:rFonts w:ascii="Arial" w:hAnsi="Arial" w:cs="Arial"/>
        </w:rPr>
      </w:pPr>
      <w:r w:rsidRPr="005F3156">
        <w:rPr>
          <w:rFonts w:ascii="Arial" w:hAnsi="Arial" w:cs="Arial"/>
        </w:rPr>
        <w:t>• Lack of confidence in law enforcement; and</w:t>
      </w:r>
    </w:p>
    <w:p w14:paraId="42512BE6" w14:textId="77777777" w:rsidR="005F3156" w:rsidRPr="005F3156" w:rsidRDefault="005F3156" w:rsidP="00D2391A">
      <w:pPr>
        <w:ind w:firstLine="720"/>
        <w:rPr>
          <w:rFonts w:ascii="Arial" w:hAnsi="Arial" w:cs="Arial"/>
        </w:rPr>
      </w:pPr>
      <w:r w:rsidRPr="005F3156">
        <w:rPr>
          <w:rFonts w:ascii="Arial" w:hAnsi="Arial" w:cs="Arial"/>
        </w:rPr>
        <w:lastRenderedPageBreak/>
        <w:t>• Unaware of the support services available.</w:t>
      </w:r>
    </w:p>
    <w:p w14:paraId="3023743A" w14:textId="77777777" w:rsidR="005F3156" w:rsidRPr="005F3156" w:rsidRDefault="005F3156" w:rsidP="005F3156">
      <w:pPr>
        <w:rPr>
          <w:rFonts w:ascii="Arial" w:hAnsi="Arial" w:cs="Arial"/>
          <w:i/>
          <w:iCs/>
        </w:rPr>
      </w:pPr>
      <w:r w:rsidRPr="005F3156">
        <w:rPr>
          <w:rFonts w:ascii="Arial" w:hAnsi="Arial" w:cs="Arial"/>
          <w:i/>
          <w:iCs/>
        </w:rPr>
        <w:t>5.1.3.3 Social prevention and response from key stakeholders</w:t>
      </w:r>
    </w:p>
    <w:p w14:paraId="0902463A" w14:textId="27D6E142" w:rsidR="005F3156" w:rsidRPr="005F3156" w:rsidRDefault="005F3156" w:rsidP="005F3156">
      <w:pPr>
        <w:rPr>
          <w:rFonts w:ascii="Arial" w:hAnsi="Arial" w:cs="Arial"/>
        </w:rPr>
      </w:pPr>
      <w:r w:rsidRPr="005F3156">
        <w:rPr>
          <w:rFonts w:ascii="Arial" w:hAnsi="Arial" w:cs="Arial"/>
        </w:rPr>
        <w:t>Considering the social context of image-based abuse, there have been several actions taken by the Australian</w:t>
      </w:r>
      <w:r w:rsidR="00D2391A" w:rsidRPr="00D05503">
        <w:rPr>
          <w:rFonts w:ascii="Arial" w:hAnsi="Arial" w:cs="Arial"/>
        </w:rPr>
        <w:t xml:space="preserve"> </w:t>
      </w:r>
      <w:r w:rsidRPr="005F3156">
        <w:rPr>
          <w:rFonts w:ascii="Arial" w:hAnsi="Arial" w:cs="Arial"/>
        </w:rPr>
        <w:t>Government and other bodies to raise awareness and better educate individuals to make more appropriate choices</w:t>
      </w:r>
      <w:r w:rsidR="00D2391A" w:rsidRPr="00D05503">
        <w:rPr>
          <w:rFonts w:ascii="Arial" w:hAnsi="Arial" w:cs="Arial"/>
        </w:rPr>
        <w:t xml:space="preserve"> </w:t>
      </w:r>
      <w:r w:rsidRPr="005F3156">
        <w:rPr>
          <w:rFonts w:ascii="Arial" w:hAnsi="Arial" w:cs="Arial"/>
        </w:rPr>
        <w:t xml:space="preserve">online. These are summarised </w:t>
      </w:r>
      <w:proofErr w:type="gramStart"/>
      <w:r w:rsidRPr="005F3156">
        <w:rPr>
          <w:rFonts w:ascii="Arial" w:hAnsi="Arial" w:cs="Arial"/>
        </w:rPr>
        <w:t>below;</w:t>
      </w:r>
      <w:proofErr w:type="gramEnd"/>
    </w:p>
    <w:p w14:paraId="37DCEC1D" w14:textId="075F5CDA" w:rsidR="00124FBE" w:rsidRPr="00D05503" w:rsidRDefault="005F3156" w:rsidP="00124FB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05503">
        <w:rPr>
          <w:rFonts w:ascii="Arial" w:hAnsi="Arial" w:cs="Arial"/>
        </w:rPr>
        <w:t xml:space="preserve">The Office of the </w:t>
      </w:r>
      <w:proofErr w:type="spellStart"/>
      <w:r w:rsidRPr="00D05503">
        <w:rPr>
          <w:rFonts w:ascii="Arial" w:hAnsi="Arial" w:cs="Arial"/>
        </w:rPr>
        <w:t>eSafety</w:t>
      </w:r>
      <w:proofErr w:type="spellEnd"/>
      <w:r w:rsidRPr="00D05503">
        <w:rPr>
          <w:rFonts w:ascii="Arial" w:hAnsi="Arial" w:cs="Arial"/>
        </w:rPr>
        <w:t xml:space="preserve"> Commissioner has developed a professional learning program for teachers and</w:t>
      </w:r>
      <w:r w:rsidR="00D2391A" w:rsidRPr="00D05503">
        <w:rPr>
          <w:rFonts w:ascii="Arial" w:hAnsi="Arial" w:cs="Arial"/>
        </w:rPr>
        <w:t xml:space="preserve"> </w:t>
      </w:r>
      <w:r w:rsidRPr="00D05503">
        <w:rPr>
          <w:rFonts w:ascii="Arial" w:hAnsi="Arial" w:cs="Arial"/>
        </w:rPr>
        <w:t xml:space="preserve">facilitators titled </w:t>
      </w:r>
      <w:r w:rsidRPr="2F434BCC">
        <w:rPr>
          <w:rFonts w:ascii="Arial" w:hAnsi="Arial" w:cs="Arial"/>
          <w:i/>
          <w:iCs/>
        </w:rPr>
        <w:t>‘</w:t>
      </w:r>
      <w:r w:rsidRPr="2F434BCC">
        <w:rPr>
          <w:rFonts w:ascii="Arial" w:hAnsi="Arial" w:cs="Arial"/>
        </w:rPr>
        <w:t>Online Harmful Sexual Behaviours, Misinformation and Emerging Technology</w:t>
      </w:r>
      <w:r w:rsidRPr="2F434BCC">
        <w:rPr>
          <w:rFonts w:ascii="Arial" w:hAnsi="Arial" w:cs="Arial"/>
          <w:i/>
          <w:iCs/>
        </w:rPr>
        <w:t xml:space="preserve">’. </w:t>
      </w:r>
      <w:r w:rsidRPr="00D05503">
        <w:rPr>
          <w:rFonts w:ascii="Arial" w:hAnsi="Arial" w:cs="Arial"/>
        </w:rPr>
        <w:t>Its goal is to</w:t>
      </w:r>
      <w:r w:rsidR="00D2391A" w:rsidRPr="00D05503">
        <w:rPr>
          <w:rFonts w:ascii="Arial" w:hAnsi="Arial" w:cs="Arial"/>
        </w:rPr>
        <w:t xml:space="preserve"> </w:t>
      </w:r>
      <w:r w:rsidRPr="00D05503">
        <w:rPr>
          <w:rFonts w:ascii="Arial" w:hAnsi="Arial" w:cs="Arial"/>
        </w:rPr>
        <w:t>equip individuals with the necessary skills to identify and respond to incidences of image-based abuse and the</w:t>
      </w:r>
      <w:r w:rsidR="00D2391A" w:rsidRPr="00D05503">
        <w:rPr>
          <w:rFonts w:ascii="Arial" w:hAnsi="Arial" w:cs="Arial"/>
        </w:rPr>
        <w:t xml:space="preserve"> </w:t>
      </w:r>
      <w:r w:rsidRPr="00D05503">
        <w:rPr>
          <w:rFonts w:ascii="Arial" w:hAnsi="Arial" w:cs="Arial"/>
        </w:rPr>
        <w:t>role that coercion plays.</w:t>
      </w:r>
      <w:r w:rsidR="00124FBE" w:rsidRPr="00D05503">
        <w:rPr>
          <w:rFonts w:ascii="Arial" w:hAnsi="Arial" w:cs="Arial"/>
        </w:rPr>
        <w:t xml:space="preserve"> </w:t>
      </w:r>
    </w:p>
    <w:p w14:paraId="09B3DC53" w14:textId="77777777" w:rsidR="00124FBE" w:rsidRPr="00D05503" w:rsidRDefault="00124FBE" w:rsidP="00124FBE">
      <w:pPr>
        <w:pStyle w:val="ListParagraph"/>
        <w:rPr>
          <w:rFonts w:ascii="Arial" w:hAnsi="Arial" w:cs="Arial"/>
        </w:rPr>
      </w:pPr>
    </w:p>
    <w:p w14:paraId="52D0CC5D" w14:textId="315AF69E" w:rsidR="005F3156" w:rsidRPr="00D05503" w:rsidRDefault="00124FBE" w:rsidP="00124FBE">
      <w:pPr>
        <w:pStyle w:val="ListParagraph"/>
        <w:rPr>
          <w:rFonts w:ascii="Arial" w:hAnsi="Arial" w:cs="Arial"/>
        </w:rPr>
      </w:pPr>
      <w:r w:rsidRPr="00D05503">
        <w:rPr>
          <w:rFonts w:ascii="Arial" w:hAnsi="Arial" w:cs="Arial"/>
        </w:rPr>
        <w:t>M</w:t>
      </w:r>
      <w:r w:rsidR="005F3156" w:rsidRPr="00D05503">
        <w:rPr>
          <w:rFonts w:ascii="Arial" w:hAnsi="Arial" w:cs="Arial"/>
        </w:rPr>
        <w:t>ore information about the program</w:t>
      </w:r>
      <w:r w:rsidRPr="00D05503">
        <w:rPr>
          <w:rFonts w:ascii="Arial" w:hAnsi="Arial" w:cs="Arial"/>
        </w:rPr>
        <w:t xml:space="preserve"> can be accessed</w:t>
      </w:r>
      <w:r w:rsidR="005F3156" w:rsidRPr="00D05503">
        <w:rPr>
          <w:rFonts w:ascii="Arial" w:hAnsi="Arial" w:cs="Arial"/>
        </w:rPr>
        <w:t xml:space="preserve"> </w:t>
      </w:r>
      <w:hyperlink r:id="rId11" w:history="1">
        <w:r w:rsidR="005F3156" w:rsidRPr="00D05503">
          <w:rPr>
            <w:rStyle w:val="Hyperlink"/>
            <w:rFonts w:ascii="Arial" w:hAnsi="Arial" w:cs="Arial"/>
          </w:rPr>
          <w:t>here</w:t>
        </w:r>
      </w:hyperlink>
      <w:r w:rsidR="00824358" w:rsidRPr="00D05503">
        <w:rPr>
          <w:rFonts w:ascii="Arial" w:hAnsi="Arial" w:cs="Arial"/>
        </w:rPr>
        <w:t>.</w:t>
      </w:r>
    </w:p>
    <w:p w14:paraId="3B1959C8" w14:textId="77777777" w:rsidR="00124FBE" w:rsidRPr="00D05503" w:rsidRDefault="00124FBE" w:rsidP="00124FBE">
      <w:pPr>
        <w:pStyle w:val="ListParagraph"/>
        <w:rPr>
          <w:rFonts w:ascii="Arial" w:hAnsi="Arial" w:cs="Arial"/>
        </w:rPr>
      </w:pPr>
    </w:p>
    <w:p w14:paraId="69477429" w14:textId="733574E8" w:rsidR="005F3156" w:rsidRPr="00D05503" w:rsidRDefault="005F3156" w:rsidP="00124FB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05503">
        <w:rPr>
          <w:rFonts w:ascii="Arial" w:hAnsi="Arial" w:cs="Arial"/>
        </w:rPr>
        <w:t>In 2020, the NSW Government launched a campaign to help prevent image-based abuse and educate individuals</w:t>
      </w:r>
      <w:r w:rsidR="000227D8" w:rsidRPr="00D05503">
        <w:rPr>
          <w:rFonts w:ascii="Arial" w:hAnsi="Arial" w:cs="Arial"/>
        </w:rPr>
        <w:t xml:space="preserve"> </w:t>
      </w:r>
      <w:r w:rsidRPr="00D05503">
        <w:rPr>
          <w:rFonts w:ascii="Arial" w:hAnsi="Arial" w:cs="Arial"/>
        </w:rPr>
        <w:t>on the topic including information on where to seek help. This was largely due to the number of reports between</w:t>
      </w:r>
      <w:r w:rsidR="000227D8" w:rsidRPr="00D05503">
        <w:rPr>
          <w:rFonts w:ascii="Arial" w:hAnsi="Arial" w:cs="Arial"/>
        </w:rPr>
        <w:t xml:space="preserve"> </w:t>
      </w:r>
      <w:r w:rsidRPr="00D05503">
        <w:rPr>
          <w:rFonts w:ascii="Arial" w:hAnsi="Arial" w:cs="Arial"/>
        </w:rPr>
        <w:t xml:space="preserve">2019 to 2020, namely a 172% increase. </w:t>
      </w:r>
      <w:r w:rsidR="000227D8" w:rsidRPr="00D05503">
        <w:rPr>
          <w:rStyle w:val="FootnoteReference"/>
          <w:rFonts w:ascii="Arial" w:hAnsi="Arial" w:cs="Arial"/>
        </w:rPr>
        <w:footnoteReference w:id="5"/>
      </w:r>
      <w:r w:rsidR="004D04CC" w:rsidRPr="00D05503">
        <w:rPr>
          <w:rFonts w:ascii="Arial" w:hAnsi="Arial" w:cs="Arial"/>
        </w:rPr>
        <w:t xml:space="preserve"> </w:t>
      </w:r>
      <w:r w:rsidRPr="00D05503">
        <w:rPr>
          <w:rFonts w:ascii="Arial" w:hAnsi="Arial" w:cs="Arial"/>
        </w:rPr>
        <w:t>The campaign also offered counselling to individuals and the removal</w:t>
      </w:r>
      <w:r w:rsidR="000227D8" w:rsidRPr="00D05503">
        <w:rPr>
          <w:rFonts w:ascii="Arial" w:hAnsi="Arial" w:cs="Arial"/>
        </w:rPr>
        <w:t xml:space="preserve"> </w:t>
      </w:r>
      <w:r w:rsidRPr="00D05503">
        <w:rPr>
          <w:rFonts w:ascii="Arial" w:hAnsi="Arial" w:cs="Arial"/>
        </w:rPr>
        <w:t>of the content.</w:t>
      </w:r>
    </w:p>
    <w:p w14:paraId="26F3D4BF" w14:textId="77777777" w:rsidR="004D04CC" w:rsidRPr="00D05503" w:rsidRDefault="004D04CC" w:rsidP="004D04CC">
      <w:pPr>
        <w:pStyle w:val="ListParagraph"/>
        <w:rPr>
          <w:rFonts w:ascii="Arial" w:hAnsi="Arial" w:cs="Arial"/>
        </w:rPr>
      </w:pPr>
    </w:p>
    <w:p w14:paraId="541FB5C7" w14:textId="7F563B67" w:rsidR="005F3156" w:rsidRPr="00D05503" w:rsidRDefault="005F3156" w:rsidP="00124FB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05503">
        <w:rPr>
          <w:rFonts w:ascii="Arial" w:hAnsi="Arial" w:cs="Arial"/>
        </w:rPr>
        <w:t>In 2022, the Australian Government responded to the report from the Senate titled ‘</w:t>
      </w:r>
      <w:r w:rsidRPr="00D05503">
        <w:rPr>
          <w:rFonts w:ascii="Arial" w:hAnsi="Arial" w:cs="Arial"/>
          <w:i/>
          <w:iCs/>
        </w:rPr>
        <w:t>Phenomenon colloquially</w:t>
      </w:r>
      <w:r w:rsidR="00675AF3" w:rsidRPr="00D05503">
        <w:rPr>
          <w:rFonts w:ascii="Arial" w:hAnsi="Arial" w:cs="Arial"/>
          <w:i/>
          <w:iCs/>
        </w:rPr>
        <w:t xml:space="preserve"> </w:t>
      </w:r>
      <w:r w:rsidRPr="00D05503">
        <w:rPr>
          <w:rFonts w:ascii="Arial" w:hAnsi="Arial" w:cs="Arial"/>
          <w:i/>
          <w:iCs/>
        </w:rPr>
        <w:t xml:space="preserve">referred to as ‘revenge porn’’. </w:t>
      </w:r>
      <w:r w:rsidRPr="00D05503">
        <w:rPr>
          <w:rFonts w:ascii="Arial" w:hAnsi="Arial" w:cs="Arial"/>
        </w:rPr>
        <w:t>The statement supported most of the recommendations proposed including that</w:t>
      </w:r>
      <w:r w:rsidR="00675AF3" w:rsidRPr="00D05503">
        <w:rPr>
          <w:rFonts w:ascii="Arial" w:hAnsi="Arial" w:cs="Arial"/>
        </w:rPr>
        <w:t xml:space="preserve"> </w:t>
      </w:r>
      <w:r w:rsidRPr="00D05503">
        <w:rPr>
          <w:rFonts w:ascii="Arial" w:hAnsi="Arial" w:cs="Arial"/>
        </w:rPr>
        <w:t>all police officers undertake mandatory training around image-based abuse.</w:t>
      </w:r>
    </w:p>
    <w:p w14:paraId="5F8D7273" w14:textId="77777777" w:rsidR="005F3156" w:rsidRPr="005F3156" w:rsidRDefault="005F3156" w:rsidP="005F3156">
      <w:pPr>
        <w:rPr>
          <w:rFonts w:ascii="Arial" w:hAnsi="Arial" w:cs="Arial"/>
        </w:rPr>
      </w:pPr>
      <w:r w:rsidRPr="005F3156">
        <w:rPr>
          <w:rFonts w:ascii="Arial" w:hAnsi="Arial" w:cs="Arial"/>
        </w:rPr>
        <w:t xml:space="preserve">The responses from online service providers to the issue of image-based abuse are highlighted </w:t>
      </w:r>
      <w:proofErr w:type="gramStart"/>
      <w:r w:rsidRPr="005F3156">
        <w:rPr>
          <w:rFonts w:ascii="Arial" w:hAnsi="Arial" w:cs="Arial"/>
        </w:rPr>
        <w:t>below;</w:t>
      </w:r>
      <w:proofErr w:type="gramEnd"/>
    </w:p>
    <w:p w14:paraId="506C99D7" w14:textId="2A19858F" w:rsidR="005F3156" w:rsidRPr="00D05503" w:rsidRDefault="005F3156" w:rsidP="004D04C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05503">
        <w:rPr>
          <w:rFonts w:ascii="Arial" w:hAnsi="Arial" w:cs="Arial"/>
        </w:rPr>
        <w:t>In February 2015, Reddit updated its private policy to prohibit the publication of image-based abuse;</w:t>
      </w:r>
      <w:r w:rsidR="00675AF3" w:rsidRPr="00D05503">
        <w:rPr>
          <w:rStyle w:val="FootnoteReference"/>
          <w:rFonts w:ascii="Arial" w:hAnsi="Arial" w:cs="Arial"/>
        </w:rPr>
        <w:footnoteReference w:id="6"/>
      </w:r>
    </w:p>
    <w:p w14:paraId="26632BAA" w14:textId="67C2C658" w:rsidR="005F3156" w:rsidRPr="00D05503" w:rsidRDefault="005F3156" w:rsidP="004D04C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05503">
        <w:rPr>
          <w:rFonts w:ascii="Arial" w:hAnsi="Arial" w:cs="Arial"/>
        </w:rPr>
        <w:t>In March 2015, Twitter (now known as ‘X’) announced that they would immediately remove any link image</w:t>
      </w:r>
      <w:r w:rsidR="1F79D29D" w:rsidRPr="00D05503">
        <w:rPr>
          <w:rFonts w:ascii="Arial" w:hAnsi="Arial" w:cs="Arial"/>
        </w:rPr>
        <w:t>-</w:t>
      </w:r>
      <w:r w:rsidRPr="00D05503">
        <w:rPr>
          <w:rFonts w:ascii="Arial" w:hAnsi="Arial" w:cs="Arial"/>
        </w:rPr>
        <w:t>based</w:t>
      </w:r>
      <w:r w:rsidR="00675AF3" w:rsidRPr="00D05503">
        <w:rPr>
          <w:rFonts w:ascii="Arial" w:hAnsi="Arial" w:cs="Arial"/>
        </w:rPr>
        <w:t xml:space="preserve"> </w:t>
      </w:r>
      <w:r w:rsidRPr="00D05503">
        <w:rPr>
          <w:rFonts w:ascii="Arial" w:hAnsi="Arial" w:cs="Arial"/>
        </w:rPr>
        <w:t>abuse upon request;</w:t>
      </w:r>
      <w:r w:rsidR="00675AF3" w:rsidRPr="00D05503">
        <w:rPr>
          <w:rStyle w:val="FootnoteReference"/>
          <w:rFonts w:ascii="Arial" w:hAnsi="Arial" w:cs="Arial"/>
        </w:rPr>
        <w:footnoteReference w:id="7"/>
      </w:r>
      <w:r w:rsidRPr="00D05503">
        <w:rPr>
          <w:rFonts w:ascii="Arial" w:hAnsi="Arial" w:cs="Arial"/>
        </w:rPr>
        <w:t xml:space="preserve"> and</w:t>
      </w:r>
    </w:p>
    <w:p w14:paraId="51AB2534" w14:textId="2AB06590" w:rsidR="00701EA8" w:rsidRPr="00D05503" w:rsidRDefault="005F3156" w:rsidP="004D04C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05503">
        <w:rPr>
          <w:rFonts w:ascii="Arial" w:hAnsi="Arial" w:cs="Arial"/>
        </w:rPr>
        <w:t>In June/July 2015, Google and Microsoft announced they would remove links upon request.</w:t>
      </w:r>
      <w:r w:rsidR="00675AF3" w:rsidRPr="00D05503">
        <w:rPr>
          <w:rStyle w:val="FootnoteReference"/>
          <w:rFonts w:ascii="Arial" w:hAnsi="Arial" w:cs="Arial"/>
        </w:rPr>
        <w:footnoteReference w:id="8"/>
      </w:r>
    </w:p>
    <w:sectPr w:rsidR="00701EA8" w:rsidRPr="00D05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324833" w14:textId="77777777" w:rsidR="006C3BF4" w:rsidRDefault="006C3BF4" w:rsidP="00F72DAC">
      <w:pPr>
        <w:spacing w:after="0" w:line="240" w:lineRule="auto"/>
      </w:pPr>
      <w:r>
        <w:separator/>
      </w:r>
    </w:p>
  </w:endnote>
  <w:endnote w:type="continuationSeparator" w:id="0">
    <w:p w14:paraId="5FEE5E48" w14:textId="77777777" w:rsidR="006C3BF4" w:rsidRDefault="006C3BF4" w:rsidP="00F72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10746" w14:textId="77777777" w:rsidR="006C3BF4" w:rsidRDefault="006C3BF4" w:rsidP="00F72DAC">
      <w:pPr>
        <w:spacing w:after="0" w:line="240" w:lineRule="auto"/>
      </w:pPr>
      <w:r>
        <w:separator/>
      </w:r>
    </w:p>
  </w:footnote>
  <w:footnote w:type="continuationSeparator" w:id="0">
    <w:p w14:paraId="087946E1" w14:textId="77777777" w:rsidR="006C3BF4" w:rsidRDefault="006C3BF4" w:rsidP="00F72DAC">
      <w:pPr>
        <w:spacing w:after="0" w:line="240" w:lineRule="auto"/>
      </w:pPr>
      <w:r>
        <w:continuationSeparator/>
      </w:r>
    </w:p>
  </w:footnote>
  <w:footnote w:id="1">
    <w:p w14:paraId="370A0B15" w14:textId="286645F6" w:rsidR="00D2391A" w:rsidRPr="00D05503" w:rsidRDefault="00D2391A">
      <w:pPr>
        <w:pStyle w:val="FootnoteText"/>
        <w:rPr>
          <w:lang w:val="en-US"/>
        </w:rPr>
      </w:pPr>
      <w:r w:rsidRPr="00D05503">
        <w:rPr>
          <w:rStyle w:val="FootnoteReference"/>
        </w:rPr>
        <w:footnoteRef/>
      </w:r>
      <w:r w:rsidRPr="00D05503">
        <w:t xml:space="preserve"> </w:t>
      </w:r>
      <w:r w:rsidRPr="005F3156">
        <w:t>R v Simonetti [2018] ACTSC 31; R v Cartwright [2018] ACTSC 132; Dever v The Commissioner of Police [2017] QDC 65</w:t>
      </w:r>
      <w:r w:rsidRPr="00D05503">
        <w:t>.</w:t>
      </w:r>
    </w:p>
  </w:footnote>
  <w:footnote w:id="2">
    <w:p w14:paraId="6ACC2F00" w14:textId="25543CFB" w:rsidR="00D2391A" w:rsidRPr="00D05503" w:rsidRDefault="00D2391A">
      <w:pPr>
        <w:pStyle w:val="FootnoteText"/>
        <w:rPr>
          <w:lang w:val="en-US"/>
        </w:rPr>
      </w:pPr>
      <w:r w:rsidRPr="00D05503">
        <w:rPr>
          <w:rStyle w:val="FootnoteReference"/>
        </w:rPr>
        <w:footnoteRef/>
      </w:r>
      <w:r w:rsidRPr="00D05503">
        <w:t xml:space="preserve"> </w:t>
      </w:r>
      <w:r w:rsidRPr="005F3156">
        <w:rPr>
          <w:i/>
          <w:iCs/>
        </w:rPr>
        <w:t xml:space="preserve">Fairfax Media Publications; Nationwide News Pty Ltd; Australian News Channel v Dylan Voller </w:t>
      </w:r>
      <w:r w:rsidRPr="005F3156">
        <w:t>[2021] HCA 27</w:t>
      </w:r>
      <w:r w:rsidRPr="00D05503">
        <w:t>.</w:t>
      </w:r>
    </w:p>
  </w:footnote>
  <w:footnote w:id="3">
    <w:p w14:paraId="725F1F84" w14:textId="126E4ED5" w:rsidR="00D2391A" w:rsidRPr="00D05503" w:rsidRDefault="00D2391A" w:rsidP="00D2391A">
      <w:pPr>
        <w:rPr>
          <w:sz w:val="20"/>
          <w:szCs w:val="20"/>
        </w:rPr>
      </w:pPr>
      <w:r w:rsidRPr="00D05503">
        <w:rPr>
          <w:rStyle w:val="FootnoteReference"/>
          <w:sz w:val="20"/>
          <w:szCs w:val="20"/>
        </w:rPr>
        <w:footnoteRef/>
      </w:r>
      <w:r w:rsidRPr="00D05503">
        <w:rPr>
          <w:sz w:val="20"/>
          <w:szCs w:val="20"/>
        </w:rPr>
        <w:t xml:space="preserve"> </w:t>
      </w:r>
      <w:r w:rsidRPr="005F3156">
        <w:rPr>
          <w:sz w:val="20"/>
          <w:szCs w:val="20"/>
        </w:rPr>
        <w:t xml:space="preserve">Australian Government, Office of the </w:t>
      </w:r>
      <w:proofErr w:type="spellStart"/>
      <w:r w:rsidRPr="005F3156">
        <w:rPr>
          <w:sz w:val="20"/>
          <w:szCs w:val="20"/>
        </w:rPr>
        <w:t>eSafety</w:t>
      </w:r>
      <w:proofErr w:type="spellEnd"/>
      <w:r w:rsidRPr="005F3156">
        <w:rPr>
          <w:sz w:val="20"/>
          <w:szCs w:val="20"/>
        </w:rPr>
        <w:t xml:space="preserve"> Commissioner, </w:t>
      </w:r>
      <w:r w:rsidRPr="005F3156">
        <w:rPr>
          <w:i/>
          <w:iCs/>
          <w:sz w:val="20"/>
          <w:szCs w:val="20"/>
        </w:rPr>
        <w:t xml:space="preserve">Image-Based Abuse National Survey </w:t>
      </w:r>
      <w:r w:rsidRPr="005F3156">
        <w:rPr>
          <w:sz w:val="20"/>
          <w:szCs w:val="20"/>
        </w:rPr>
        <w:t>(Report, October 2017) 4.</w:t>
      </w:r>
    </w:p>
  </w:footnote>
  <w:footnote w:id="4">
    <w:p w14:paraId="5D7D707E" w14:textId="15B3B34E" w:rsidR="00D2391A" w:rsidRPr="00D05503" w:rsidRDefault="00D2391A" w:rsidP="00F912AC">
      <w:pPr>
        <w:spacing w:after="0" w:line="240" w:lineRule="auto"/>
        <w:rPr>
          <w:sz w:val="20"/>
          <w:szCs w:val="20"/>
        </w:rPr>
      </w:pPr>
      <w:r w:rsidRPr="00D05503">
        <w:rPr>
          <w:rStyle w:val="FootnoteReference"/>
          <w:sz w:val="20"/>
          <w:szCs w:val="20"/>
        </w:rPr>
        <w:footnoteRef/>
      </w:r>
      <w:r w:rsidRPr="00D05503">
        <w:rPr>
          <w:sz w:val="20"/>
          <w:szCs w:val="20"/>
        </w:rPr>
        <w:t xml:space="preserve"> </w:t>
      </w:r>
      <w:r w:rsidRPr="005F3156">
        <w:rPr>
          <w:sz w:val="20"/>
          <w:szCs w:val="20"/>
        </w:rPr>
        <w:t xml:space="preserve">Australian Government, Office of the eSafety Commissioner, </w:t>
      </w:r>
      <w:r w:rsidRPr="005F3156">
        <w:rPr>
          <w:i/>
          <w:iCs/>
          <w:sz w:val="20"/>
          <w:szCs w:val="20"/>
        </w:rPr>
        <w:t xml:space="preserve">Image-Based Abuse National Survey </w:t>
      </w:r>
      <w:r w:rsidRPr="005F3156">
        <w:rPr>
          <w:sz w:val="20"/>
          <w:szCs w:val="20"/>
        </w:rPr>
        <w:t>(Report, October 2017), 10.</w:t>
      </w:r>
    </w:p>
  </w:footnote>
  <w:footnote w:id="5">
    <w:p w14:paraId="7196706B" w14:textId="4322D86F" w:rsidR="000227D8" w:rsidRPr="00D05503" w:rsidRDefault="000227D8" w:rsidP="00F912AC">
      <w:pPr>
        <w:pStyle w:val="FootnoteText"/>
        <w:rPr>
          <w:lang w:val="en-US"/>
        </w:rPr>
      </w:pPr>
      <w:r w:rsidRPr="00D05503">
        <w:rPr>
          <w:rStyle w:val="FootnoteReference"/>
        </w:rPr>
        <w:footnoteRef/>
      </w:r>
      <w:r w:rsidRPr="00D05503">
        <w:t xml:space="preserve"> </w:t>
      </w:r>
      <w:r w:rsidR="00B25809" w:rsidRPr="00D05503">
        <w:t>NSW Government, ‘NSW Government launches campaign to help stop image-based abuse’ (Media Release, 8 December 2020) 1.</w:t>
      </w:r>
    </w:p>
  </w:footnote>
  <w:footnote w:id="6">
    <w:p w14:paraId="7B6FBBB5" w14:textId="4FE65AE9" w:rsidR="00675AF3" w:rsidRPr="00D05503" w:rsidRDefault="00675AF3">
      <w:pPr>
        <w:pStyle w:val="FootnoteText"/>
        <w:rPr>
          <w:lang w:val="en-US"/>
        </w:rPr>
      </w:pPr>
      <w:r w:rsidRPr="00D05503">
        <w:rPr>
          <w:rStyle w:val="FootnoteReference"/>
        </w:rPr>
        <w:footnoteRef/>
      </w:r>
      <w:r w:rsidRPr="00D05503">
        <w:t xml:space="preserve"> </w:t>
      </w:r>
      <w:r w:rsidR="00D73A97" w:rsidRPr="00D05503">
        <w:t>Rhett Pardon, ‘Reddit to Ban Sexually Explicit Content Posted Without Consent’ (Media Release, 24 February 2015).</w:t>
      </w:r>
    </w:p>
  </w:footnote>
  <w:footnote w:id="7">
    <w:p w14:paraId="28B48B04" w14:textId="32A275F4" w:rsidR="00675AF3" w:rsidRPr="00D05503" w:rsidRDefault="00675AF3">
      <w:pPr>
        <w:pStyle w:val="FootnoteText"/>
        <w:rPr>
          <w:lang w:val="en-US"/>
        </w:rPr>
      </w:pPr>
      <w:r w:rsidRPr="00D05503">
        <w:rPr>
          <w:rStyle w:val="FootnoteReference"/>
        </w:rPr>
        <w:footnoteRef/>
      </w:r>
      <w:r w:rsidRPr="00D05503">
        <w:t xml:space="preserve"> </w:t>
      </w:r>
      <w:r w:rsidR="00D05503" w:rsidRPr="00D05503">
        <w:t>Tom Hymes, ‘Twitter Targets Revenge Porn with New Abusive Behavior Policies’ (Media Release, 11 March 2015).</w:t>
      </w:r>
    </w:p>
  </w:footnote>
  <w:footnote w:id="8">
    <w:p w14:paraId="3DA06CB4" w14:textId="2A618795" w:rsidR="00675AF3" w:rsidRPr="00D05503" w:rsidRDefault="00675AF3">
      <w:pPr>
        <w:pStyle w:val="FootnoteText"/>
        <w:rPr>
          <w:lang w:val="en-US"/>
        </w:rPr>
      </w:pPr>
      <w:r w:rsidRPr="00D05503">
        <w:rPr>
          <w:rStyle w:val="FootnoteReference"/>
        </w:rPr>
        <w:footnoteRef/>
      </w:r>
      <w:r w:rsidRPr="00D05503">
        <w:t xml:space="preserve"> </w:t>
      </w:r>
      <w:r w:rsidR="00D05503" w:rsidRPr="00D05503">
        <w:t>Ronald Chavez, ‘Microsoft joins Google in removing links to revenge porn’ (Media Release, 27 July 2015).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1F22"/>
    <w:multiLevelType w:val="hybridMultilevel"/>
    <w:tmpl w:val="0A666D8A"/>
    <w:lvl w:ilvl="0" w:tplc="B9C655EA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4F8BCB8">
      <w:numFmt w:val="bullet"/>
      <w:lvlText w:val="•"/>
      <w:lvlJc w:val="left"/>
      <w:pPr>
        <w:ind w:left="1102" w:hanging="360"/>
      </w:pPr>
      <w:rPr>
        <w:rFonts w:hint="default"/>
        <w:lang w:val="en-US" w:eastAsia="en-US" w:bidi="ar-SA"/>
      </w:rPr>
    </w:lvl>
    <w:lvl w:ilvl="2" w:tplc="8E3E5D0A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3" w:tplc="A336E640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4" w:tplc="E15867F6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5" w:tplc="DFB60D0E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6" w:tplc="3E8A82CC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7" w:tplc="406A96B0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8" w:tplc="67C8DA98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590A87"/>
    <w:multiLevelType w:val="hybridMultilevel"/>
    <w:tmpl w:val="971C7B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D2932"/>
    <w:multiLevelType w:val="hybridMultilevel"/>
    <w:tmpl w:val="5EDEE504"/>
    <w:lvl w:ilvl="0" w:tplc="6338DFC8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8785882">
      <w:numFmt w:val="bullet"/>
      <w:lvlText w:val="•"/>
      <w:lvlJc w:val="left"/>
      <w:pPr>
        <w:ind w:left="1102" w:hanging="360"/>
      </w:pPr>
      <w:rPr>
        <w:rFonts w:hint="default"/>
        <w:lang w:val="en-US" w:eastAsia="en-US" w:bidi="ar-SA"/>
      </w:rPr>
    </w:lvl>
    <w:lvl w:ilvl="2" w:tplc="FFE0D022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3" w:tplc="21924A02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4" w:tplc="BB263B46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5" w:tplc="3C107F0E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6" w:tplc="AEC2B65C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7" w:tplc="547A20BA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8" w:tplc="04B25C78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C81718D"/>
    <w:multiLevelType w:val="hybridMultilevel"/>
    <w:tmpl w:val="090205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D18CC"/>
    <w:multiLevelType w:val="hybridMultilevel"/>
    <w:tmpl w:val="ECF037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AE019"/>
    <w:multiLevelType w:val="hybridMultilevel"/>
    <w:tmpl w:val="A69EAEDC"/>
    <w:lvl w:ilvl="0" w:tplc="CE787C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7A8A30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6E0BCD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360E31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B043B0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D986C1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B6E219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6AA514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59C17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000A16"/>
    <w:multiLevelType w:val="hybridMultilevel"/>
    <w:tmpl w:val="809C57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9536F"/>
    <w:multiLevelType w:val="hybridMultilevel"/>
    <w:tmpl w:val="42D0816C"/>
    <w:lvl w:ilvl="0" w:tplc="B09E2B76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5E0D6F8">
      <w:numFmt w:val="bullet"/>
      <w:lvlText w:val="•"/>
      <w:lvlJc w:val="left"/>
      <w:pPr>
        <w:ind w:left="1102" w:hanging="360"/>
      </w:pPr>
      <w:rPr>
        <w:rFonts w:hint="default"/>
        <w:lang w:val="en-US" w:eastAsia="en-US" w:bidi="ar-SA"/>
      </w:rPr>
    </w:lvl>
    <w:lvl w:ilvl="2" w:tplc="8946BACC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3" w:tplc="CDB0652C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4" w:tplc="E7AE7A3E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5" w:tplc="0F30F6AA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6" w:tplc="5F84BFCA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7" w:tplc="1F9ABF56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8" w:tplc="D74ACE66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7502828"/>
    <w:multiLevelType w:val="hybridMultilevel"/>
    <w:tmpl w:val="5C42A76C"/>
    <w:lvl w:ilvl="0" w:tplc="8A5EC04E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A727174">
      <w:numFmt w:val="bullet"/>
      <w:lvlText w:val="•"/>
      <w:lvlJc w:val="left"/>
      <w:pPr>
        <w:ind w:left="1102" w:hanging="360"/>
      </w:pPr>
      <w:rPr>
        <w:rFonts w:hint="default"/>
        <w:lang w:val="en-US" w:eastAsia="en-US" w:bidi="ar-SA"/>
      </w:rPr>
    </w:lvl>
    <w:lvl w:ilvl="2" w:tplc="02FCE654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3" w:tplc="A7B65E9A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4" w:tplc="ACB07ECE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5" w:tplc="43B00F88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6" w:tplc="4928147A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7" w:tplc="F72E4CE8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8" w:tplc="DC5EBBE6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3206127"/>
    <w:multiLevelType w:val="hybridMultilevel"/>
    <w:tmpl w:val="D882AF40"/>
    <w:lvl w:ilvl="0" w:tplc="C2666DD8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6DA145E">
      <w:numFmt w:val="bullet"/>
      <w:lvlText w:val="•"/>
      <w:lvlJc w:val="left"/>
      <w:pPr>
        <w:ind w:left="1102" w:hanging="360"/>
      </w:pPr>
      <w:rPr>
        <w:rFonts w:hint="default"/>
        <w:lang w:val="en-US" w:eastAsia="en-US" w:bidi="ar-SA"/>
      </w:rPr>
    </w:lvl>
    <w:lvl w:ilvl="2" w:tplc="B900C8F2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3" w:tplc="7EDAF386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4" w:tplc="E9ACEC54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5" w:tplc="FA7C3314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6" w:tplc="FE3CCADA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7" w:tplc="8A4618E8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8" w:tplc="F9B4FCB2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</w:abstractNum>
  <w:num w:numId="1" w16cid:durableId="833184166">
    <w:abstractNumId w:val="5"/>
  </w:num>
  <w:num w:numId="2" w16cid:durableId="1105154851">
    <w:abstractNumId w:val="9"/>
  </w:num>
  <w:num w:numId="3" w16cid:durableId="1720279550">
    <w:abstractNumId w:val="0"/>
  </w:num>
  <w:num w:numId="4" w16cid:durableId="923761980">
    <w:abstractNumId w:val="7"/>
  </w:num>
  <w:num w:numId="5" w16cid:durableId="1907304382">
    <w:abstractNumId w:val="2"/>
  </w:num>
  <w:num w:numId="6" w16cid:durableId="1609198603">
    <w:abstractNumId w:val="8"/>
  </w:num>
  <w:num w:numId="7" w16cid:durableId="1288467771">
    <w:abstractNumId w:val="3"/>
  </w:num>
  <w:num w:numId="8" w16cid:durableId="608977395">
    <w:abstractNumId w:val="1"/>
  </w:num>
  <w:num w:numId="9" w16cid:durableId="1469277946">
    <w:abstractNumId w:val="4"/>
  </w:num>
  <w:num w:numId="10" w16cid:durableId="14393769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A8"/>
    <w:rsid w:val="000227D8"/>
    <w:rsid w:val="00124FBE"/>
    <w:rsid w:val="00355F8D"/>
    <w:rsid w:val="004C3619"/>
    <w:rsid w:val="004D04CC"/>
    <w:rsid w:val="005B780E"/>
    <w:rsid w:val="005F3156"/>
    <w:rsid w:val="00675AF3"/>
    <w:rsid w:val="006A54FF"/>
    <w:rsid w:val="006C3BF4"/>
    <w:rsid w:val="00701EA8"/>
    <w:rsid w:val="00824358"/>
    <w:rsid w:val="009F39EF"/>
    <w:rsid w:val="00B25809"/>
    <w:rsid w:val="00B320FC"/>
    <w:rsid w:val="00C21660"/>
    <w:rsid w:val="00D02496"/>
    <w:rsid w:val="00D05503"/>
    <w:rsid w:val="00D2391A"/>
    <w:rsid w:val="00D73A97"/>
    <w:rsid w:val="00E66DC5"/>
    <w:rsid w:val="00E87CA0"/>
    <w:rsid w:val="00F31719"/>
    <w:rsid w:val="00F70FC5"/>
    <w:rsid w:val="00F72DAC"/>
    <w:rsid w:val="00F912AC"/>
    <w:rsid w:val="0384F52E"/>
    <w:rsid w:val="092B62BC"/>
    <w:rsid w:val="106024B1"/>
    <w:rsid w:val="1CCF4F00"/>
    <w:rsid w:val="1F79D29D"/>
    <w:rsid w:val="20F23F34"/>
    <w:rsid w:val="2702964E"/>
    <w:rsid w:val="2B66B025"/>
    <w:rsid w:val="2BA74F40"/>
    <w:rsid w:val="2C7883E1"/>
    <w:rsid w:val="2F434BCC"/>
    <w:rsid w:val="33C9CB8F"/>
    <w:rsid w:val="36301A72"/>
    <w:rsid w:val="369ADB17"/>
    <w:rsid w:val="3AEDBDD4"/>
    <w:rsid w:val="3B373FB0"/>
    <w:rsid w:val="3B9D8462"/>
    <w:rsid w:val="3C101B37"/>
    <w:rsid w:val="3FC98A36"/>
    <w:rsid w:val="41F96CBF"/>
    <w:rsid w:val="42EE5245"/>
    <w:rsid w:val="4DEC148C"/>
    <w:rsid w:val="535A852A"/>
    <w:rsid w:val="54408CA0"/>
    <w:rsid w:val="558F05F1"/>
    <w:rsid w:val="5628A32F"/>
    <w:rsid w:val="57275889"/>
    <w:rsid w:val="60F71546"/>
    <w:rsid w:val="61F87472"/>
    <w:rsid w:val="63A2BBAC"/>
    <w:rsid w:val="66815EA2"/>
    <w:rsid w:val="682FAADD"/>
    <w:rsid w:val="6937B2E7"/>
    <w:rsid w:val="6D3ABFF7"/>
    <w:rsid w:val="70016D2B"/>
    <w:rsid w:val="77BFCFBA"/>
    <w:rsid w:val="79B31909"/>
    <w:rsid w:val="7B994251"/>
    <w:rsid w:val="7C067878"/>
    <w:rsid w:val="7C42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09FFE"/>
  <w15:chartTrackingRefBased/>
  <w15:docId w15:val="{1AD4441D-6ADE-47E6-87C4-C5E737F4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EA8"/>
  </w:style>
  <w:style w:type="paragraph" w:styleId="Heading1">
    <w:name w:val="heading 1"/>
    <w:basedOn w:val="Normal"/>
    <w:next w:val="Normal"/>
    <w:link w:val="Heading1Char"/>
    <w:uiPriority w:val="9"/>
    <w:qFormat/>
    <w:rsid w:val="00701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E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E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EA8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2D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2D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2D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72D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DAC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F70FC5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h.gov.au/Parliamentary_Business/Committees/Senate/Legal_and_Constitutional_Affairs/Revenge_por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sw.gov.au/education-and-training/cybermarvel/professional-learning/cyber-security-secondar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g.gov.au/crime/publications/national-statement-principles-relatingcriminalisation-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g.gov.au/crime/publications/national-statement-principles-relating-criminalisation-non-consensual-sharing-intimate-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525BB-524B-4F4B-B532-B07FB84C9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1191</Words>
  <Characters>6794</Characters>
  <Application>Microsoft Office Word</Application>
  <DocSecurity>0</DocSecurity>
  <Lines>56</Lines>
  <Paragraphs>15</Paragraphs>
  <ScaleCrop>false</ScaleCrop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Hadley</dc:creator>
  <cp:keywords/>
  <dc:description/>
  <cp:lastModifiedBy>Marie Hadley</cp:lastModifiedBy>
  <cp:revision>25</cp:revision>
  <dcterms:created xsi:type="dcterms:W3CDTF">2025-01-07T00:15:00Z</dcterms:created>
  <dcterms:modified xsi:type="dcterms:W3CDTF">2025-01-14T02:14:00Z</dcterms:modified>
</cp:coreProperties>
</file>