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6C737" w14:textId="681BBFDD" w:rsidR="0064012E" w:rsidRPr="00624485" w:rsidRDefault="00A81BC7" w:rsidP="0064012E">
      <w:pPr>
        <w:rPr>
          <w:rFonts w:ascii="Arial" w:hAnsi="Arial" w:cs="Arial"/>
          <w:b/>
          <w:bCs/>
          <w:sz w:val="24"/>
          <w:szCs w:val="24"/>
        </w:rPr>
      </w:pPr>
      <w:r w:rsidRPr="008C3127">
        <w:rPr>
          <w:rFonts w:ascii="Arial" w:hAnsi="Arial" w:cs="Arial"/>
          <w:b/>
          <w:bCs/>
          <w:sz w:val="24"/>
          <w:szCs w:val="24"/>
        </w:rPr>
        <w:t>G</w:t>
      </w:r>
      <w:r w:rsidR="00C17F4A">
        <w:rPr>
          <w:rFonts w:ascii="Arial" w:hAnsi="Arial" w:cs="Arial"/>
          <w:b/>
          <w:bCs/>
          <w:sz w:val="24"/>
          <w:szCs w:val="24"/>
        </w:rPr>
        <w:t xml:space="preserve">overning Crypto Assets </w:t>
      </w:r>
      <w:r w:rsidRPr="008C3127">
        <w:rPr>
          <w:rFonts w:ascii="Arial" w:hAnsi="Arial" w:cs="Arial"/>
          <w:b/>
          <w:bCs/>
          <w:sz w:val="24"/>
          <w:szCs w:val="24"/>
        </w:rPr>
        <w:t xml:space="preserve"> </w:t>
      </w:r>
    </w:p>
    <w:p w14:paraId="4FE4788B" w14:textId="7D75F2B6" w:rsidR="00A81BC7" w:rsidRPr="002204FB" w:rsidRDefault="00A81BC7" w:rsidP="002204FB">
      <w:pPr>
        <w:pStyle w:val="ListParagraph"/>
        <w:numPr>
          <w:ilvl w:val="0"/>
          <w:numId w:val="9"/>
        </w:numPr>
        <w:rPr>
          <w:rFonts w:ascii="Arial" w:hAnsi="Arial" w:cs="Arial"/>
          <w:b/>
          <w:bCs/>
          <w:sz w:val="24"/>
          <w:szCs w:val="24"/>
        </w:rPr>
      </w:pPr>
      <w:r w:rsidRPr="002204FB">
        <w:rPr>
          <w:rFonts w:ascii="Arial" w:hAnsi="Arial" w:cs="Arial"/>
          <w:b/>
          <w:bCs/>
          <w:sz w:val="24"/>
          <w:szCs w:val="24"/>
        </w:rPr>
        <w:t>Introduction to Crypto</w:t>
      </w:r>
      <w:r w:rsidR="00CE6FA9" w:rsidRPr="002204FB">
        <w:rPr>
          <w:rFonts w:ascii="Arial" w:hAnsi="Arial" w:cs="Arial"/>
          <w:b/>
          <w:bCs/>
          <w:sz w:val="24"/>
          <w:szCs w:val="24"/>
        </w:rPr>
        <w:t xml:space="preserve"> </w:t>
      </w:r>
      <w:r w:rsidRPr="002204FB">
        <w:rPr>
          <w:rFonts w:ascii="Arial" w:hAnsi="Arial" w:cs="Arial"/>
          <w:b/>
          <w:bCs/>
          <w:sz w:val="24"/>
          <w:szCs w:val="24"/>
        </w:rPr>
        <w:t xml:space="preserve">assets </w:t>
      </w:r>
    </w:p>
    <w:p w14:paraId="4D7FF70B" w14:textId="77777777" w:rsidR="002204FB" w:rsidRDefault="002204FB" w:rsidP="00750131">
      <w:pPr>
        <w:spacing w:after="0" w:line="240" w:lineRule="auto"/>
        <w:rPr>
          <w:rFonts w:ascii="Arial" w:hAnsi="Arial" w:cs="Arial"/>
          <w:b/>
          <w:bCs/>
          <w:sz w:val="24"/>
          <w:szCs w:val="24"/>
        </w:rPr>
      </w:pPr>
    </w:p>
    <w:p w14:paraId="6B1E7BF9" w14:textId="47F063F7" w:rsidR="002204FB" w:rsidRDefault="00750131" w:rsidP="00624485">
      <w:pPr>
        <w:spacing w:after="0" w:line="240" w:lineRule="auto"/>
        <w:rPr>
          <w:rFonts w:ascii="Arial" w:hAnsi="Arial" w:cs="Arial"/>
          <w:b/>
          <w:bCs/>
          <w:i/>
          <w:iCs/>
          <w:sz w:val="24"/>
          <w:szCs w:val="24"/>
        </w:rPr>
      </w:pPr>
      <w:r w:rsidRPr="002204FB">
        <w:rPr>
          <w:rFonts w:ascii="Arial" w:hAnsi="Arial" w:cs="Arial"/>
          <w:b/>
          <w:bCs/>
          <w:i/>
          <w:iCs/>
          <w:sz w:val="24"/>
          <w:szCs w:val="24"/>
        </w:rPr>
        <w:t xml:space="preserve">What is a </w:t>
      </w:r>
      <w:r w:rsidR="00A81BC7" w:rsidRPr="002204FB">
        <w:rPr>
          <w:rFonts w:ascii="Arial" w:hAnsi="Arial" w:cs="Arial"/>
          <w:b/>
          <w:bCs/>
          <w:i/>
          <w:iCs/>
          <w:sz w:val="24"/>
          <w:szCs w:val="24"/>
        </w:rPr>
        <w:t>Crypto Asset</w:t>
      </w:r>
      <w:r w:rsidRPr="002204FB">
        <w:rPr>
          <w:rFonts w:ascii="Arial" w:hAnsi="Arial" w:cs="Arial"/>
          <w:b/>
          <w:bCs/>
          <w:i/>
          <w:iCs/>
          <w:sz w:val="24"/>
          <w:szCs w:val="24"/>
        </w:rPr>
        <w:t>?</w:t>
      </w:r>
    </w:p>
    <w:p w14:paraId="35F0EA8E" w14:textId="77777777" w:rsidR="00624485" w:rsidRPr="00624485" w:rsidRDefault="00624485" w:rsidP="00624485">
      <w:pPr>
        <w:spacing w:after="0" w:line="240" w:lineRule="auto"/>
        <w:rPr>
          <w:rFonts w:ascii="Arial" w:hAnsi="Arial" w:cs="Arial"/>
          <w:b/>
          <w:bCs/>
          <w:i/>
          <w:iCs/>
          <w:sz w:val="24"/>
          <w:szCs w:val="24"/>
        </w:rPr>
      </w:pPr>
    </w:p>
    <w:p w14:paraId="1B8C4FE5" w14:textId="56EA40D7" w:rsidR="00A81BC7" w:rsidRPr="00750131" w:rsidRDefault="00B03154" w:rsidP="00750131">
      <w:pPr>
        <w:rPr>
          <w:rFonts w:ascii="Arial" w:hAnsi="Arial" w:cs="Arial"/>
          <w:sz w:val="24"/>
          <w:szCs w:val="24"/>
        </w:rPr>
      </w:pPr>
      <w:r w:rsidRPr="53A0D1A0">
        <w:rPr>
          <w:rFonts w:ascii="Arial" w:hAnsi="Arial" w:cs="Arial"/>
          <w:sz w:val="24"/>
          <w:szCs w:val="24"/>
        </w:rPr>
        <w:t xml:space="preserve">The term crypto asset refers to a class of asset </w:t>
      </w:r>
      <w:r w:rsidR="6F33DF0D" w:rsidRPr="53A0D1A0">
        <w:rPr>
          <w:rFonts w:ascii="Arial" w:hAnsi="Arial" w:cs="Arial"/>
          <w:sz w:val="24"/>
          <w:szCs w:val="24"/>
        </w:rPr>
        <w:t xml:space="preserve">that </w:t>
      </w:r>
      <w:r w:rsidRPr="53A0D1A0">
        <w:rPr>
          <w:rFonts w:ascii="Arial" w:hAnsi="Arial" w:cs="Arial"/>
          <w:sz w:val="24"/>
          <w:szCs w:val="24"/>
        </w:rPr>
        <w:t xml:space="preserve">encompasses </w:t>
      </w:r>
      <w:r w:rsidR="1F6A2E00" w:rsidRPr="53A0D1A0">
        <w:rPr>
          <w:rFonts w:ascii="Arial" w:hAnsi="Arial" w:cs="Arial"/>
          <w:sz w:val="24"/>
          <w:szCs w:val="24"/>
        </w:rPr>
        <w:t>several</w:t>
      </w:r>
      <w:r w:rsidRPr="53A0D1A0">
        <w:rPr>
          <w:rFonts w:ascii="Arial" w:hAnsi="Arial" w:cs="Arial"/>
          <w:sz w:val="24"/>
          <w:szCs w:val="24"/>
        </w:rPr>
        <w:t xml:space="preserve"> different individual assets, including cryptocurrencies (such as Bitcoin or Ethereum), stablecoins, tokens or non-fungible tokens (</w:t>
      </w:r>
      <w:r w:rsidRPr="53A0D1A0">
        <w:rPr>
          <w:rFonts w:ascii="Arial" w:hAnsi="Arial" w:cs="Arial"/>
          <w:b/>
          <w:bCs/>
          <w:sz w:val="24"/>
          <w:szCs w:val="24"/>
        </w:rPr>
        <w:t>NFTS</w:t>
      </w:r>
      <w:r w:rsidRPr="53A0D1A0">
        <w:rPr>
          <w:rFonts w:ascii="Arial" w:hAnsi="Arial" w:cs="Arial"/>
          <w:sz w:val="24"/>
          <w:szCs w:val="24"/>
        </w:rPr>
        <w:t xml:space="preserve">). </w:t>
      </w:r>
      <w:r w:rsidR="00A81BC7" w:rsidRPr="53A0D1A0">
        <w:rPr>
          <w:rFonts w:ascii="Arial" w:hAnsi="Arial" w:cs="Arial"/>
          <w:sz w:val="24"/>
          <w:szCs w:val="24"/>
        </w:rPr>
        <w:t>The Australia</w:t>
      </w:r>
      <w:r w:rsidR="11D99774" w:rsidRPr="53A0D1A0">
        <w:rPr>
          <w:rFonts w:ascii="Arial" w:hAnsi="Arial" w:cs="Arial"/>
          <w:sz w:val="24"/>
          <w:szCs w:val="24"/>
        </w:rPr>
        <w:t>n</w:t>
      </w:r>
      <w:r w:rsidR="00A81BC7" w:rsidRPr="53A0D1A0">
        <w:rPr>
          <w:rFonts w:ascii="Arial" w:hAnsi="Arial" w:cs="Arial"/>
          <w:sz w:val="24"/>
          <w:szCs w:val="24"/>
        </w:rPr>
        <w:t xml:space="preserve"> Securities and Investment</w:t>
      </w:r>
      <w:r w:rsidR="4FE13C58" w:rsidRPr="53A0D1A0">
        <w:rPr>
          <w:rFonts w:ascii="Arial" w:hAnsi="Arial" w:cs="Arial"/>
          <w:sz w:val="24"/>
          <w:szCs w:val="24"/>
        </w:rPr>
        <w:t>s</w:t>
      </w:r>
      <w:r w:rsidR="00A81BC7" w:rsidRPr="53A0D1A0">
        <w:rPr>
          <w:rFonts w:ascii="Arial" w:hAnsi="Arial" w:cs="Arial"/>
          <w:sz w:val="24"/>
          <w:szCs w:val="24"/>
        </w:rPr>
        <w:t xml:space="preserve"> Commission (</w:t>
      </w:r>
      <w:r w:rsidR="00A81BC7" w:rsidRPr="53A0D1A0">
        <w:rPr>
          <w:rFonts w:ascii="Arial" w:hAnsi="Arial" w:cs="Arial"/>
          <w:b/>
          <w:bCs/>
          <w:sz w:val="24"/>
          <w:szCs w:val="24"/>
        </w:rPr>
        <w:t>ASIC</w:t>
      </w:r>
      <w:r w:rsidR="00A81BC7" w:rsidRPr="53A0D1A0">
        <w:rPr>
          <w:rFonts w:ascii="Arial" w:hAnsi="Arial" w:cs="Arial"/>
          <w:sz w:val="24"/>
          <w:szCs w:val="24"/>
        </w:rPr>
        <w:t>) defines crypto</w:t>
      </w:r>
      <w:r w:rsidR="00CE6FA9" w:rsidRPr="53A0D1A0">
        <w:rPr>
          <w:rFonts w:ascii="Arial" w:hAnsi="Arial" w:cs="Arial"/>
          <w:sz w:val="24"/>
          <w:szCs w:val="24"/>
        </w:rPr>
        <w:t xml:space="preserve"> </w:t>
      </w:r>
      <w:r w:rsidR="00A81BC7" w:rsidRPr="53A0D1A0">
        <w:rPr>
          <w:rFonts w:ascii="Arial" w:hAnsi="Arial" w:cs="Arial"/>
          <w:sz w:val="24"/>
          <w:szCs w:val="24"/>
        </w:rPr>
        <w:t xml:space="preserve">assets as: </w:t>
      </w:r>
    </w:p>
    <w:p w14:paraId="70E1CDD8" w14:textId="77777777" w:rsidR="00A81BC7" w:rsidRPr="008C3127" w:rsidRDefault="00A81BC7" w:rsidP="00A81BC7">
      <w:pPr>
        <w:pStyle w:val="ListParagraph"/>
        <w:rPr>
          <w:rFonts w:ascii="Arial" w:hAnsi="Arial" w:cs="Arial"/>
          <w:sz w:val="24"/>
          <w:szCs w:val="24"/>
        </w:rPr>
      </w:pPr>
    </w:p>
    <w:p w14:paraId="21A2C684" w14:textId="05849D57" w:rsidR="00A81BC7" w:rsidRPr="008C3127" w:rsidRDefault="00A81BC7" w:rsidP="00A81BC7">
      <w:pPr>
        <w:pStyle w:val="ListParagraph"/>
        <w:rPr>
          <w:rFonts w:ascii="Arial" w:hAnsi="Arial" w:cs="Arial"/>
          <w:i/>
          <w:iCs/>
          <w:sz w:val="24"/>
          <w:szCs w:val="24"/>
        </w:rPr>
      </w:pPr>
      <w:r w:rsidRPr="008C3127">
        <w:rPr>
          <w:rFonts w:ascii="Arial" w:hAnsi="Arial" w:cs="Arial"/>
          <w:sz w:val="24"/>
          <w:szCs w:val="24"/>
        </w:rPr>
        <w:t>“</w:t>
      </w:r>
      <w:r w:rsidRPr="008C3127">
        <w:rPr>
          <w:rFonts w:ascii="Arial" w:hAnsi="Arial" w:cs="Arial"/>
          <w:i/>
          <w:iCs/>
          <w:sz w:val="24"/>
          <w:szCs w:val="24"/>
        </w:rPr>
        <w:t>A digital representation of value or contractual rights that can be transferred, stored or traded electronically. Crypto assets use cryptography, distributed ledger technology or other technology to provide features such as security and pseudo-anonymity”.</w:t>
      </w:r>
    </w:p>
    <w:p w14:paraId="18ABEE9F" w14:textId="1F383C48" w:rsidR="00A81BC7" w:rsidRDefault="00E30074" w:rsidP="00750131">
      <w:pPr>
        <w:rPr>
          <w:rFonts w:ascii="Arial" w:hAnsi="Arial" w:cs="Arial"/>
          <w:b/>
          <w:bCs/>
          <w:sz w:val="24"/>
          <w:szCs w:val="24"/>
        </w:rPr>
      </w:pPr>
      <w:r w:rsidRPr="53A0D1A0">
        <w:rPr>
          <w:rFonts w:ascii="Arial" w:hAnsi="Arial" w:cs="Arial"/>
          <w:sz w:val="24"/>
          <w:szCs w:val="24"/>
        </w:rPr>
        <w:t>C</w:t>
      </w:r>
      <w:r w:rsidR="00A81BC7" w:rsidRPr="53A0D1A0">
        <w:rPr>
          <w:rFonts w:ascii="Arial" w:hAnsi="Arial" w:cs="Arial"/>
          <w:sz w:val="24"/>
          <w:szCs w:val="24"/>
        </w:rPr>
        <w:t>rypto</w:t>
      </w:r>
      <w:r w:rsidR="00CE6FA9" w:rsidRPr="53A0D1A0">
        <w:rPr>
          <w:rFonts w:ascii="Arial" w:hAnsi="Arial" w:cs="Arial"/>
          <w:sz w:val="24"/>
          <w:szCs w:val="24"/>
        </w:rPr>
        <w:t xml:space="preserve"> </w:t>
      </w:r>
      <w:r w:rsidR="00A81BC7" w:rsidRPr="53A0D1A0">
        <w:rPr>
          <w:rFonts w:ascii="Arial" w:hAnsi="Arial" w:cs="Arial"/>
          <w:sz w:val="24"/>
          <w:szCs w:val="24"/>
        </w:rPr>
        <w:t>assets</w:t>
      </w:r>
      <w:r w:rsidRPr="53A0D1A0">
        <w:rPr>
          <w:rFonts w:ascii="Arial" w:hAnsi="Arial" w:cs="Arial"/>
          <w:sz w:val="24"/>
          <w:szCs w:val="24"/>
        </w:rPr>
        <w:t xml:space="preserve"> </w:t>
      </w:r>
      <w:r w:rsidR="00047B51" w:rsidRPr="53A0D1A0">
        <w:rPr>
          <w:rFonts w:ascii="Arial" w:hAnsi="Arial" w:cs="Arial"/>
          <w:sz w:val="24"/>
          <w:szCs w:val="24"/>
        </w:rPr>
        <w:t xml:space="preserve">are an asset with </w:t>
      </w:r>
      <w:r w:rsidR="00A81BC7" w:rsidRPr="53A0D1A0">
        <w:rPr>
          <w:rFonts w:ascii="Arial" w:hAnsi="Arial" w:cs="Arial"/>
          <w:sz w:val="24"/>
          <w:szCs w:val="24"/>
        </w:rPr>
        <w:t>a</w:t>
      </w:r>
      <w:r w:rsidR="00A81BC7" w:rsidRPr="53A0D1A0">
        <w:rPr>
          <w:rFonts w:ascii="Arial" w:hAnsi="Arial" w:cs="Arial"/>
          <w:b/>
          <w:bCs/>
          <w:sz w:val="24"/>
          <w:szCs w:val="24"/>
        </w:rPr>
        <w:t xml:space="preserve"> </w:t>
      </w:r>
      <w:r w:rsidR="00A81BC7" w:rsidRPr="53A0D1A0">
        <w:rPr>
          <w:rFonts w:ascii="Arial" w:hAnsi="Arial" w:cs="Arial"/>
          <w:sz w:val="24"/>
          <w:szCs w:val="24"/>
        </w:rPr>
        <w:t>digital representation and use cryptography or distributed ledger technology (</w:t>
      </w:r>
      <w:r w:rsidR="00A81BC7" w:rsidRPr="53A0D1A0">
        <w:rPr>
          <w:rFonts w:ascii="Arial" w:hAnsi="Arial" w:cs="Arial"/>
          <w:b/>
          <w:bCs/>
          <w:sz w:val="24"/>
          <w:szCs w:val="24"/>
        </w:rPr>
        <w:t>DLT</w:t>
      </w:r>
      <w:r w:rsidR="00A81BC7" w:rsidRPr="53A0D1A0">
        <w:rPr>
          <w:rFonts w:ascii="Arial" w:hAnsi="Arial" w:cs="Arial"/>
          <w:sz w:val="24"/>
          <w:szCs w:val="24"/>
        </w:rPr>
        <w:t>).</w:t>
      </w:r>
      <w:r w:rsidR="00A81BC7" w:rsidRPr="53A0D1A0">
        <w:rPr>
          <w:rFonts w:ascii="Arial" w:hAnsi="Arial" w:cs="Arial"/>
          <w:b/>
          <w:bCs/>
          <w:sz w:val="24"/>
          <w:szCs w:val="24"/>
        </w:rPr>
        <w:t xml:space="preserve"> </w:t>
      </w:r>
    </w:p>
    <w:p w14:paraId="5495BBAC" w14:textId="77777777" w:rsidR="002204FB" w:rsidRDefault="002204FB" w:rsidP="002204FB">
      <w:pPr>
        <w:rPr>
          <w:rFonts w:ascii="Arial" w:hAnsi="Arial" w:cs="Arial"/>
          <w:b/>
          <w:bCs/>
          <w:sz w:val="24"/>
          <w:szCs w:val="24"/>
        </w:rPr>
      </w:pPr>
    </w:p>
    <w:p w14:paraId="4A52BFE0" w14:textId="272648C2" w:rsidR="00A81BC7" w:rsidRPr="0064012E" w:rsidRDefault="00750131" w:rsidP="002204FB">
      <w:pPr>
        <w:rPr>
          <w:rFonts w:ascii="Arial" w:hAnsi="Arial" w:cs="Arial"/>
          <w:b/>
          <w:bCs/>
          <w:i/>
          <w:iCs/>
          <w:sz w:val="24"/>
          <w:szCs w:val="24"/>
        </w:rPr>
      </w:pPr>
      <w:r w:rsidRPr="0064012E">
        <w:rPr>
          <w:rFonts w:ascii="Arial" w:hAnsi="Arial" w:cs="Arial"/>
          <w:b/>
          <w:bCs/>
          <w:i/>
          <w:iCs/>
          <w:sz w:val="24"/>
          <w:szCs w:val="24"/>
        </w:rPr>
        <w:t xml:space="preserve">What is </w:t>
      </w:r>
      <w:r w:rsidR="00A81BC7" w:rsidRPr="0064012E">
        <w:rPr>
          <w:rFonts w:ascii="Arial" w:hAnsi="Arial" w:cs="Arial"/>
          <w:b/>
          <w:bCs/>
          <w:i/>
          <w:iCs/>
          <w:sz w:val="24"/>
          <w:szCs w:val="24"/>
        </w:rPr>
        <w:t>Di</w:t>
      </w:r>
      <w:r w:rsidR="009E6F1A" w:rsidRPr="0064012E">
        <w:rPr>
          <w:rFonts w:ascii="Arial" w:hAnsi="Arial" w:cs="Arial"/>
          <w:b/>
          <w:bCs/>
          <w:i/>
          <w:iCs/>
          <w:sz w:val="24"/>
          <w:szCs w:val="24"/>
        </w:rPr>
        <w:t>stributed</w:t>
      </w:r>
      <w:r w:rsidR="00A81BC7" w:rsidRPr="0064012E">
        <w:rPr>
          <w:rFonts w:ascii="Arial" w:hAnsi="Arial" w:cs="Arial"/>
          <w:b/>
          <w:bCs/>
          <w:i/>
          <w:iCs/>
          <w:sz w:val="24"/>
          <w:szCs w:val="24"/>
        </w:rPr>
        <w:t xml:space="preserve"> Ledger Technology</w:t>
      </w:r>
      <w:r w:rsidRPr="0064012E">
        <w:rPr>
          <w:rFonts w:ascii="Arial" w:hAnsi="Arial" w:cs="Arial"/>
          <w:b/>
          <w:bCs/>
          <w:i/>
          <w:iCs/>
          <w:sz w:val="24"/>
          <w:szCs w:val="24"/>
        </w:rPr>
        <w:t>?</w:t>
      </w:r>
      <w:r w:rsidR="00A81BC7" w:rsidRPr="0064012E">
        <w:rPr>
          <w:rFonts w:ascii="Arial" w:hAnsi="Arial" w:cs="Arial"/>
          <w:b/>
          <w:bCs/>
          <w:i/>
          <w:iCs/>
          <w:sz w:val="24"/>
          <w:szCs w:val="24"/>
        </w:rPr>
        <w:t xml:space="preserve"> </w:t>
      </w:r>
    </w:p>
    <w:p w14:paraId="1E45F45C" w14:textId="4811407D" w:rsidR="00A81BC7" w:rsidRPr="006D0FF2" w:rsidRDefault="00A81BC7" w:rsidP="006D0FF2">
      <w:pPr>
        <w:rPr>
          <w:rFonts w:ascii="Arial" w:hAnsi="Arial" w:cs="Arial"/>
          <w:color w:val="333333"/>
          <w:sz w:val="24"/>
          <w:szCs w:val="24"/>
          <w:shd w:val="clear" w:color="auto" w:fill="FFFFFF"/>
        </w:rPr>
      </w:pPr>
      <w:r w:rsidRPr="00865EB0">
        <w:rPr>
          <w:rFonts w:ascii="Arial" w:hAnsi="Arial" w:cs="Arial"/>
          <w:color w:val="333333"/>
          <w:sz w:val="24"/>
          <w:szCs w:val="24"/>
          <w:shd w:val="clear" w:color="auto" w:fill="FFFFFF"/>
        </w:rPr>
        <w:t>DLT is a type of technology that records and tracks data in a ‘distributed’ network. This means that multiple participants have secure and consistent access to information on the ledger. It is secured using cryptography</w:t>
      </w:r>
      <w:r w:rsidR="00865EB0">
        <w:rPr>
          <w:rFonts w:ascii="Arial" w:hAnsi="Arial" w:cs="Arial"/>
          <w:color w:val="333333"/>
          <w:sz w:val="24"/>
          <w:szCs w:val="24"/>
          <w:shd w:val="clear" w:color="auto" w:fill="FFFFFF"/>
        </w:rPr>
        <w:t xml:space="preserve">, a </w:t>
      </w:r>
      <w:r w:rsidRPr="00865EB0">
        <w:rPr>
          <w:rFonts w:ascii="Arial" w:hAnsi="Arial" w:cs="Arial"/>
          <w:color w:val="333333"/>
          <w:sz w:val="24"/>
          <w:szCs w:val="24"/>
          <w:shd w:val="clear" w:color="auto" w:fill="FFFFFF"/>
        </w:rPr>
        <w:t xml:space="preserve">complex set of mathematical algorithms. </w:t>
      </w:r>
      <w:r w:rsidRPr="00865EB0">
        <w:rPr>
          <w:rFonts w:ascii="Arial" w:hAnsi="Arial" w:cs="Arial"/>
          <w:sz w:val="24"/>
          <w:szCs w:val="24"/>
        </w:rPr>
        <w:t xml:space="preserve">The most common type of DLT is </w:t>
      </w:r>
      <w:r w:rsidR="5A42E7F7" w:rsidRPr="00865EB0">
        <w:rPr>
          <w:rFonts w:ascii="Arial" w:hAnsi="Arial" w:cs="Arial"/>
          <w:sz w:val="24"/>
          <w:szCs w:val="24"/>
        </w:rPr>
        <w:t>b</w:t>
      </w:r>
      <w:r w:rsidRPr="00865EB0">
        <w:rPr>
          <w:rFonts w:ascii="Arial" w:hAnsi="Arial" w:cs="Arial"/>
          <w:sz w:val="24"/>
          <w:szCs w:val="24"/>
        </w:rPr>
        <w:t xml:space="preserve">lockchain. </w:t>
      </w:r>
    </w:p>
    <w:p w14:paraId="7CBC2A43" w14:textId="656EC4FC" w:rsidR="00A81BC7" w:rsidRPr="0064012E" w:rsidRDefault="00A81BC7" w:rsidP="002204FB">
      <w:pPr>
        <w:rPr>
          <w:rFonts w:ascii="Arial" w:hAnsi="Arial" w:cs="Arial"/>
          <w:b/>
          <w:bCs/>
          <w:i/>
          <w:iCs/>
          <w:sz w:val="24"/>
          <w:szCs w:val="24"/>
          <w:lang w:val="en-US"/>
        </w:rPr>
      </w:pPr>
      <w:r w:rsidRPr="0064012E">
        <w:rPr>
          <w:rFonts w:ascii="Arial" w:hAnsi="Arial" w:cs="Arial"/>
          <w:b/>
          <w:bCs/>
          <w:i/>
          <w:iCs/>
          <w:sz w:val="24"/>
          <w:szCs w:val="24"/>
          <w:lang w:val="en-US"/>
        </w:rPr>
        <w:t xml:space="preserve">How does </w:t>
      </w:r>
      <w:r w:rsidR="005C3B73" w:rsidRPr="0064012E">
        <w:rPr>
          <w:rFonts w:ascii="Arial" w:hAnsi="Arial" w:cs="Arial"/>
          <w:b/>
          <w:bCs/>
          <w:i/>
          <w:iCs/>
          <w:sz w:val="24"/>
          <w:szCs w:val="24"/>
          <w:lang w:val="en-US"/>
        </w:rPr>
        <w:t xml:space="preserve">blockchain </w:t>
      </w:r>
      <w:r w:rsidRPr="0064012E">
        <w:rPr>
          <w:rFonts w:ascii="Arial" w:hAnsi="Arial" w:cs="Arial"/>
          <w:b/>
          <w:bCs/>
          <w:i/>
          <w:iCs/>
          <w:sz w:val="24"/>
          <w:szCs w:val="24"/>
          <w:lang w:val="en-US"/>
        </w:rPr>
        <w:t xml:space="preserve">work? </w:t>
      </w:r>
    </w:p>
    <w:p w14:paraId="59AE390F" w14:textId="77777777" w:rsidR="00A81BC7" w:rsidRPr="00374814" w:rsidRDefault="00A81BC7" w:rsidP="00374814">
      <w:pPr>
        <w:pStyle w:val="ListParagraph"/>
        <w:numPr>
          <w:ilvl w:val="0"/>
          <w:numId w:val="10"/>
        </w:numPr>
        <w:spacing w:after="0" w:line="240" w:lineRule="auto"/>
        <w:rPr>
          <w:rFonts w:ascii="Arial" w:hAnsi="Arial" w:cs="Arial"/>
          <w:color w:val="333333"/>
          <w:sz w:val="24"/>
          <w:szCs w:val="24"/>
          <w:u w:val="single"/>
          <w:shd w:val="clear" w:color="auto" w:fill="FFFFFF"/>
        </w:rPr>
      </w:pPr>
      <w:r w:rsidRPr="00374814">
        <w:rPr>
          <w:rFonts w:ascii="Arial" w:hAnsi="Arial" w:cs="Arial"/>
          <w:sz w:val="24"/>
          <w:szCs w:val="24"/>
        </w:rPr>
        <w:t xml:space="preserve">Every transaction gets sent to the network where it is checked by others in the network. If the transaction is verified, it will then be grouped into a ‘block’ with other transactions. Once the block is complete, it is given a unique hash as well as the hash from the previous block. </w:t>
      </w:r>
    </w:p>
    <w:p w14:paraId="0BCFE3DF" w14:textId="77777777" w:rsidR="00A81BC7" w:rsidRPr="00374814" w:rsidRDefault="00A81BC7" w:rsidP="00374814">
      <w:pPr>
        <w:pStyle w:val="ListParagraph"/>
        <w:numPr>
          <w:ilvl w:val="0"/>
          <w:numId w:val="10"/>
        </w:numPr>
        <w:spacing w:after="0" w:line="240" w:lineRule="auto"/>
        <w:rPr>
          <w:rFonts w:ascii="Arial" w:hAnsi="Arial" w:cs="Arial"/>
          <w:sz w:val="24"/>
          <w:szCs w:val="24"/>
        </w:rPr>
      </w:pPr>
      <w:r w:rsidRPr="00374814">
        <w:rPr>
          <w:rFonts w:ascii="Arial" w:hAnsi="Arial" w:cs="Arial"/>
          <w:sz w:val="24"/>
          <w:szCs w:val="24"/>
        </w:rPr>
        <w:t xml:space="preserve">The block is the connected to the previous block in a chain of data. The block links securely using the specific hash codes.  </w:t>
      </w:r>
    </w:p>
    <w:p w14:paraId="051500A7" w14:textId="7CCC5C86" w:rsidR="00A81BC7" w:rsidRPr="00374814" w:rsidRDefault="00A81BC7" w:rsidP="00374814">
      <w:pPr>
        <w:pStyle w:val="ListParagraph"/>
        <w:numPr>
          <w:ilvl w:val="0"/>
          <w:numId w:val="10"/>
        </w:numPr>
        <w:spacing w:after="0" w:line="240" w:lineRule="auto"/>
        <w:rPr>
          <w:rFonts w:ascii="Arial" w:hAnsi="Arial" w:cs="Arial"/>
          <w:sz w:val="24"/>
          <w:szCs w:val="24"/>
        </w:rPr>
      </w:pPr>
      <w:r w:rsidRPr="00374814">
        <w:rPr>
          <w:rFonts w:ascii="Arial" w:hAnsi="Arial" w:cs="Arial"/>
          <w:sz w:val="24"/>
          <w:szCs w:val="24"/>
        </w:rPr>
        <w:t>Once added to the chain, the block can</w:t>
      </w:r>
      <w:r w:rsidR="00D934E8">
        <w:rPr>
          <w:rFonts w:ascii="Arial" w:hAnsi="Arial" w:cs="Arial"/>
          <w:sz w:val="24"/>
          <w:szCs w:val="24"/>
        </w:rPr>
        <w:t>not</w:t>
      </w:r>
      <w:r w:rsidRPr="00374814">
        <w:rPr>
          <w:rFonts w:ascii="Arial" w:hAnsi="Arial" w:cs="Arial"/>
          <w:sz w:val="24"/>
          <w:szCs w:val="24"/>
        </w:rPr>
        <w:t xml:space="preserve"> be edited as any change to the block will create a new hash which won’t link to the previous block</w:t>
      </w:r>
      <w:r w:rsidR="00374814">
        <w:rPr>
          <w:rFonts w:ascii="Arial" w:hAnsi="Arial" w:cs="Arial"/>
          <w:sz w:val="24"/>
          <w:szCs w:val="24"/>
        </w:rPr>
        <w:t>.</w:t>
      </w:r>
    </w:p>
    <w:p w14:paraId="0D9A66D2" w14:textId="77777777" w:rsidR="00A81BC7" w:rsidRPr="008C3127" w:rsidRDefault="00A81BC7" w:rsidP="00A81BC7">
      <w:pPr>
        <w:pStyle w:val="ListParagraph"/>
        <w:spacing w:after="0" w:line="240" w:lineRule="auto"/>
        <w:ind w:left="1080"/>
        <w:rPr>
          <w:rFonts w:ascii="Arial" w:hAnsi="Arial" w:cs="Arial"/>
          <w:sz w:val="24"/>
          <w:szCs w:val="24"/>
        </w:rPr>
      </w:pPr>
    </w:p>
    <w:p w14:paraId="6D0E377D" w14:textId="661F99AB" w:rsidR="00A81BC7" w:rsidRPr="007C7252" w:rsidRDefault="005C3B73" w:rsidP="007C7252">
      <w:pPr>
        <w:pStyle w:val="ListParagraph"/>
        <w:numPr>
          <w:ilvl w:val="0"/>
          <w:numId w:val="9"/>
        </w:numPr>
        <w:spacing w:after="0" w:line="240" w:lineRule="auto"/>
        <w:rPr>
          <w:rFonts w:ascii="Arial" w:hAnsi="Arial" w:cs="Arial"/>
          <w:b/>
          <w:bCs/>
          <w:sz w:val="24"/>
          <w:szCs w:val="24"/>
        </w:rPr>
      </w:pPr>
      <w:r w:rsidRPr="007C7252">
        <w:rPr>
          <w:rFonts w:ascii="Arial" w:hAnsi="Arial" w:cs="Arial"/>
          <w:b/>
          <w:bCs/>
          <w:sz w:val="24"/>
          <w:szCs w:val="24"/>
        </w:rPr>
        <w:t xml:space="preserve">Crypto Assets and the </w:t>
      </w:r>
      <w:r w:rsidR="00A81BC7" w:rsidRPr="007C7252">
        <w:rPr>
          <w:rFonts w:ascii="Arial" w:hAnsi="Arial" w:cs="Arial"/>
          <w:b/>
          <w:bCs/>
          <w:sz w:val="24"/>
          <w:szCs w:val="24"/>
        </w:rPr>
        <w:t>Australian Regulatory Framework</w:t>
      </w:r>
    </w:p>
    <w:p w14:paraId="56D6B9ED" w14:textId="77777777" w:rsidR="00A81BC7" w:rsidRPr="008C3127" w:rsidRDefault="00A81BC7" w:rsidP="00A81BC7">
      <w:pPr>
        <w:pStyle w:val="ListParagraph"/>
        <w:spacing w:after="0" w:line="240" w:lineRule="auto"/>
        <w:ind w:left="360"/>
        <w:rPr>
          <w:rFonts w:ascii="Arial" w:hAnsi="Arial" w:cs="Arial"/>
          <w:b/>
          <w:bCs/>
          <w:sz w:val="24"/>
          <w:szCs w:val="24"/>
          <w:u w:val="single"/>
        </w:rPr>
      </w:pPr>
    </w:p>
    <w:p w14:paraId="31A9851B" w14:textId="1E9878B8" w:rsidR="00356301" w:rsidRDefault="00A81BC7" w:rsidP="00F070C0">
      <w:pPr>
        <w:rPr>
          <w:rFonts w:ascii="Arial" w:hAnsi="Arial" w:cs="Arial"/>
          <w:sz w:val="24"/>
          <w:szCs w:val="24"/>
        </w:rPr>
      </w:pPr>
      <w:r w:rsidRPr="00AB4FD0">
        <w:rPr>
          <w:rFonts w:ascii="Arial" w:hAnsi="Arial" w:cs="Arial"/>
          <w:sz w:val="24"/>
          <w:szCs w:val="24"/>
        </w:rPr>
        <w:t xml:space="preserve">The Australian </w:t>
      </w:r>
      <w:r w:rsidR="342AFA9C" w:rsidRPr="00AB4FD0">
        <w:rPr>
          <w:rFonts w:ascii="Arial" w:hAnsi="Arial" w:cs="Arial"/>
          <w:sz w:val="24"/>
          <w:szCs w:val="24"/>
        </w:rPr>
        <w:t>G</w:t>
      </w:r>
      <w:r w:rsidRPr="00AB4FD0">
        <w:rPr>
          <w:rFonts w:ascii="Arial" w:hAnsi="Arial" w:cs="Arial"/>
          <w:sz w:val="24"/>
          <w:szCs w:val="24"/>
        </w:rPr>
        <w:t xml:space="preserve">overnment </w:t>
      </w:r>
      <w:r w:rsidR="00374814">
        <w:rPr>
          <w:rFonts w:ascii="Arial" w:hAnsi="Arial" w:cs="Arial"/>
          <w:sz w:val="24"/>
          <w:szCs w:val="24"/>
        </w:rPr>
        <w:t xml:space="preserve">has expressed a commitment to </w:t>
      </w:r>
      <w:r w:rsidRPr="00AB4FD0">
        <w:rPr>
          <w:rFonts w:ascii="Arial" w:hAnsi="Arial" w:cs="Arial"/>
          <w:sz w:val="24"/>
          <w:szCs w:val="24"/>
        </w:rPr>
        <w:t>regulating crypto</w:t>
      </w:r>
      <w:r w:rsidR="00CE6FA9" w:rsidRPr="00AB4FD0">
        <w:rPr>
          <w:rFonts w:ascii="Arial" w:hAnsi="Arial" w:cs="Arial"/>
          <w:sz w:val="24"/>
          <w:szCs w:val="24"/>
        </w:rPr>
        <w:t xml:space="preserve"> </w:t>
      </w:r>
      <w:r w:rsidRPr="00AB4FD0">
        <w:rPr>
          <w:rFonts w:ascii="Arial" w:hAnsi="Arial" w:cs="Arial"/>
          <w:sz w:val="24"/>
          <w:szCs w:val="24"/>
        </w:rPr>
        <w:t>asset</w:t>
      </w:r>
      <w:r w:rsidR="00374814">
        <w:rPr>
          <w:rFonts w:ascii="Arial" w:hAnsi="Arial" w:cs="Arial"/>
          <w:sz w:val="24"/>
          <w:szCs w:val="24"/>
        </w:rPr>
        <w:t xml:space="preserve">s, </w:t>
      </w:r>
      <w:r w:rsidR="00F070C0">
        <w:rPr>
          <w:rFonts w:ascii="Arial" w:hAnsi="Arial" w:cs="Arial"/>
          <w:sz w:val="24"/>
          <w:szCs w:val="24"/>
        </w:rPr>
        <w:t xml:space="preserve">particularly in the areas of </w:t>
      </w:r>
      <w:r w:rsidRPr="00AB4FD0">
        <w:rPr>
          <w:rFonts w:ascii="Arial" w:hAnsi="Arial" w:cs="Arial"/>
          <w:sz w:val="24"/>
          <w:szCs w:val="24"/>
        </w:rPr>
        <w:t xml:space="preserve">financial integrity </w:t>
      </w:r>
      <w:r w:rsidR="00F070C0">
        <w:rPr>
          <w:rFonts w:ascii="Arial" w:hAnsi="Arial" w:cs="Arial"/>
          <w:sz w:val="24"/>
          <w:szCs w:val="24"/>
        </w:rPr>
        <w:t>and</w:t>
      </w:r>
      <w:r w:rsidRPr="00AB4FD0">
        <w:rPr>
          <w:rFonts w:ascii="Arial" w:hAnsi="Arial" w:cs="Arial"/>
          <w:sz w:val="24"/>
          <w:szCs w:val="24"/>
        </w:rPr>
        <w:t xml:space="preserve"> consumer protection. </w:t>
      </w:r>
      <w:r w:rsidRPr="00F070C0">
        <w:rPr>
          <w:rFonts w:ascii="Arial" w:hAnsi="Arial" w:cs="Arial"/>
          <w:sz w:val="24"/>
          <w:szCs w:val="24"/>
        </w:rPr>
        <w:t>As part of their commitment, the Australian Government has adopted a ‘token-mapping’ strategy</w:t>
      </w:r>
      <w:r w:rsidR="007447CF">
        <w:rPr>
          <w:rFonts w:ascii="Arial" w:hAnsi="Arial" w:cs="Arial"/>
          <w:sz w:val="24"/>
          <w:szCs w:val="24"/>
        </w:rPr>
        <w:t xml:space="preserve"> and flagged that token-mapping</w:t>
      </w:r>
      <w:r w:rsidRPr="00F070C0">
        <w:rPr>
          <w:rFonts w:ascii="Arial" w:hAnsi="Arial" w:cs="Arial"/>
          <w:sz w:val="24"/>
          <w:szCs w:val="24"/>
        </w:rPr>
        <w:t xml:space="preserve"> </w:t>
      </w:r>
      <w:r w:rsidR="008C1FFF" w:rsidRPr="008C1FFF">
        <w:rPr>
          <w:rFonts w:ascii="Arial" w:hAnsi="Arial" w:cs="Arial"/>
          <w:sz w:val="24"/>
          <w:szCs w:val="24"/>
        </w:rPr>
        <w:t>will inform future policy development by ensuring consistency in regulating economic activity, facilitate existing policy goals and allow responsible actors to innovate with the appropriate regulatory oversight.</w:t>
      </w:r>
      <w:r w:rsidR="008C1FFF">
        <w:rPr>
          <w:rStyle w:val="FootnoteReference"/>
          <w:rFonts w:ascii="Arial" w:hAnsi="Arial" w:cs="Arial"/>
          <w:sz w:val="24"/>
          <w:szCs w:val="24"/>
        </w:rPr>
        <w:footnoteReference w:id="1"/>
      </w:r>
    </w:p>
    <w:p w14:paraId="2F560C19" w14:textId="4F641FDE" w:rsidR="00A81BC7" w:rsidRPr="00F070C0" w:rsidRDefault="00A81BC7" w:rsidP="00F070C0">
      <w:pPr>
        <w:rPr>
          <w:rFonts w:ascii="Arial" w:hAnsi="Arial" w:cs="Arial"/>
          <w:b/>
          <w:bCs/>
          <w:sz w:val="24"/>
          <w:szCs w:val="24"/>
          <w:u w:val="single"/>
        </w:rPr>
      </w:pPr>
      <w:r w:rsidRPr="00F070C0">
        <w:rPr>
          <w:rFonts w:ascii="Arial" w:hAnsi="Arial" w:cs="Arial"/>
          <w:sz w:val="24"/>
          <w:szCs w:val="24"/>
        </w:rPr>
        <w:lastRenderedPageBreak/>
        <w:t xml:space="preserve">Token-mapping refers to the process of identifying key activities and functions of the </w:t>
      </w:r>
      <w:r w:rsidR="00CE6FA9" w:rsidRPr="00F070C0">
        <w:rPr>
          <w:rFonts w:ascii="Arial" w:hAnsi="Arial" w:cs="Arial"/>
          <w:sz w:val="24"/>
          <w:szCs w:val="24"/>
        </w:rPr>
        <w:t xml:space="preserve">crypto </w:t>
      </w:r>
      <w:r w:rsidRPr="00F070C0">
        <w:rPr>
          <w:rFonts w:ascii="Arial" w:hAnsi="Arial" w:cs="Arial"/>
          <w:sz w:val="24"/>
          <w:szCs w:val="24"/>
        </w:rPr>
        <w:t>ecosystem and mapping them against existing regulatory frameworks.</w:t>
      </w:r>
      <w:r w:rsidRPr="00F070C0">
        <w:rPr>
          <w:rFonts w:ascii="Arial" w:hAnsi="Arial" w:cs="Arial"/>
          <w:b/>
          <w:bCs/>
          <w:sz w:val="24"/>
          <w:szCs w:val="24"/>
        </w:rPr>
        <w:t xml:space="preserve"> </w:t>
      </w:r>
    </w:p>
    <w:p w14:paraId="07DD4554" w14:textId="7A9A1318" w:rsidR="00A81BC7" w:rsidRPr="00F070C0" w:rsidRDefault="00A81BC7" w:rsidP="00F070C0">
      <w:pPr>
        <w:rPr>
          <w:rFonts w:ascii="Arial" w:hAnsi="Arial" w:cs="Arial"/>
          <w:b/>
          <w:bCs/>
          <w:sz w:val="24"/>
          <w:szCs w:val="24"/>
        </w:rPr>
      </w:pPr>
      <w:r w:rsidRPr="00F070C0">
        <w:rPr>
          <w:rFonts w:ascii="Arial" w:hAnsi="Arial" w:cs="Arial"/>
          <w:sz w:val="24"/>
          <w:szCs w:val="24"/>
        </w:rPr>
        <w:t xml:space="preserve">The government </w:t>
      </w:r>
      <w:r w:rsidR="007B2D9E">
        <w:rPr>
          <w:rFonts w:ascii="Arial" w:hAnsi="Arial" w:cs="Arial"/>
          <w:sz w:val="24"/>
          <w:szCs w:val="24"/>
        </w:rPr>
        <w:t xml:space="preserve">has </w:t>
      </w:r>
      <w:r w:rsidRPr="00F070C0">
        <w:rPr>
          <w:rFonts w:ascii="Arial" w:hAnsi="Arial" w:cs="Arial"/>
          <w:sz w:val="24"/>
          <w:szCs w:val="24"/>
        </w:rPr>
        <w:t xml:space="preserve">identified that </w:t>
      </w:r>
      <w:r w:rsidR="007B2D9E">
        <w:rPr>
          <w:rFonts w:ascii="Arial" w:hAnsi="Arial" w:cs="Arial"/>
          <w:sz w:val="24"/>
          <w:szCs w:val="24"/>
        </w:rPr>
        <w:t xml:space="preserve">some </w:t>
      </w:r>
      <w:r w:rsidRPr="00F070C0">
        <w:rPr>
          <w:rFonts w:ascii="Arial" w:hAnsi="Arial" w:cs="Arial"/>
          <w:sz w:val="24"/>
          <w:szCs w:val="24"/>
        </w:rPr>
        <w:t>parts</w:t>
      </w:r>
      <w:r w:rsidR="007B2D9E">
        <w:rPr>
          <w:rFonts w:ascii="Arial" w:hAnsi="Arial" w:cs="Arial"/>
          <w:sz w:val="24"/>
          <w:szCs w:val="24"/>
        </w:rPr>
        <w:t xml:space="preserve"> </w:t>
      </w:r>
      <w:r w:rsidRPr="00F070C0">
        <w:rPr>
          <w:rFonts w:ascii="Arial" w:hAnsi="Arial" w:cs="Arial"/>
          <w:sz w:val="24"/>
          <w:szCs w:val="24"/>
        </w:rPr>
        <w:t xml:space="preserve">of the crypto ecosystem </w:t>
      </w:r>
      <w:r w:rsidR="007B2D9E">
        <w:rPr>
          <w:rFonts w:ascii="Arial" w:hAnsi="Arial" w:cs="Arial"/>
          <w:sz w:val="24"/>
          <w:szCs w:val="24"/>
        </w:rPr>
        <w:t xml:space="preserve">are </w:t>
      </w:r>
      <w:r w:rsidRPr="00F070C0">
        <w:rPr>
          <w:rFonts w:ascii="Arial" w:hAnsi="Arial" w:cs="Arial"/>
          <w:sz w:val="24"/>
          <w:szCs w:val="24"/>
        </w:rPr>
        <w:t xml:space="preserve">regulated under existing </w:t>
      </w:r>
      <w:r w:rsidR="007B2D9E">
        <w:rPr>
          <w:rFonts w:ascii="Arial" w:hAnsi="Arial" w:cs="Arial"/>
          <w:sz w:val="24"/>
          <w:szCs w:val="24"/>
        </w:rPr>
        <w:t xml:space="preserve">legal </w:t>
      </w:r>
      <w:r w:rsidRPr="00F070C0">
        <w:rPr>
          <w:rFonts w:ascii="Arial" w:hAnsi="Arial" w:cs="Arial"/>
          <w:sz w:val="24"/>
          <w:szCs w:val="24"/>
        </w:rPr>
        <w:t>provisions. Existing regulators and the applicable provisions are summarised below:</w:t>
      </w:r>
    </w:p>
    <w:p w14:paraId="4EB96C60" w14:textId="77777777" w:rsidR="00A81BC7" w:rsidRPr="001B652F" w:rsidRDefault="00A81BC7" w:rsidP="00F070C0">
      <w:pPr>
        <w:spacing w:after="0" w:line="240" w:lineRule="auto"/>
        <w:rPr>
          <w:rFonts w:ascii="Arial" w:hAnsi="Arial" w:cs="Arial"/>
          <w:b/>
          <w:bCs/>
          <w:i/>
          <w:iCs/>
          <w:sz w:val="24"/>
          <w:szCs w:val="24"/>
        </w:rPr>
      </w:pPr>
      <w:r w:rsidRPr="53A0D1A0">
        <w:rPr>
          <w:rFonts w:ascii="Arial" w:hAnsi="Arial" w:cs="Arial"/>
          <w:b/>
          <w:bCs/>
          <w:i/>
          <w:iCs/>
          <w:sz w:val="24"/>
          <w:szCs w:val="24"/>
        </w:rPr>
        <w:t>Australian Securities and Investments Commission (ASIC)</w:t>
      </w:r>
    </w:p>
    <w:p w14:paraId="2D3ADBF9" w14:textId="0968C589" w:rsidR="53A0D1A0" w:rsidRDefault="53A0D1A0" w:rsidP="53A0D1A0">
      <w:pPr>
        <w:spacing w:after="0" w:line="240" w:lineRule="auto"/>
        <w:rPr>
          <w:rFonts w:ascii="Arial" w:hAnsi="Arial" w:cs="Arial"/>
          <w:b/>
          <w:bCs/>
          <w:i/>
          <w:iCs/>
          <w:sz w:val="24"/>
          <w:szCs w:val="24"/>
        </w:rPr>
      </w:pPr>
    </w:p>
    <w:p w14:paraId="3FD4544F" w14:textId="23C72367" w:rsidR="001B652F" w:rsidRDefault="00A81BC7" w:rsidP="00F070C0">
      <w:pPr>
        <w:rPr>
          <w:rFonts w:ascii="Arial" w:hAnsi="Arial" w:cs="Arial"/>
          <w:sz w:val="24"/>
          <w:szCs w:val="24"/>
        </w:rPr>
      </w:pPr>
      <w:r w:rsidRPr="53A0D1A0">
        <w:rPr>
          <w:rFonts w:ascii="Arial" w:hAnsi="Arial" w:cs="Arial"/>
          <w:sz w:val="24"/>
          <w:szCs w:val="24"/>
        </w:rPr>
        <w:t xml:space="preserve">Entities </w:t>
      </w:r>
      <w:r w:rsidR="1349F59F" w:rsidRPr="53A0D1A0">
        <w:rPr>
          <w:rFonts w:ascii="Arial" w:hAnsi="Arial" w:cs="Arial"/>
          <w:sz w:val="24"/>
          <w:szCs w:val="24"/>
        </w:rPr>
        <w:t xml:space="preserve">that </w:t>
      </w:r>
      <w:r w:rsidRPr="53A0D1A0">
        <w:rPr>
          <w:rFonts w:ascii="Arial" w:hAnsi="Arial" w:cs="Arial"/>
          <w:sz w:val="24"/>
          <w:szCs w:val="24"/>
        </w:rPr>
        <w:t>provide financial products or services are required to hold an Australian Financial Services Licence (</w:t>
      </w:r>
      <w:r w:rsidRPr="53A0D1A0">
        <w:rPr>
          <w:rFonts w:ascii="Arial" w:hAnsi="Arial" w:cs="Arial"/>
          <w:b/>
          <w:bCs/>
          <w:sz w:val="24"/>
          <w:szCs w:val="24"/>
        </w:rPr>
        <w:t>AFSL</w:t>
      </w:r>
      <w:r w:rsidRPr="53A0D1A0">
        <w:rPr>
          <w:rFonts w:ascii="Arial" w:hAnsi="Arial" w:cs="Arial"/>
          <w:sz w:val="24"/>
          <w:szCs w:val="24"/>
        </w:rPr>
        <w:t xml:space="preserve">) and entities who operate a financial market in Australia need a Market Licence. </w:t>
      </w:r>
    </w:p>
    <w:p w14:paraId="3AB1A74C" w14:textId="14B900F5" w:rsidR="001B652F" w:rsidRDefault="00A81BC7" w:rsidP="00F070C0">
      <w:pPr>
        <w:rPr>
          <w:rFonts w:ascii="Arial" w:hAnsi="Arial" w:cs="Arial"/>
          <w:sz w:val="24"/>
          <w:szCs w:val="24"/>
        </w:rPr>
      </w:pPr>
      <w:r w:rsidRPr="001B652F">
        <w:rPr>
          <w:rFonts w:ascii="Arial" w:hAnsi="Arial" w:cs="Arial"/>
          <w:sz w:val="24"/>
          <w:szCs w:val="24"/>
        </w:rPr>
        <w:t>ASIC regulate</w:t>
      </w:r>
      <w:r w:rsidR="00F070C0">
        <w:rPr>
          <w:rFonts w:ascii="Arial" w:hAnsi="Arial" w:cs="Arial"/>
          <w:sz w:val="24"/>
          <w:szCs w:val="24"/>
        </w:rPr>
        <w:t>s</w:t>
      </w:r>
      <w:r w:rsidRPr="001B652F">
        <w:rPr>
          <w:rFonts w:ascii="Arial" w:hAnsi="Arial" w:cs="Arial"/>
          <w:sz w:val="24"/>
          <w:szCs w:val="24"/>
        </w:rPr>
        <w:t xml:space="preserve"> crypto assets </w:t>
      </w:r>
      <w:r w:rsidR="00F070C0">
        <w:rPr>
          <w:rFonts w:ascii="Arial" w:hAnsi="Arial" w:cs="Arial"/>
          <w:sz w:val="24"/>
          <w:szCs w:val="24"/>
        </w:rPr>
        <w:t xml:space="preserve">when </w:t>
      </w:r>
      <w:r w:rsidRPr="001B652F">
        <w:rPr>
          <w:rFonts w:ascii="Arial" w:hAnsi="Arial" w:cs="Arial"/>
          <w:sz w:val="24"/>
          <w:szCs w:val="24"/>
        </w:rPr>
        <w:t xml:space="preserve">they fall within the definition of a ‘financial product’. Whether a particular asset is considered a financial product depends on the individual characteristics of the asset. ASIC has released an </w:t>
      </w:r>
      <w:r w:rsidRPr="00690408">
        <w:rPr>
          <w:rFonts w:ascii="Arial" w:hAnsi="Arial" w:cs="Arial"/>
          <w:sz w:val="24"/>
          <w:szCs w:val="24"/>
        </w:rPr>
        <w:t>information sheet</w:t>
      </w:r>
      <w:r w:rsidRPr="001B652F">
        <w:rPr>
          <w:rFonts w:ascii="Arial" w:hAnsi="Arial" w:cs="Arial"/>
          <w:sz w:val="24"/>
          <w:szCs w:val="24"/>
        </w:rPr>
        <w:t xml:space="preserve"> to help entities navigate whether a digital asset offering is regulated as a financial product.</w:t>
      </w:r>
      <w:r w:rsidR="00B058D5">
        <w:rPr>
          <w:rStyle w:val="FootnoteReference"/>
          <w:rFonts w:ascii="Arial" w:hAnsi="Arial" w:cs="Arial"/>
          <w:sz w:val="24"/>
          <w:szCs w:val="24"/>
        </w:rPr>
        <w:footnoteReference w:id="2"/>
      </w:r>
      <w:r w:rsidRPr="001B652F">
        <w:rPr>
          <w:rFonts w:ascii="Arial" w:hAnsi="Arial" w:cs="Arial"/>
          <w:sz w:val="24"/>
          <w:szCs w:val="24"/>
        </w:rPr>
        <w:t xml:space="preserve"> ASIC has also released a </w:t>
      </w:r>
      <w:r w:rsidRPr="005B10ED">
        <w:rPr>
          <w:rFonts w:ascii="Arial" w:hAnsi="Arial" w:cs="Arial"/>
          <w:sz w:val="24"/>
          <w:szCs w:val="24"/>
        </w:rPr>
        <w:t>consultation paper</w:t>
      </w:r>
      <w:r w:rsidRPr="001B652F">
        <w:rPr>
          <w:rFonts w:ascii="Arial" w:hAnsi="Arial" w:cs="Arial"/>
          <w:sz w:val="24"/>
          <w:szCs w:val="24"/>
        </w:rPr>
        <w:t xml:space="preserve"> advising that Exchange Traded Products (</w:t>
      </w:r>
      <w:r w:rsidRPr="53A0D1A0">
        <w:rPr>
          <w:rFonts w:ascii="Arial" w:hAnsi="Arial" w:cs="Arial"/>
          <w:b/>
          <w:bCs/>
          <w:sz w:val="24"/>
          <w:szCs w:val="24"/>
        </w:rPr>
        <w:t>ETPs</w:t>
      </w:r>
      <w:r w:rsidRPr="001B652F">
        <w:rPr>
          <w:rFonts w:ascii="Arial" w:hAnsi="Arial" w:cs="Arial"/>
          <w:sz w:val="24"/>
          <w:szCs w:val="24"/>
        </w:rPr>
        <w:t>)</w:t>
      </w:r>
      <w:r w:rsidR="5632E7F1" w:rsidRPr="001B652F">
        <w:rPr>
          <w:rFonts w:ascii="Arial" w:hAnsi="Arial" w:cs="Arial"/>
          <w:sz w:val="24"/>
          <w:szCs w:val="24"/>
        </w:rPr>
        <w:t>,</w:t>
      </w:r>
      <w:r w:rsidRPr="001B652F">
        <w:rPr>
          <w:rFonts w:ascii="Arial" w:hAnsi="Arial" w:cs="Arial"/>
          <w:sz w:val="24"/>
          <w:szCs w:val="24"/>
        </w:rPr>
        <w:t xml:space="preserve"> which invest in crypto</w:t>
      </w:r>
      <w:r w:rsidR="00CE6FA9" w:rsidRPr="001B652F">
        <w:rPr>
          <w:rFonts w:ascii="Arial" w:hAnsi="Arial" w:cs="Arial"/>
          <w:sz w:val="24"/>
          <w:szCs w:val="24"/>
        </w:rPr>
        <w:t xml:space="preserve"> </w:t>
      </w:r>
      <w:r w:rsidRPr="001B652F">
        <w:rPr>
          <w:rFonts w:ascii="Arial" w:hAnsi="Arial" w:cs="Arial"/>
          <w:sz w:val="24"/>
          <w:szCs w:val="24"/>
        </w:rPr>
        <w:t>assets</w:t>
      </w:r>
      <w:r w:rsidR="5BEB877A" w:rsidRPr="001B652F">
        <w:rPr>
          <w:rFonts w:ascii="Arial" w:hAnsi="Arial" w:cs="Arial"/>
          <w:sz w:val="24"/>
          <w:szCs w:val="24"/>
        </w:rPr>
        <w:t>,</w:t>
      </w:r>
      <w:r w:rsidRPr="001B652F">
        <w:rPr>
          <w:rFonts w:ascii="Arial" w:hAnsi="Arial" w:cs="Arial"/>
          <w:sz w:val="24"/>
          <w:szCs w:val="24"/>
        </w:rPr>
        <w:t xml:space="preserve"> are classified as financial products and are regulated through ASIC.</w:t>
      </w:r>
      <w:r w:rsidR="00EF4A2C">
        <w:rPr>
          <w:rStyle w:val="FootnoteReference"/>
          <w:rFonts w:ascii="Arial" w:hAnsi="Arial" w:cs="Arial"/>
          <w:sz w:val="24"/>
          <w:szCs w:val="24"/>
        </w:rPr>
        <w:footnoteReference w:id="3"/>
      </w:r>
    </w:p>
    <w:p w14:paraId="51185C72" w14:textId="575AAEBA" w:rsidR="00A81BC7" w:rsidRPr="001B652F" w:rsidRDefault="00A81BC7" w:rsidP="00F070C0">
      <w:pPr>
        <w:rPr>
          <w:rFonts w:ascii="Arial" w:hAnsi="Arial" w:cs="Arial"/>
          <w:sz w:val="24"/>
          <w:szCs w:val="24"/>
        </w:rPr>
      </w:pPr>
      <w:r w:rsidRPr="53A0D1A0">
        <w:rPr>
          <w:rFonts w:ascii="Arial" w:hAnsi="Arial" w:cs="Arial"/>
          <w:sz w:val="24"/>
          <w:szCs w:val="24"/>
        </w:rPr>
        <w:t xml:space="preserve">Where </w:t>
      </w:r>
      <w:r w:rsidR="00CE6FA9" w:rsidRPr="53A0D1A0">
        <w:rPr>
          <w:rFonts w:ascii="Arial" w:hAnsi="Arial" w:cs="Arial"/>
          <w:sz w:val="24"/>
          <w:szCs w:val="24"/>
        </w:rPr>
        <w:t>crypto assets</w:t>
      </w:r>
      <w:r w:rsidRPr="53A0D1A0">
        <w:rPr>
          <w:rFonts w:ascii="Arial" w:hAnsi="Arial" w:cs="Arial"/>
          <w:sz w:val="24"/>
          <w:szCs w:val="24"/>
        </w:rPr>
        <w:t xml:space="preserve"> are considered a financial product, they require an AFSL and will be subject to all the obligations attached to the licence.</w:t>
      </w:r>
    </w:p>
    <w:p w14:paraId="3B9635D0" w14:textId="49A9B8F6" w:rsidR="00024D5E" w:rsidRDefault="00A81BC7" w:rsidP="00024D5E">
      <w:pPr>
        <w:rPr>
          <w:rFonts w:ascii="Arial" w:hAnsi="Arial" w:cs="Arial"/>
          <w:b/>
          <w:bCs/>
          <w:sz w:val="24"/>
          <w:szCs w:val="24"/>
        </w:rPr>
      </w:pPr>
      <w:r w:rsidRPr="001B652F">
        <w:rPr>
          <w:rFonts w:ascii="Arial" w:hAnsi="Arial" w:cs="Arial"/>
          <w:b/>
          <w:bCs/>
          <w:sz w:val="24"/>
          <w:szCs w:val="24"/>
        </w:rPr>
        <w:t xml:space="preserve">Example: </w:t>
      </w:r>
      <w:r w:rsidRPr="001B652F">
        <w:rPr>
          <w:rFonts w:ascii="Arial" w:hAnsi="Arial" w:cs="Arial"/>
          <w:b/>
          <w:bCs/>
          <w:i/>
          <w:iCs/>
          <w:sz w:val="24"/>
          <w:szCs w:val="24"/>
        </w:rPr>
        <w:t xml:space="preserve">Australian Securities and Investments Commission v Bit Trade Pty Ltd </w:t>
      </w:r>
      <w:r w:rsidR="0026732E">
        <w:rPr>
          <w:rFonts w:ascii="Arial" w:hAnsi="Arial" w:cs="Arial"/>
          <w:b/>
          <w:bCs/>
          <w:sz w:val="24"/>
          <w:szCs w:val="24"/>
        </w:rPr>
        <w:t>[</w:t>
      </w:r>
      <w:r w:rsidRPr="001B652F">
        <w:rPr>
          <w:rFonts w:ascii="Arial" w:hAnsi="Arial" w:cs="Arial"/>
          <w:b/>
          <w:bCs/>
          <w:sz w:val="24"/>
          <w:szCs w:val="24"/>
        </w:rPr>
        <w:t>2024</w:t>
      </w:r>
      <w:r w:rsidR="0026732E">
        <w:rPr>
          <w:rFonts w:ascii="Arial" w:hAnsi="Arial" w:cs="Arial"/>
          <w:b/>
          <w:bCs/>
          <w:sz w:val="24"/>
          <w:szCs w:val="24"/>
        </w:rPr>
        <w:t>]</w:t>
      </w:r>
      <w:r w:rsidRPr="001B652F">
        <w:rPr>
          <w:rFonts w:ascii="Arial" w:hAnsi="Arial" w:cs="Arial"/>
          <w:b/>
          <w:bCs/>
          <w:sz w:val="24"/>
          <w:szCs w:val="24"/>
        </w:rPr>
        <w:t xml:space="preserve"> </w:t>
      </w:r>
      <w:r w:rsidR="0026732E">
        <w:rPr>
          <w:rFonts w:ascii="Arial" w:hAnsi="Arial" w:cs="Arial"/>
          <w:b/>
          <w:bCs/>
          <w:sz w:val="24"/>
          <w:szCs w:val="24"/>
        </w:rPr>
        <w:t>FCA 953</w:t>
      </w:r>
    </w:p>
    <w:p w14:paraId="545E1EF9" w14:textId="1C8BFAD4" w:rsidR="001B652F" w:rsidRDefault="00A81BC7" w:rsidP="00024D5E">
      <w:pPr>
        <w:rPr>
          <w:rFonts w:ascii="Arial" w:hAnsi="Arial" w:cs="Arial"/>
          <w:sz w:val="24"/>
          <w:szCs w:val="24"/>
        </w:rPr>
      </w:pPr>
      <w:r w:rsidRPr="53A0D1A0">
        <w:rPr>
          <w:rFonts w:ascii="Arial" w:hAnsi="Arial" w:cs="Arial"/>
          <w:sz w:val="24"/>
          <w:szCs w:val="24"/>
        </w:rPr>
        <w:t>In August 2024, ASIC brought a successful case against a provider of a crypto</w:t>
      </w:r>
      <w:r w:rsidR="00CE6FA9" w:rsidRPr="53A0D1A0">
        <w:rPr>
          <w:rFonts w:ascii="Arial" w:hAnsi="Arial" w:cs="Arial"/>
          <w:sz w:val="24"/>
          <w:szCs w:val="24"/>
        </w:rPr>
        <w:t xml:space="preserve"> </w:t>
      </w:r>
      <w:r w:rsidRPr="53A0D1A0">
        <w:rPr>
          <w:rFonts w:ascii="Arial" w:hAnsi="Arial" w:cs="Arial"/>
          <w:sz w:val="24"/>
          <w:szCs w:val="24"/>
        </w:rPr>
        <w:t>asset exchange. Bit Trade P/L, who operate the Kraken crypto exchange, failed to comply with the design and distribution obligations required when offering a margin trading product. Bit Trade P/L was required to issue Target Market Determinations (</w:t>
      </w:r>
      <w:r w:rsidRPr="53A0D1A0">
        <w:rPr>
          <w:rFonts w:ascii="Arial" w:hAnsi="Arial" w:cs="Arial"/>
          <w:b/>
          <w:bCs/>
          <w:sz w:val="24"/>
          <w:szCs w:val="24"/>
        </w:rPr>
        <w:t>TMD</w:t>
      </w:r>
      <w:r w:rsidR="52A5DF41" w:rsidRPr="53A0D1A0">
        <w:rPr>
          <w:rFonts w:ascii="Arial" w:hAnsi="Arial" w:cs="Arial"/>
          <w:b/>
          <w:bCs/>
          <w:sz w:val="24"/>
          <w:szCs w:val="24"/>
        </w:rPr>
        <w:t>s</w:t>
      </w:r>
      <w:r w:rsidRPr="53A0D1A0">
        <w:rPr>
          <w:rFonts w:ascii="Arial" w:hAnsi="Arial" w:cs="Arial"/>
          <w:sz w:val="24"/>
          <w:szCs w:val="24"/>
        </w:rPr>
        <w:t xml:space="preserve">) to all retail customers before issuing the product. This is required to ensure that the product is appropriate for the consumer. </w:t>
      </w:r>
    </w:p>
    <w:p w14:paraId="2AB952FC" w14:textId="5C1CC00C" w:rsidR="00A81BC7" w:rsidRPr="00C43F01" w:rsidRDefault="00A81BC7" w:rsidP="00C43F01">
      <w:pPr>
        <w:rPr>
          <w:rFonts w:ascii="Arial" w:hAnsi="Arial" w:cs="Arial"/>
          <w:sz w:val="24"/>
          <w:szCs w:val="24"/>
        </w:rPr>
      </w:pPr>
      <w:r w:rsidRPr="53A0D1A0">
        <w:rPr>
          <w:rFonts w:ascii="Arial" w:hAnsi="Arial" w:cs="Arial"/>
          <w:sz w:val="24"/>
          <w:szCs w:val="24"/>
        </w:rPr>
        <w:t xml:space="preserve">The </w:t>
      </w:r>
      <w:r w:rsidR="002E03AA" w:rsidRPr="53A0D1A0">
        <w:rPr>
          <w:rFonts w:ascii="Arial" w:hAnsi="Arial" w:cs="Arial"/>
          <w:sz w:val="24"/>
          <w:szCs w:val="24"/>
        </w:rPr>
        <w:t xml:space="preserve">key </w:t>
      </w:r>
      <w:r w:rsidRPr="53A0D1A0">
        <w:rPr>
          <w:rFonts w:ascii="Arial" w:hAnsi="Arial" w:cs="Arial"/>
          <w:sz w:val="24"/>
          <w:szCs w:val="24"/>
        </w:rPr>
        <w:t xml:space="preserve">issue </w:t>
      </w:r>
      <w:r w:rsidR="002E03AA" w:rsidRPr="53A0D1A0">
        <w:rPr>
          <w:rFonts w:ascii="Arial" w:hAnsi="Arial" w:cs="Arial"/>
          <w:sz w:val="24"/>
          <w:szCs w:val="24"/>
        </w:rPr>
        <w:t xml:space="preserve">was </w:t>
      </w:r>
      <w:r w:rsidRPr="53A0D1A0">
        <w:rPr>
          <w:rFonts w:ascii="Arial" w:hAnsi="Arial" w:cs="Arial"/>
          <w:sz w:val="24"/>
          <w:szCs w:val="24"/>
        </w:rPr>
        <w:t>whether the Kraken Crypto Exchange was considered a financial product</w:t>
      </w:r>
      <w:r w:rsidR="08D8BB5A" w:rsidRPr="53A0D1A0">
        <w:rPr>
          <w:rFonts w:ascii="Arial" w:hAnsi="Arial" w:cs="Arial"/>
          <w:sz w:val="24"/>
          <w:szCs w:val="24"/>
        </w:rPr>
        <w:t>,</w:t>
      </w:r>
      <w:r w:rsidRPr="53A0D1A0">
        <w:rPr>
          <w:rFonts w:ascii="Arial" w:hAnsi="Arial" w:cs="Arial"/>
          <w:sz w:val="24"/>
          <w:szCs w:val="24"/>
        </w:rPr>
        <w:t xml:space="preserve"> which was required to issue TMDs. Some credit facilities are exempt from this obligation and Bit Trade P/L argued they were one of them. Ultimately, the case came down to whether Bit Trade offered ‘debt’ through their margin extension product. The </w:t>
      </w:r>
      <w:r w:rsidR="3306D3F2" w:rsidRPr="53A0D1A0">
        <w:rPr>
          <w:rFonts w:ascii="Arial" w:hAnsi="Arial" w:cs="Arial"/>
          <w:sz w:val="24"/>
          <w:szCs w:val="24"/>
        </w:rPr>
        <w:t xml:space="preserve">Federal </w:t>
      </w:r>
      <w:r w:rsidRPr="53A0D1A0">
        <w:rPr>
          <w:rFonts w:ascii="Arial" w:hAnsi="Arial" w:cs="Arial"/>
          <w:sz w:val="24"/>
          <w:szCs w:val="24"/>
        </w:rPr>
        <w:t xml:space="preserve">Court found that, regardless of whether consumers actually incurred debt, Bit Trade </w:t>
      </w:r>
      <w:r w:rsidR="015741C2" w:rsidRPr="53A0D1A0">
        <w:rPr>
          <w:rFonts w:ascii="Arial" w:hAnsi="Arial" w:cs="Arial"/>
          <w:sz w:val="24"/>
          <w:szCs w:val="24"/>
        </w:rPr>
        <w:t xml:space="preserve">P/L </w:t>
      </w:r>
      <w:r w:rsidRPr="53A0D1A0">
        <w:rPr>
          <w:rFonts w:ascii="Arial" w:hAnsi="Arial" w:cs="Arial"/>
          <w:sz w:val="24"/>
          <w:szCs w:val="24"/>
        </w:rPr>
        <w:t xml:space="preserve">offered </w:t>
      </w:r>
      <w:r w:rsidR="00C43F01" w:rsidRPr="53A0D1A0">
        <w:rPr>
          <w:rFonts w:ascii="Arial" w:hAnsi="Arial" w:cs="Arial"/>
          <w:sz w:val="24"/>
          <w:szCs w:val="24"/>
        </w:rPr>
        <w:t>a</w:t>
      </w:r>
      <w:r w:rsidRPr="53A0D1A0">
        <w:rPr>
          <w:rFonts w:ascii="Arial" w:hAnsi="Arial" w:cs="Arial"/>
          <w:sz w:val="24"/>
          <w:szCs w:val="24"/>
        </w:rPr>
        <w:t xml:space="preserve"> product where they </w:t>
      </w:r>
      <w:r w:rsidRPr="53A0D1A0">
        <w:rPr>
          <w:rFonts w:ascii="Arial" w:hAnsi="Arial" w:cs="Arial"/>
          <w:i/>
          <w:iCs/>
          <w:sz w:val="24"/>
          <w:szCs w:val="24"/>
        </w:rPr>
        <w:t>could</w:t>
      </w:r>
      <w:r w:rsidRPr="53A0D1A0">
        <w:rPr>
          <w:rFonts w:ascii="Arial" w:hAnsi="Arial" w:cs="Arial"/>
          <w:sz w:val="24"/>
          <w:szCs w:val="24"/>
        </w:rPr>
        <w:t xml:space="preserve"> incur debt and would need to issue TMDs. </w:t>
      </w:r>
      <w:r w:rsidR="00CE6FA9" w:rsidRPr="53A0D1A0">
        <w:rPr>
          <w:rFonts w:ascii="Arial" w:hAnsi="Arial" w:cs="Arial"/>
          <w:sz w:val="24"/>
          <w:szCs w:val="24"/>
        </w:rPr>
        <w:t>Therefore, Bit Trade was in breach of their obligations.</w:t>
      </w:r>
    </w:p>
    <w:p w14:paraId="554870AB" w14:textId="77777777" w:rsidR="00A81BC7" w:rsidRPr="00C43F01" w:rsidRDefault="00A81BC7" w:rsidP="0064012E">
      <w:pPr>
        <w:spacing w:after="0" w:line="240" w:lineRule="auto"/>
        <w:rPr>
          <w:rFonts w:ascii="Arial" w:hAnsi="Arial" w:cs="Arial"/>
          <w:b/>
          <w:bCs/>
          <w:i/>
          <w:iCs/>
          <w:sz w:val="24"/>
          <w:szCs w:val="24"/>
          <w:u w:val="single"/>
        </w:rPr>
      </w:pPr>
      <w:r w:rsidRPr="00C43F01">
        <w:rPr>
          <w:rFonts w:ascii="Arial" w:hAnsi="Arial" w:cs="Arial"/>
          <w:b/>
          <w:bCs/>
          <w:i/>
          <w:iCs/>
          <w:sz w:val="24"/>
          <w:szCs w:val="24"/>
        </w:rPr>
        <w:t>Australian Transaction Reports and Analysis Centre (AUSTRAC)</w:t>
      </w:r>
    </w:p>
    <w:p w14:paraId="57173F2A" w14:textId="2801A821" w:rsidR="00A81BC7" w:rsidRPr="0064012E" w:rsidRDefault="00A81BC7" w:rsidP="0064012E">
      <w:pPr>
        <w:rPr>
          <w:rFonts w:ascii="Arial" w:hAnsi="Arial" w:cs="Arial"/>
          <w:sz w:val="24"/>
          <w:szCs w:val="24"/>
        </w:rPr>
      </w:pPr>
      <w:r w:rsidRPr="53A0D1A0">
        <w:rPr>
          <w:rFonts w:ascii="Arial" w:hAnsi="Arial" w:cs="Arial"/>
          <w:sz w:val="24"/>
          <w:szCs w:val="24"/>
        </w:rPr>
        <w:t xml:space="preserve">Some digital asset businesses are required to register with AUSTRAC under the </w:t>
      </w:r>
      <w:r w:rsidRPr="53A0D1A0">
        <w:rPr>
          <w:rFonts w:ascii="Arial" w:hAnsi="Arial" w:cs="Arial"/>
          <w:i/>
          <w:iCs/>
          <w:sz w:val="24"/>
          <w:szCs w:val="24"/>
        </w:rPr>
        <w:t>Anti-Money Laundering and Counter Terrorism Financing Act 2006</w:t>
      </w:r>
      <w:r w:rsidR="00747E69" w:rsidRPr="53A0D1A0">
        <w:rPr>
          <w:rFonts w:ascii="Arial" w:hAnsi="Arial" w:cs="Arial"/>
          <w:i/>
          <w:iCs/>
          <w:sz w:val="24"/>
          <w:szCs w:val="24"/>
        </w:rPr>
        <w:t xml:space="preserve"> </w:t>
      </w:r>
      <w:r w:rsidR="00747E69" w:rsidRPr="53A0D1A0">
        <w:rPr>
          <w:rFonts w:ascii="Arial" w:hAnsi="Arial" w:cs="Arial"/>
          <w:sz w:val="24"/>
          <w:szCs w:val="24"/>
        </w:rPr>
        <w:t>(</w:t>
      </w:r>
      <w:proofErr w:type="spellStart"/>
      <w:r w:rsidR="00747E69" w:rsidRPr="53A0D1A0">
        <w:rPr>
          <w:rFonts w:ascii="Arial" w:hAnsi="Arial" w:cs="Arial"/>
          <w:sz w:val="24"/>
          <w:szCs w:val="24"/>
        </w:rPr>
        <w:t>Cth</w:t>
      </w:r>
      <w:proofErr w:type="spellEnd"/>
      <w:r w:rsidR="00747E69" w:rsidRPr="53A0D1A0">
        <w:rPr>
          <w:rFonts w:ascii="Arial" w:hAnsi="Arial" w:cs="Arial"/>
          <w:sz w:val="24"/>
          <w:szCs w:val="24"/>
        </w:rPr>
        <w:t>)</w:t>
      </w:r>
      <w:r w:rsidRPr="53A0D1A0">
        <w:rPr>
          <w:rFonts w:ascii="Arial" w:hAnsi="Arial" w:cs="Arial"/>
          <w:i/>
          <w:iCs/>
          <w:sz w:val="24"/>
          <w:szCs w:val="24"/>
        </w:rPr>
        <w:t>.</w:t>
      </w:r>
      <w:r w:rsidRPr="53A0D1A0">
        <w:rPr>
          <w:rFonts w:ascii="Arial" w:hAnsi="Arial" w:cs="Arial"/>
          <w:sz w:val="24"/>
          <w:szCs w:val="24"/>
        </w:rPr>
        <w:t xml:space="preserve"> The scope of this </w:t>
      </w:r>
      <w:r w:rsidR="00E5AEC6" w:rsidRPr="53A0D1A0">
        <w:rPr>
          <w:rFonts w:ascii="Arial" w:hAnsi="Arial" w:cs="Arial"/>
          <w:sz w:val="24"/>
          <w:szCs w:val="24"/>
        </w:rPr>
        <w:t>A</w:t>
      </w:r>
      <w:r w:rsidRPr="53A0D1A0">
        <w:rPr>
          <w:rFonts w:ascii="Arial" w:hAnsi="Arial" w:cs="Arial"/>
          <w:sz w:val="24"/>
          <w:szCs w:val="24"/>
        </w:rPr>
        <w:t xml:space="preserve">ct was expanded in 2018 to include regulation of digital currencies </w:t>
      </w:r>
      <w:r w:rsidRPr="53A0D1A0">
        <w:rPr>
          <w:rFonts w:ascii="Arial" w:hAnsi="Arial" w:cs="Arial"/>
          <w:sz w:val="24"/>
          <w:szCs w:val="24"/>
        </w:rPr>
        <w:lastRenderedPageBreak/>
        <w:t xml:space="preserve">exchanges, which includes cryptocurrency. Digital currency exchange providers must register with AUSTRAC and meet their reporting and compliance obligations.  </w:t>
      </w:r>
    </w:p>
    <w:p w14:paraId="6587E6C9" w14:textId="77777777" w:rsidR="00A81BC7" w:rsidRPr="008C3127" w:rsidRDefault="00A81BC7" w:rsidP="00A81BC7">
      <w:pPr>
        <w:pStyle w:val="ListParagraph"/>
        <w:rPr>
          <w:rFonts w:ascii="Arial" w:hAnsi="Arial" w:cs="Arial"/>
          <w:b/>
          <w:bCs/>
          <w:sz w:val="24"/>
          <w:szCs w:val="24"/>
          <w:u w:val="single"/>
        </w:rPr>
      </w:pPr>
    </w:p>
    <w:p w14:paraId="331EECFD" w14:textId="77777777" w:rsidR="001B40D9" w:rsidRDefault="001B40D9" w:rsidP="0064012E">
      <w:pPr>
        <w:rPr>
          <w:rFonts w:ascii="Arial" w:hAnsi="Arial" w:cs="Arial"/>
          <w:b/>
          <w:bCs/>
          <w:i/>
          <w:iCs/>
          <w:sz w:val="24"/>
          <w:szCs w:val="24"/>
        </w:rPr>
      </w:pPr>
      <w:r>
        <w:rPr>
          <w:rFonts w:ascii="Arial" w:hAnsi="Arial" w:cs="Arial"/>
          <w:b/>
          <w:bCs/>
          <w:i/>
          <w:iCs/>
          <w:sz w:val="24"/>
          <w:szCs w:val="24"/>
        </w:rPr>
        <w:t>Australian Taxation Office (ATO)</w:t>
      </w:r>
    </w:p>
    <w:p w14:paraId="63EC6CFA" w14:textId="2954FF42" w:rsidR="00A81BC7" w:rsidRPr="007C7252" w:rsidRDefault="00A81BC7" w:rsidP="007C7252">
      <w:pPr>
        <w:rPr>
          <w:rFonts w:ascii="Arial" w:hAnsi="Arial" w:cs="Arial"/>
          <w:sz w:val="24"/>
          <w:szCs w:val="24"/>
        </w:rPr>
      </w:pPr>
      <w:r w:rsidRPr="53A0D1A0">
        <w:rPr>
          <w:rFonts w:ascii="Arial" w:hAnsi="Arial" w:cs="Arial"/>
          <w:sz w:val="24"/>
          <w:szCs w:val="24"/>
        </w:rPr>
        <w:t xml:space="preserve">The </w:t>
      </w:r>
      <w:r w:rsidR="0064012E" w:rsidRPr="53A0D1A0">
        <w:rPr>
          <w:rFonts w:ascii="Arial" w:hAnsi="Arial" w:cs="Arial"/>
          <w:sz w:val="24"/>
          <w:szCs w:val="24"/>
        </w:rPr>
        <w:t>A</w:t>
      </w:r>
      <w:r w:rsidRPr="53A0D1A0">
        <w:rPr>
          <w:rFonts w:ascii="Arial" w:hAnsi="Arial" w:cs="Arial"/>
          <w:sz w:val="24"/>
          <w:szCs w:val="24"/>
        </w:rPr>
        <w:t xml:space="preserve">TO has provided </w:t>
      </w:r>
      <w:r w:rsidR="675CE689" w:rsidRPr="53A0D1A0">
        <w:rPr>
          <w:rFonts w:ascii="Arial" w:hAnsi="Arial" w:cs="Arial"/>
          <w:sz w:val="24"/>
          <w:szCs w:val="24"/>
        </w:rPr>
        <w:t>several</w:t>
      </w:r>
      <w:r w:rsidRPr="53A0D1A0">
        <w:rPr>
          <w:rFonts w:ascii="Arial" w:hAnsi="Arial" w:cs="Arial"/>
          <w:sz w:val="24"/>
          <w:szCs w:val="24"/>
        </w:rPr>
        <w:t xml:space="preserve"> different Tax Determinations to outline the tax treatment of crypto</w:t>
      </w:r>
      <w:r w:rsidR="13E60041" w:rsidRPr="53A0D1A0">
        <w:rPr>
          <w:rFonts w:ascii="Arial" w:hAnsi="Arial" w:cs="Arial"/>
          <w:sz w:val="24"/>
          <w:szCs w:val="24"/>
        </w:rPr>
        <w:t xml:space="preserve"> </w:t>
      </w:r>
      <w:r w:rsidRPr="53A0D1A0">
        <w:rPr>
          <w:rFonts w:ascii="Arial" w:hAnsi="Arial" w:cs="Arial"/>
          <w:sz w:val="24"/>
          <w:szCs w:val="24"/>
        </w:rPr>
        <w:t xml:space="preserve">assets. If the crypto asset is received as a ‘staking reward’, the value is to be included as </w:t>
      </w:r>
      <w:hyperlink r:id="rId8">
        <w:r w:rsidRPr="53A0D1A0">
          <w:rPr>
            <w:rStyle w:val="Hyperlink"/>
            <w:rFonts w:ascii="Arial" w:hAnsi="Arial" w:cs="Arial"/>
            <w:sz w:val="24"/>
            <w:szCs w:val="24"/>
          </w:rPr>
          <w:t>assessable income</w:t>
        </w:r>
      </w:hyperlink>
      <w:r w:rsidRPr="53A0D1A0">
        <w:rPr>
          <w:rFonts w:ascii="Arial" w:hAnsi="Arial" w:cs="Arial"/>
          <w:sz w:val="24"/>
          <w:szCs w:val="24"/>
        </w:rPr>
        <w:t xml:space="preserve">. However, crypto assets are more commonly used for investment purposes, which means the crypto assets will be considered a capital asset and </w:t>
      </w:r>
      <w:hyperlink r:id="rId9">
        <w:r w:rsidRPr="53A0D1A0">
          <w:rPr>
            <w:rStyle w:val="Hyperlink"/>
            <w:rFonts w:ascii="Arial" w:hAnsi="Arial" w:cs="Arial"/>
            <w:sz w:val="24"/>
            <w:szCs w:val="24"/>
          </w:rPr>
          <w:t>CGT provisions</w:t>
        </w:r>
      </w:hyperlink>
      <w:r w:rsidRPr="53A0D1A0">
        <w:rPr>
          <w:rFonts w:ascii="Arial" w:hAnsi="Arial" w:cs="Arial"/>
          <w:sz w:val="24"/>
          <w:szCs w:val="24"/>
        </w:rPr>
        <w:t xml:space="preserve"> will apply. </w:t>
      </w:r>
    </w:p>
    <w:p w14:paraId="001DB1D4" w14:textId="71245A4C" w:rsidR="00A81BC7" w:rsidRPr="0064012E" w:rsidRDefault="00A81BC7" w:rsidP="53A0D1A0">
      <w:pPr>
        <w:rPr>
          <w:rFonts w:ascii="Arial" w:hAnsi="Arial" w:cs="Arial"/>
          <w:b/>
          <w:bCs/>
          <w:i/>
          <w:iCs/>
          <w:sz w:val="24"/>
          <w:szCs w:val="24"/>
        </w:rPr>
      </w:pPr>
      <w:r w:rsidRPr="53A0D1A0">
        <w:rPr>
          <w:rFonts w:ascii="Arial" w:hAnsi="Arial" w:cs="Arial"/>
          <w:sz w:val="24"/>
          <w:szCs w:val="24"/>
        </w:rPr>
        <w:t xml:space="preserve">If a </w:t>
      </w:r>
      <w:hyperlink r:id="rId10" w:anchor="ato-Receivingcryptoassetsaspaymentforservices">
        <w:r w:rsidRPr="53A0D1A0">
          <w:rPr>
            <w:rStyle w:val="Hyperlink"/>
            <w:rFonts w:ascii="Arial" w:hAnsi="Arial" w:cs="Arial"/>
            <w:sz w:val="24"/>
            <w:szCs w:val="24"/>
          </w:rPr>
          <w:t>business accepts crypto assets as a form of payment</w:t>
        </w:r>
      </w:hyperlink>
      <w:r w:rsidRPr="53A0D1A0">
        <w:rPr>
          <w:rFonts w:ascii="Arial" w:hAnsi="Arial" w:cs="Arial"/>
          <w:sz w:val="24"/>
          <w:szCs w:val="24"/>
        </w:rPr>
        <w:t xml:space="preserve">, they must account for these transactions in the same way they would for fiat currency and ensure they comply with </w:t>
      </w:r>
      <w:r w:rsidR="31FF49C4" w:rsidRPr="53A0D1A0">
        <w:rPr>
          <w:rFonts w:ascii="Arial" w:hAnsi="Arial" w:cs="Arial"/>
          <w:sz w:val="24"/>
          <w:szCs w:val="24"/>
        </w:rPr>
        <w:t>g</w:t>
      </w:r>
      <w:r w:rsidRPr="53A0D1A0">
        <w:rPr>
          <w:rFonts w:ascii="Arial" w:hAnsi="Arial" w:cs="Arial"/>
          <w:sz w:val="24"/>
          <w:szCs w:val="24"/>
        </w:rPr>
        <w:t xml:space="preserve">oods and </w:t>
      </w:r>
      <w:r w:rsidR="340353F7" w:rsidRPr="53A0D1A0">
        <w:rPr>
          <w:rFonts w:ascii="Arial" w:hAnsi="Arial" w:cs="Arial"/>
          <w:sz w:val="24"/>
          <w:szCs w:val="24"/>
        </w:rPr>
        <w:t>s</w:t>
      </w:r>
      <w:r w:rsidRPr="53A0D1A0">
        <w:rPr>
          <w:rFonts w:ascii="Arial" w:hAnsi="Arial" w:cs="Arial"/>
          <w:sz w:val="24"/>
          <w:szCs w:val="24"/>
        </w:rPr>
        <w:t xml:space="preserve">ervices </w:t>
      </w:r>
      <w:r w:rsidR="7A7759A8" w:rsidRPr="53A0D1A0">
        <w:rPr>
          <w:rFonts w:ascii="Arial" w:hAnsi="Arial" w:cs="Arial"/>
          <w:sz w:val="24"/>
          <w:szCs w:val="24"/>
        </w:rPr>
        <w:t>t</w:t>
      </w:r>
      <w:r w:rsidRPr="53A0D1A0">
        <w:rPr>
          <w:rFonts w:ascii="Arial" w:hAnsi="Arial" w:cs="Arial"/>
          <w:sz w:val="24"/>
          <w:szCs w:val="24"/>
        </w:rPr>
        <w:t xml:space="preserve">ax obligations under the </w:t>
      </w:r>
      <w:r w:rsidRPr="53A0D1A0">
        <w:rPr>
          <w:rFonts w:ascii="Arial" w:hAnsi="Arial" w:cs="Arial"/>
          <w:i/>
          <w:iCs/>
          <w:sz w:val="24"/>
          <w:szCs w:val="24"/>
        </w:rPr>
        <w:t>A New Tax System (Goods and Services Tax) Act 1999</w:t>
      </w:r>
      <w:r w:rsidR="1F06850C" w:rsidRPr="53A0D1A0">
        <w:rPr>
          <w:rFonts w:ascii="Arial" w:hAnsi="Arial" w:cs="Arial"/>
          <w:sz w:val="24"/>
          <w:szCs w:val="24"/>
        </w:rPr>
        <w:t xml:space="preserve"> (</w:t>
      </w:r>
      <w:proofErr w:type="spellStart"/>
      <w:r w:rsidR="1F06850C" w:rsidRPr="53A0D1A0">
        <w:rPr>
          <w:rFonts w:ascii="Arial" w:hAnsi="Arial" w:cs="Arial"/>
          <w:sz w:val="24"/>
          <w:szCs w:val="24"/>
        </w:rPr>
        <w:t>Cth</w:t>
      </w:r>
      <w:proofErr w:type="spellEnd"/>
      <w:r w:rsidR="1F06850C" w:rsidRPr="53A0D1A0">
        <w:rPr>
          <w:rFonts w:ascii="Arial" w:hAnsi="Arial" w:cs="Arial"/>
          <w:sz w:val="24"/>
          <w:szCs w:val="24"/>
        </w:rPr>
        <w:t>)</w:t>
      </w:r>
      <w:r w:rsidRPr="53A0D1A0">
        <w:rPr>
          <w:rFonts w:ascii="Arial" w:hAnsi="Arial" w:cs="Arial"/>
          <w:sz w:val="24"/>
          <w:szCs w:val="24"/>
        </w:rPr>
        <w:t>.</w:t>
      </w:r>
      <w:r w:rsidRPr="53A0D1A0">
        <w:rPr>
          <w:rFonts w:ascii="Arial" w:hAnsi="Arial" w:cs="Arial"/>
          <w:b/>
          <w:bCs/>
          <w:i/>
          <w:iCs/>
          <w:sz w:val="24"/>
          <w:szCs w:val="24"/>
        </w:rPr>
        <w:t xml:space="preserve"> </w:t>
      </w:r>
    </w:p>
    <w:p w14:paraId="5C4EC11C" w14:textId="77777777" w:rsidR="00A81BC7" w:rsidRPr="007C7252" w:rsidRDefault="00A81BC7" w:rsidP="007C7252">
      <w:pPr>
        <w:rPr>
          <w:rFonts w:ascii="Arial" w:hAnsi="Arial" w:cs="Arial"/>
          <w:b/>
          <w:bCs/>
          <w:i/>
          <w:iCs/>
          <w:sz w:val="24"/>
          <w:szCs w:val="24"/>
        </w:rPr>
      </w:pPr>
    </w:p>
    <w:p w14:paraId="60C57117" w14:textId="48161B21" w:rsidR="001B652F" w:rsidRDefault="00A81BC7" w:rsidP="007C7252">
      <w:pPr>
        <w:pStyle w:val="ListParagraph"/>
        <w:numPr>
          <w:ilvl w:val="0"/>
          <w:numId w:val="9"/>
        </w:numPr>
        <w:spacing w:after="0" w:line="240" w:lineRule="auto"/>
        <w:rPr>
          <w:rFonts w:ascii="Arial" w:hAnsi="Arial" w:cs="Arial"/>
          <w:b/>
          <w:bCs/>
          <w:sz w:val="24"/>
          <w:szCs w:val="24"/>
        </w:rPr>
      </w:pPr>
      <w:r w:rsidRPr="007C7252">
        <w:rPr>
          <w:rFonts w:ascii="Arial" w:hAnsi="Arial" w:cs="Arial"/>
          <w:b/>
          <w:bCs/>
          <w:sz w:val="24"/>
          <w:szCs w:val="24"/>
        </w:rPr>
        <w:t xml:space="preserve">Proposed Regulatory Framework </w:t>
      </w:r>
    </w:p>
    <w:p w14:paraId="762FE9B9" w14:textId="77777777" w:rsidR="007C7252" w:rsidRPr="007C7252" w:rsidRDefault="007C7252" w:rsidP="007C7252">
      <w:pPr>
        <w:pStyle w:val="ListParagraph"/>
        <w:spacing w:after="0" w:line="240" w:lineRule="auto"/>
        <w:rPr>
          <w:rFonts w:ascii="Arial" w:hAnsi="Arial" w:cs="Arial"/>
          <w:b/>
          <w:bCs/>
          <w:sz w:val="24"/>
          <w:szCs w:val="24"/>
        </w:rPr>
      </w:pPr>
    </w:p>
    <w:p w14:paraId="7FA1F0D8" w14:textId="04C18EDE" w:rsidR="0064012E" w:rsidRDefault="00A81BC7" w:rsidP="0064012E">
      <w:pPr>
        <w:rPr>
          <w:rFonts w:ascii="Arial" w:hAnsi="Arial" w:cs="Arial"/>
          <w:b/>
          <w:bCs/>
          <w:sz w:val="24"/>
          <w:szCs w:val="24"/>
        </w:rPr>
      </w:pPr>
      <w:r w:rsidRPr="53A0D1A0">
        <w:rPr>
          <w:rFonts w:ascii="Arial" w:hAnsi="Arial" w:cs="Arial"/>
          <w:sz w:val="24"/>
          <w:szCs w:val="24"/>
        </w:rPr>
        <w:t xml:space="preserve">The </w:t>
      </w:r>
      <w:r w:rsidR="6FDEF71C" w:rsidRPr="53A0D1A0">
        <w:rPr>
          <w:rFonts w:ascii="Arial" w:hAnsi="Arial" w:cs="Arial"/>
          <w:sz w:val="24"/>
          <w:szCs w:val="24"/>
        </w:rPr>
        <w:t xml:space="preserve">Australian </w:t>
      </w:r>
      <w:r w:rsidRPr="53A0D1A0">
        <w:rPr>
          <w:rFonts w:ascii="Arial" w:hAnsi="Arial" w:cs="Arial"/>
          <w:sz w:val="24"/>
          <w:szCs w:val="24"/>
        </w:rPr>
        <w:t>Government has been working towards regulating crypto</w:t>
      </w:r>
      <w:r w:rsidR="00CE6FA9" w:rsidRPr="53A0D1A0">
        <w:rPr>
          <w:rFonts w:ascii="Arial" w:hAnsi="Arial" w:cs="Arial"/>
          <w:sz w:val="24"/>
          <w:szCs w:val="24"/>
        </w:rPr>
        <w:t xml:space="preserve"> </w:t>
      </w:r>
      <w:r w:rsidRPr="53A0D1A0">
        <w:rPr>
          <w:rFonts w:ascii="Arial" w:hAnsi="Arial" w:cs="Arial"/>
          <w:sz w:val="24"/>
          <w:szCs w:val="24"/>
        </w:rPr>
        <w:t xml:space="preserve">assets for some time. The </w:t>
      </w:r>
      <w:r w:rsidRPr="53A0D1A0">
        <w:rPr>
          <w:rFonts w:ascii="Arial" w:hAnsi="Arial" w:cs="Arial"/>
          <w:i/>
          <w:iCs/>
          <w:sz w:val="24"/>
          <w:szCs w:val="24"/>
        </w:rPr>
        <w:t>Digital Assets (Market Regulation) Bill 2023</w:t>
      </w:r>
      <w:r w:rsidRPr="53A0D1A0">
        <w:rPr>
          <w:rFonts w:ascii="Arial" w:hAnsi="Arial" w:cs="Arial"/>
          <w:b/>
          <w:bCs/>
          <w:i/>
          <w:iCs/>
          <w:sz w:val="24"/>
          <w:szCs w:val="24"/>
        </w:rPr>
        <w:t xml:space="preserve"> </w:t>
      </w:r>
      <w:r w:rsidR="51A51D1F" w:rsidRPr="53A0D1A0">
        <w:rPr>
          <w:rFonts w:ascii="Arial" w:hAnsi="Arial" w:cs="Arial"/>
          <w:sz w:val="24"/>
          <w:szCs w:val="24"/>
        </w:rPr>
        <w:t>(</w:t>
      </w:r>
      <w:proofErr w:type="spellStart"/>
      <w:r w:rsidR="51A51D1F" w:rsidRPr="53A0D1A0">
        <w:rPr>
          <w:rFonts w:ascii="Arial" w:hAnsi="Arial" w:cs="Arial"/>
          <w:sz w:val="24"/>
          <w:szCs w:val="24"/>
        </w:rPr>
        <w:t>Cth</w:t>
      </w:r>
      <w:proofErr w:type="spellEnd"/>
      <w:r w:rsidR="51A51D1F" w:rsidRPr="53A0D1A0">
        <w:rPr>
          <w:rFonts w:ascii="Arial" w:hAnsi="Arial" w:cs="Arial"/>
          <w:sz w:val="24"/>
          <w:szCs w:val="24"/>
        </w:rPr>
        <w:t xml:space="preserve">) </w:t>
      </w:r>
      <w:r w:rsidRPr="53A0D1A0">
        <w:rPr>
          <w:rFonts w:ascii="Arial" w:hAnsi="Arial" w:cs="Arial"/>
          <w:sz w:val="24"/>
          <w:szCs w:val="24"/>
        </w:rPr>
        <w:t xml:space="preserve">was introduced to </w:t>
      </w:r>
      <w:r w:rsidR="52E5B464" w:rsidRPr="53A0D1A0">
        <w:rPr>
          <w:rFonts w:ascii="Arial" w:hAnsi="Arial" w:cs="Arial"/>
          <w:sz w:val="24"/>
          <w:szCs w:val="24"/>
        </w:rPr>
        <w:t>P</w:t>
      </w:r>
      <w:r w:rsidRPr="53A0D1A0">
        <w:rPr>
          <w:rFonts w:ascii="Arial" w:hAnsi="Arial" w:cs="Arial"/>
          <w:sz w:val="24"/>
          <w:szCs w:val="24"/>
        </w:rPr>
        <w:t xml:space="preserve">arliament but was rejected in September 2023 in the Senate for lacking detail and certainty for investors. </w:t>
      </w:r>
    </w:p>
    <w:p w14:paraId="1CC3E215" w14:textId="5F9878E9" w:rsidR="0064012E" w:rsidRDefault="00A81BC7" w:rsidP="0064012E">
      <w:pPr>
        <w:rPr>
          <w:rFonts w:ascii="Arial" w:hAnsi="Arial" w:cs="Arial"/>
          <w:b/>
          <w:bCs/>
          <w:sz w:val="24"/>
          <w:szCs w:val="24"/>
        </w:rPr>
      </w:pPr>
      <w:r w:rsidRPr="0064012E">
        <w:rPr>
          <w:rFonts w:ascii="Arial" w:hAnsi="Arial" w:cs="Arial"/>
          <w:sz w:val="24"/>
          <w:szCs w:val="24"/>
        </w:rPr>
        <w:t xml:space="preserve">In October 2023, the </w:t>
      </w:r>
      <w:r w:rsidR="4E74C919" w:rsidRPr="0064012E">
        <w:rPr>
          <w:rFonts w:ascii="Arial" w:hAnsi="Arial" w:cs="Arial"/>
          <w:sz w:val="24"/>
          <w:szCs w:val="24"/>
        </w:rPr>
        <w:t>g</w:t>
      </w:r>
      <w:r w:rsidRPr="0064012E">
        <w:rPr>
          <w:rFonts w:ascii="Arial" w:hAnsi="Arial" w:cs="Arial"/>
          <w:sz w:val="24"/>
          <w:szCs w:val="24"/>
        </w:rPr>
        <w:t xml:space="preserve">overnment released a paper proposing new regulation for </w:t>
      </w:r>
      <w:r w:rsidRPr="53A0D1A0">
        <w:rPr>
          <w:rFonts w:ascii="Arial" w:hAnsi="Arial" w:cs="Arial"/>
          <w:sz w:val="24"/>
          <w:szCs w:val="24"/>
        </w:rPr>
        <w:t>Digital Asset Platforms</w:t>
      </w:r>
      <w:r w:rsidRPr="53A0D1A0">
        <w:rPr>
          <w:rFonts w:ascii="Arial" w:hAnsi="Arial" w:cs="Arial"/>
          <w:i/>
          <w:iCs/>
          <w:sz w:val="24"/>
          <w:szCs w:val="24"/>
        </w:rPr>
        <w:t>.</w:t>
      </w:r>
      <w:r w:rsidR="00690408" w:rsidRPr="005201AD">
        <w:rPr>
          <w:rStyle w:val="FootnoteReference"/>
          <w:rFonts w:ascii="Arial" w:hAnsi="Arial" w:cs="Arial"/>
          <w:sz w:val="24"/>
          <w:szCs w:val="24"/>
        </w:rPr>
        <w:footnoteReference w:id="4"/>
      </w:r>
      <w:r w:rsidRPr="005201AD">
        <w:rPr>
          <w:rFonts w:ascii="Arial" w:hAnsi="Arial" w:cs="Arial"/>
          <w:sz w:val="24"/>
          <w:szCs w:val="24"/>
        </w:rPr>
        <w:t xml:space="preserve"> </w:t>
      </w:r>
      <w:r w:rsidRPr="0064012E">
        <w:rPr>
          <w:rFonts w:ascii="Arial" w:hAnsi="Arial" w:cs="Arial"/>
          <w:sz w:val="24"/>
          <w:szCs w:val="24"/>
        </w:rPr>
        <w:t xml:space="preserve">They propose to regulate </w:t>
      </w:r>
      <w:r w:rsidR="00CE6FA9" w:rsidRPr="0064012E">
        <w:rPr>
          <w:rFonts w:ascii="Arial" w:hAnsi="Arial" w:cs="Arial"/>
          <w:sz w:val="24"/>
          <w:szCs w:val="24"/>
        </w:rPr>
        <w:t>crypto assets</w:t>
      </w:r>
      <w:r w:rsidRPr="0064012E">
        <w:rPr>
          <w:rFonts w:ascii="Arial" w:hAnsi="Arial" w:cs="Arial"/>
          <w:sz w:val="24"/>
          <w:szCs w:val="24"/>
        </w:rPr>
        <w:t xml:space="preserve"> using existing licencing frameworks. This is in line with the international recommendation that regulations should be consistent between traditional and emerging financial intermediaries.</w:t>
      </w:r>
    </w:p>
    <w:p w14:paraId="7462ADE1" w14:textId="6461F369" w:rsidR="00A81BC7" w:rsidRPr="0064012E" w:rsidRDefault="00A81BC7" w:rsidP="0064012E">
      <w:pPr>
        <w:rPr>
          <w:rFonts w:ascii="Arial" w:hAnsi="Arial" w:cs="Arial"/>
          <w:b/>
          <w:bCs/>
          <w:sz w:val="24"/>
          <w:szCs w:val="24"/>
        </w:rPr>
      </w:pPr>
      <w:r w:rsidRPr="53A0D1A0">
        <w:rPr>
          <w:rFonts w:ascii="Arial" w:hAnsi="Arial" w:cs="Arial"/>
          <w:sz w:val="24"/>
          <w:szCs w:val="24"/>
        </w:rPr>
        <w:t>This proposal involves introducing a new financial product, known as a ‘digital asset facility’ (</w:t>
      </w:r>
      <w:r w:rsidRPr="53A0D1A0">
        <w:rPr>
          <w:rFonts w:ascii="Arial" w:hAnsi="Arial" w:cs="Arial"/>
          <w:b/>
          <w:bCs/>
          <w:sz w:val="24"/>
          <w:szCs w:val="24"/>
        </w:rPr>
        <w:t>DAF</w:t>
      </w:r>
      <w:r w:rsidRPr="53A0D1A0">
        <w:rPr>
          <w:rFonts w:ascii="Arial" w:hAnsi="Arial" w:cs="Arial"/>
          <w:sz w:val="24"/>
          <w:szCs w:val="24"/>
        </w:rPr>
        <w:t xml:space="preserve">), which will cover digital asset custody arrangements as well as multi-function digital asset platforms that allow consumers to transfer and withdraw tokens. The proposal predominately focuses on ensuring providers of these products are licenced. </w:t>
      </w:r>
    </w:p>
    <w:p w14:paraId="3655B871" w14:textId="77777777" w:rsidR="00A81BC7" w:rsidRPr="0064012E" w:rsidRDefault="00A81BC7" w:rsidP="0064012E">
      <w:pPr>
        <w:rPr>
          <w:rFonts w:ascii="Arial" w:hAnsi="Arial" w:cs="Arial"/>
          <w:sz w:val="24"/>
          <w:szCs w:val="24"/>
        </w:rPr>
      </w:pPr>
      <w:r w:rsidRPr="0064012E">
        <w:rPr>
          <w:rFonts w:ascii="Arial" w:hAnsi="Arial" w:cs="Arial"/>
          <w:sz w:val="24"/>
          <w:szCs w:val="24"/>
        </w:rPr>
        <w:t xml:space="preserve">Given that the DAF will, itself, be considered a financial product, entities providing services in relation to DAFs will be required to hold an AFSL. Such entities include platform providers (entities who issue DAFs), brokers and dealers (who arrange for consumers to use the DAF), and financial advisors (given that they provide advice in respect of DAF). Their licence would require that these entities comply with the general obligations, financial requirements and other relevant obligations. These obligations cover general requirements such as having appropriate dispute resolution and risk management systems, and ensuring that they comply with </w:t>
      </w:r>
      <w:r w:rsidRPr="0064012E">
        <w:rPr>
          <w:rFonts w:ascii="Arial" w:hAnsi="Arial" w:cs="Arial"/>
          <w:sz w:val="24"/>
          <w:szCs w:val="24"/>
        </w:rPr>
        <w:lastRenderedPageBreak/>
        <w:t xml:space="preserve">Australian financial laws, but also cover more tailored requirements including solvency and positive net asset requirements.  </w:t>
      </w:r>
    </w:p>
    <w:p w14:paraId="2D7A5DF2" w14:textId="77777777" w:rsidR="00A81BC7" w:rsidRPr="008C3127" w:rsidRDefault="00A81BC7" w:rsidP="00A81BC7">
      <w:pPr>
        <w:rPr>
          <w:rFonts w:ascii="Arial" w:hAnsi="Arial" w:cs="Arial"/>
          <w:sz w:val="24"/>
          <w:szCs w:val="24"/>
        </w:rPr>
      </w:pPr>
    </w:p>
    <w:p w14:paraId="490DDD5B" w14:textId="77777777" w:rsidR="00A81BC7" w:rsidRPr="008C3127" w:rsidRDefault="00A81BC7" w:rsidP="00A81BC7">
      <w:pPr>
        <w:rPr>
          <w:rFonts w:ascii="Arial" w:hAnsi="Arial" w:cs="Arial"/>
          <w:sz w:val="24"/>
          <w:szCs w:val="24"/>
        </w:rPr>
      </w:pPr>
      <w:bookmarkStart w:id="0" w:name="subsection"/>
      <w:bookmarkEnd w:id="0"/>
    </w:p>
    <w:p w14:paraId="7954F8B4" w14:textId="77777777" w:rsidR="00A81BC7" w:rsidRPr="008C3127" w:rsidRDefault="00A81BC7" w:rsidP="00A81BC7">
      <w:pPr>
        <w:rPr>
          <w:rFonts w:ascii="Arial" w:hAnsi="Arial" w:cs="Arial"/>
          <w:sz w:val="24"/>
          <w:szCs w:val="24"/>
        </w:rPr>
      </w:pPr>
    </w:p>
    <w:p w14:paraId="4D3C7272" w14:textId="77777777" w:rsidR="00A81BC7" w:rsidRPr="008C3127" w:rsidRDefault="00A81BC7" w:rsidP="00A81BC7">
      <w:pPr>
        <w:rPr>
          <w:rFonts w:ascii="Arial" w:hAnsi="Arial" w:cs="Arial"/>
          <w:sz w:val="24"/>
          <w:szCs w:val="24"/>
        </w:rPr>
      </w:pPr>
    </w:p>
    <w:p w14:paraId="72D5FD27" w14:textId="77777777" w:rsidR="00A81BC7" w:rsidRPr="008C3127" w:rsidRDefault="00A81BC7">
      <w:pPr>
        <w:rPr>
          <w:rFonts w:ascii="Arial" w:hAnsi="Arial" w:cs="Arial"/>
          <w:i/>
          <w:iCs/>
          <w:sz w:val="24"/>
          <w:szCs w:val="24"/>
          <w:lang w:val="en-US"/>
        </w:rPr>
      </w:pPr>
    </w:p>
    <w:sectPr w:rsidR="00A81BC7" w:rsidRPr="008C31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954D8" w14:textId="77777777" w:rsidR="00977C1A" w:rsidRDefault="00977C1A" w:rsidP="00A81BC7">
      <w:pPr>
        <w:spacing w:after="0" w:line="240" w:lineRule="auto"/>
      </w:pPr>
      <w:r>
        <w:separator/>
      </w:r>
    </w:p>
  </w:endnote>
  <w:endnote w:type="continuationSeparator" w:id="0">
    <w:p w14:paraId="7F1FFFC0" w14:textId="77777777" w:rsidR="00977C1A" w:rsidRDefault="00977C1A" w:rsidP="00A81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802F6" w14:textId="77777777" w:rsidR="00977C1A" w:rsidRDefault="00977C1A" w:rsidP="00A81BC7">
      <w:pPr>
        <w:spacing w:after="0" w:line="240" w:lineRule="auto"/>
      </w:pPr>
      <w:r>
        <w:separator/>
      </w:r>
    </w:p>
  </w:footnote>
  <w:footnote w:type="continuationSeparator" w:id="0">
    <w:p w14:paraId="6A792A29" w14:textId="77777777" w:rsidR="00977C1A" w:rsidRDefault="00977C1A" w:rsidP="00A81BC7">
      <w:pPr>
        <w:spacing w:after="0" w:line="240" w:lineRule="auto"/>
      </w:pPr>
      <w:r>
        <w:continuationSeparator/>
      </w:r>
    </w:p>
  </w:footnote>
  <w:footnote w:id="1">
    <w:p w14:paraId="5B097D3D" w14:textId="4CE19537" w:rsidR="008C1FFF" w:rsidRPr="008C1FFF" w:rsidRDefault="008C1FFF" w:rsidP="0049306E">
      <w:pPr>
        <w:pStyle w:val="FootnoteText"/>
        <w:rPr>
          <w:lang w:val="en-US"/>
        </w:rPr>
      </w:pPr>
      <w:r>
        <w:rPr>
          <w:rStyle w:val="FootnoteReference"/>
        </w:rPr>
        <w:footnoteRef/>
      </w:r>
      <w:r>
        <w:t xml:space="preserve"> </w:t>
      </w:r>
      <w:r w:rsidR="00D54899">
        <w:t xml:space="preserve">Australian Government The Treasury, </w:t>
      </w:r>
      <w:r w:rsidR="00D54899">
        <w:rPr>
          <w:i/>
          <w:iCs/>
        </w:rPr>
        <w:t xml:space="preserve">Token-Mapping </w:t>
      </w:r>
      <w:r w:rsidR="0049306E">
        <w:t>(</w:t>
      </w:r>
      <w:r w:rsidR="00E30B83">
        <w:t xml:space="preserve">Consultation Paper, </w:t>
      </w:r>
      <w:r w:rsidR="0049306E" w:rsidRPr="0049306E">
        <w:t>Feb</w:t>
      </w:r>
      <w:r w:rsidR="0049306E">
        <w:t>ruary</w:t>
      </w:r>
      <w:r w:rsidR="0049306E" w:rsidRPr="0049306E">
        <w:t xml:space="preserve"> 2023</w:t>
      </w:r>
      <w:r w:rsidR="0049306E">
        <w:t xml:space="preserve">) </w:t>
      </w:r>
      <w:r w:rsidR="008B42F5">
        <w:t>&lt;</w:t>
      </w:r>
      <w:hyperlink r:id="rId1" w:history="1">
        <w:r w:rsidR="008B42F5" w:rsidRPr="00ED5F0E">
          <w:rPr>
            <w:rStyle w:val="Hyperlink"/>
          </w:rPr>
          <w:t>https://treasury.gov.au/sites/default/files/2023-02/c2023-341659-cp.pdf</w:t>
        </w:r>
      </w:hyperlink>
      <w:r w:rsidR="008B42F5">
        <w:t>&gt;</w:t>
      </w:r>
    </w:p>
  </w:footnote>
  <w:footnote w:id="2">
    <w:p w14:paraId="260DC84F" w14:textId="2DFCDB3E" w:rsidR="00B058D5" w:rsidRPr="00B058D5" w:rsidRDefault="00B058D5">
      <w:pPr>
        <w:pStyle w:val="FootnoteText"/>
        <w:rPr>
          <w:lang w:val="en-US"/>
        </w:rPr>
      </w:pPr>
      <w:r>
        <w:rPr>
          <w:rStyle w:val="FootnoteReference"/>
        </w:rPr>
        <w:footnoteRef/>
      </w:r>
      <w:r>
        <w:t xml:space="preserve"> </w:t>
      </w:r>
      <w:r>
        <w:rPr>
          <w:lang w:val="en-US"/>
        </w:rPr>
        <w:t>ASIC</w:t>
      </w:r>
      <w:r w:rsidRPr="003A5107">
        <w:rPr>
          <w:lang w:val="en-US"/>
        </w:rPr>
        <w:t xml:space="preserve">, </w:t>
      </w:r>
      <w:r w:rsidR="0060014E">
        <w:rPr>
          <w:i/>
          <w:iCs/>
          <w:lang w:val="en-US"/>
        </w:rPr>
        <w:t>Crypto</w:t>
      </w:r>
      <w:r w:rsidR="00893101">
        <w:rPr>
          <w:i/>
          <w:iCs/>
          <w:lang w:val="en-US"/>
        </w:rPr>
        <w:t>-a</w:t>
      </w:r>
      <w:r w:rsidR="0060014E">
        <w:rPr>
          <w:i/>
          <w:iCs/>
          <w:lang w:val="en-US"/>
        </w:rPr>
        <w:t xml:space="preserve">ssets </w:t>
      </w:r>
      <w:r w:rsidR="003A5107" w:rsidRPr="003A5107">
        <w:t>(</w:t>
      </w:r>
      <w:r w:rsidR="0060014E" w:rsidRPr="0060014E">
        <w:t>Information Sheet 225</w:t>
      </w:r>
      <w:r w:rsidR="0060014E">
        <w:t>,</w:t>
      </w:r>
      <w:r w:rsidR="0060014E" w:rsidRPr="0060014E">
        <w:t xml:space="preserve"> </w:t>
      </w:r>
      <w:r w:rsidR="003A5107" w:rsidRPr="003A5107">
        <w:t>October 2021) &lt; https://asic.gov.au/regulatory-resources/digital-transformation/crypto-assets/#part-c&gt;.</w:t>
      </w:r>
    </w:p>
  </w:footnote>
  <w:footnote w:id="3">
    <w:p w14:paraId="7C472685" w14:textId="0317E940" w:rsidR="00EF4A2C" w:rsidRPr="00EF4A2C" w:rsidRDefault="00EF4A2C">
      <w:pPr>
        <w:pStyle w:val="FootnoteText"/>
        <w:rPr>
          <w:lang w:val="en-US"/>
        </w:rPr>
      </w:pPr>
      <w:r>
        <w:rPr>
          <w:rStyle w:val="FootnoteReference"/>
        </w:rPr>
        <w:footnoteRef/>
      </w:r>
      <w:r>
        <w:t xml:space="preserve"> </w:t>
      </w:r>
      <w:r w:rsidR="00946129">
        <w:t xml:space="preserve">ASIC, </w:t>
      </w:r>
      <w:r w:rsidR="00C00F74" w:rsidRPr="003A5107">
        <w:rPr>
          <w:i/>
          <w:iCs/>
        </w:rPr>
        <w:t>Crypto-assets as underlying assets for ETPs and other investment products</w:t>
      </w:r>
      <w:r w:rsidR="00C00F74">
        <w:t xml:space="preserve"> (Consultation Paper</w:t>
      </w:r>
      <w:r w:rsidR="00946129">
        <w:t xml:space="preserve"> 343, June 2021)</w:t>
      </w:r>
      <w:r w:rsidR="005B10ED">
        <w:t xml:space="preserve"> &lt;</w:t>
      </w:r>
      <w:r w:rsidR="005B10ED" w:rsidRPr="005B10ED">
        <w:t>https://download.asic.gov.au/media/yhbgvq02/cp343-published-30-june-2021.pdf</w:t>
      </w:r>
      <w:r w:rsidR="005B10ED">
        <w:t>&gt;.</w:t>
      </w:r>
    </w:p>
  </w:footnote>
  <w:footnote w:id="4">
    <w:p w14:paraId="0908A27D" w14:textId="244069F0" w:rsidR="00690408" w:rsidRPr="000C66DB" w:rsidRDefault="00690408">
      <w:pPr>
        <w:pStyle w:val="FootnoteText"/>
        <w:rPr>
          <w:b/>
          <w:bCs/>
        </w:rPr>
      </w:pPr>
      <w:r>
        <w:rPr>
          <w:rStyle w:val="FootnoteReference"/>
        </w:rPr>
        <w:footnoteRef/>
      </w:r>
      <w:r>
        <w:t xml:space="preserve"> </w:t>
      </w:r>
      <w:r w:rsidR="000C66DB">
        <w:t xml:space="preserve">Australian Government, </w:t>
      </w:r>
      <w:r w:rsidR="000C66DB" w:rsidRPr="000C66DB">
        <w:rPr>
          <w:i/>
          <w:iCs/>
        </w:rPr>
        <w:t>Regulating digital asset platforms</w:t>
      </w:r>
      <w:r w:rsidR="000C66DB">
        <w:rPr>
          <w:b/>
          <w:bCs/>
        </w:rPr>
        <w:t xml:space="preserve"> </w:t>
      </w:r>
      <w:r w:rsidR="000C66DB" w:rsidRPr="007F6750">
        <w:t>(Proposal Paper, October 2023)</w:t>
      </w:r>
      <w:r w:rsidR="007F6750" w:rsidRPr="007F6750">
        <w:t xml:space="preserve"> &lt;https://treasury.gov.au/sites/default/files/2023-10/c2023-427004-proposal-paper-finalised.pdf&gt;.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B555E"/>
    <w:multiLevelType w:val="hybridMultilevel"/>
    <w:tmpl w:val="AB6A8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401C76"/>
    <w:multiLevelType w:val="hybridMultilevel"/>
    <w:tmpl w:val="AAA86C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82932B0"/>
    <w:multiLevelType w:val="hybridMultilevel"/>
    <w:tmpl w:val="9978096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D884F4C"/>
    <w:multiLevelType w:val="hybridMultilevel"/>
    <w:tmpl w:val="959AB586"/>
    <w:lvl w:ilvl="0" w:tplc="E8EE7B20">
      <w:start w:val="1"/>
      <w:numFmt w:val="bullet"/>
      <w:lvlText w:val="•"/>
      <w:lvlJc w:val="left"/>
      <w:pPr>
        <w:ind w:left="720" w:hanging="360"/>
      </w:pPr>
      <w:rPr>
        <w:rFonts w:ascii="Symbol" w:eastAsia="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C9009E"/>
    <w:multiLevelType w:val="multilevel"/>
    <w:tmpl w:val="21AE926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58410B71"/>
    <w:multiLevelType w:val="hybridMultilevel"/>
    <w:tmpl w:val="12AEEC92"/>
    <w:lvl w:ilvl="0" w:tplc="1A80F292">
      <w:start w:val="1"/>
      <w:numFmt w:val="decimal"/>
      <w:lvlText w:val="%1."/>
      <w:lvlJc w:val="left"/>
      <w:pPr>
        <w:ind w:left="1080" w:hanging="360"/>
      </w:pPr>
      <w:rPr>
        <w:rFonts w:ascii="Times New Roman" w:eastAsiaTheme="minorHAnsi"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91227C8"/>
    <w:multiLevelType w:val="hybridMultilevel"/>
    <w:tmpl w:val="D5CC758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CD44D03"/>
    <w:multiLevelType w:val="multilevel"/>
    <w:tmpl w:val="553E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0E4025"/>
    <w:multiLevelType w:val="hybridMultilevel"/>
    <w:tmpl w:val="50CC2C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AAC6003"/>
    <w:multiLevelType w:val="hybridMultilevel"/>
    <w:tmpl w:val="53BE39AC"/>
    <w:lvl w:ilvl="0" w:tplc="0C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66894186">
    <w:abstractNumId w:val="1"/>
  </w:num>
  <w:num w:numId="2" w16cid:durableId="2056612081">
    <w:abstractNumId w:val="3"/>
  </w:num>
  <w:num w:numId="3" w16cid:durableId="592133553">
    <w:abstractNumId w:val="7"/>
  </w:num>
  <w:num w:numId="4" w16cid:durableId="267352060">
    <w:abstractNumId w:val="0"/>
  </w:num>
  <w:num w:numId="5" w16cid:durableId="1074164739">
    <w:abstractNumId w:val="6"/>
  </w:num>
  <w:num w:numId="6" w16cid:durableId="343559316">
    <w:abstractNumId w:val="4"/>
  </w:num>
  <w:num w:numId="7" w16cid:durableId="1285889960">
    <w:abstractNumId w:val="5"/>
  </w:num>
  <w:num w:numId="8" w16cid:durableId="1501309439">
    <w:abstractNumId w:val="2"/>
  </w:num>
  <w:num w:numId="9" w16cid:durableId="669255273">
    <w:abstractNumId w:val="8"/>
  </w:num>
  <w:num w:numId="10" w16cid:durableId="6315221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AA"/>
    <w:rsid w:val="00005002"/>
    <w:rsid w:val="000209E0"/>
    <w:rsid w:val="0002467D"/>
    <w:rsid w:val="00024D5E"/>
    <w:rsid w:val="00026834"/>
    <w:rsid w:val="00044E4C"/>
    <w:rsid w:val="00047B51"/>
    <w:rsid w:val="000549E1"/>
    <w:rsid w:val="0005660B"/>
    <w:rsid w:val="000C2FF7"/>
    <w:rsid w:val="000C3F80"/>
    <w:rsid w:val="000C66DB"/>
    <w:rsid w:val="001214CF"/>
    <w:rsid w:val="00154E93"/>
    <w:rsid w:val="001B40D9"/>
    <w:rsid w:val="001B652F"/>
    <w:rsid w:val="001B7796"/>
    <w:rsid w:val="002204FB"/>
    <w:rsid w:val="00257D78"/>
    <w:rsid w:val="002606AA"/>
    <w:rsid w:val="0026732E"/>
    <w:rsid w:val="002B6A5E"/>
    <w:rsid w:val="002C42A5"/>
    <w:rsid w:val="002D4836"/>
    <w:rsid w:val="002E03AA"/>
    <w:rsid w:val="00337259"/>
    <w:rsid w:val="00356301"/>
    <w:rsid w:val="00374814"/>
    <w:rsid w:val="003A5107"/>
    <w:rsid w:val="00413329"/>
    <w:rsid w:val="00467250"/>
    <w:rsid w:val="004872D6"/>
    <w:rsid w:val="0049306E"/>
    <w:rsid w:val="004A7B15"/>
    <w:rsid w:val="005201AD"/>
    <w:rsid w:val="00532EBA"/>
    <w:rsid w:val="005B10ED"/>
    <w:rsid w:val="005C3B73"/>
    <w:rsid w:val="005D22F2"/>
    <w:rsid w:val="005D3988"/>
    <w:rsid w:val="005E1672"/>
    <w:rsid w:val="0060014E"/>
    <w:rsid w:val="0062434D"/>
    <w:rsid w:val="00624485"/>
    <w:rsid w:val="006266EF"/>
    <w:rsid w:val="0063646C"/>
    <w:rsid w:val="0064012E"/>
    <w:rsid w:val="00643F15"/>
    <w:rsid w:val="00690408"/>
    <w:rsid w:val="006C2ECC"/>
    <w:rsid w:val="006D0B9E"/>
    <w:rsid w:val="006D0FF2"/>
    <w:rsid w:val="007447CF"/>
    <w:rsid w:val="00747E69"/>
    <w:rsid w:val="00750131"/>
    <w:rsid w:val="007B2D9E"/>
    <w:rsid w:val="007C7252"/>
    <w:rsid w:val="007F6750"/>
    <w:rsid w:val="008259C9"/>
    <w:rsid w:val="00865EB0"/>
    <w:rsid w:val="00893101"/>
    <w:rsid w:val="008B42F5"/>
    <w:rsid w:val="008C1FFF"/>
    <w:rsid w:val="008C3127"/>
    <w:rsid w:val="008E321D"/>
    <w:rsid w:val="00925268"/>
    <w:rsid w:val="00946129"/>
    <w:rsid w:val="009730E8"/>
    <w:rsid w:val="00973E56"/>
    <w:rsid w:val="00977C1A"/>
    <w:rsid w:val="0098674A"/>
    <w:rsid w:val="009B5960"/>
    <w:rsid w:val="009C0047"/>
    <w:rsid w:val="009D6153"/>
    <w:rsid w:val="009E6F1A"/>
    <w:rsid w:val="00A2393B"/>
    <w:rsid w:val="00A52867"/>
    <w:rsid w:val="00A61C71"/>
    <w:rsid w:val="00A63DD7"/>
    <w:rsid w:val="00A81BC7"/>
    <w:rsid w:val="00AA4740"/>
    <w:rsid w:val="00AB4FD0"/>
    <w:rsid w:val="00AC3CA4"/>
    <w:rsid w:val="00B03154"/>
    <w:rsid w:val="00B058D5"/>
    <w:rsid w:val="00B12979"/>
    <w:rsid w:val="00B40EA6"/>
    <w:rsid w:val="00B817CD"/>
    <w:rsid w:val="00B92F31"/>
    <w:rsid w:val="00BD7526"/>
    <w:rsid w:val="00C00F74"/>
    <w:rsid w:val="00C17F4A"/>
    <w:rsid w:val="00C43F01"/>
    <w:rsid w:val="00C65529"/>
    <w:rsid w:val="00CE6FA9"/>
    <w:rsid w:val="00D41CEF"/>
    <w:rsid w:val="00D54899"/>
    <w:rsid w:val="00D934E8"/>
    <w:rsid w:val="00DF3813"/>
    <w:rsid w:val="00E30074"/>
    <w:rsid w:val="00E30B83"/>
    <w:rsid w:val="00E5AEC6"/>
    <w:rsid w:val="00EF4A2C"/>
    <w:rsid w:val="00F070C0"/>
    <w:rsid w:val="00F21552"/>
    <w:rsid w:val="00F31719"/>
    <w:rsid w:val="00F35B5D"/>
    <w:rsid w:val="00F605D2"/>
    <w:rsid w:val="00FC2C82"/>
    <w:rsid w:val="015741C2"/>
    <w:rsid w:val="07806C15"/>
    <w:rsid w:val="08D8BB5A"/>
    <w:rsid w:val="11D99774"/>
    <w:rsid w:val="1349F59F"/>
    <w:rsid w:val="13E60041"/>
    <w:rsid w:val="15CEB6EC"/>
    <w:rsid w:val="1F06850C"/>
    <w:rsid w:val="1F6A2E00"/>
    <w:rsid w:val="1FBC5090"/>
    <w:rsid w:val="31FF49C4"/>
    <w:rsid w:val="3306D3F2"/>
    <w:rsid w:val="3322D0FE"/>
    <w:rsid w:val="340353F7"/>
    <w:rsid w:val="342AFA9C"/>
    <w:rsid w:val="4E74C919"/>
    <w:rsid w:val="4FE13C58"/>
    <w:rsid w:val="51146CDF"/>
    <w:rsid w:val="51A51D1F"/>
    <w:rsid w:val="52A5DF41"/>
    <w:rsid w:val="52E5B464"/>
    <w:rsid w:val="53A0D1A0"/>
    <w:rsid w:val="5632E7F1"/>
    <w:rsid w:val="563E4E5D"/>
    <w:rsid w:val="59E0A451"/>
    <w:rsid w:val="5A42E7F7"/>
    <w:rsid w:val="5BEB877A"/>
    <w:rsid w:val="5FE17040"/>
    <w:rsid w:val="675CE689"/>
    <w:rsid w:val="6F33DF0D"/>
    <w:rsid w:val="6FDEF71C"/>
    <w:rsid w:val="7431E2F7"/>
    <w:rsid w:val="7A7759A8"/>
    <w:rsid w:val="7A8D9244"/>
    <w:rsid w:val="7E5723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6BF3"/>
  <w15:chartTrackingRefBased/>
  <w15:docId w15:val="{BB2352BF-DEAE-489F-88C9-2FB895C9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6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06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06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06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6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606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06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06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6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6AA"/>
    <w:rPr>
      <w:rFonts w:eastAsiaTheme="majorEastAsia" w:cstheme="majorBidi"/>
      <w:color w:val="272727" w:themeColor="text1" w:themeTint="D8"/>
    </w:rPr>
  </w:style>
  <w:style w:type="paragraph" w:styleId="Title">
    <w:name w:val="Title"/>
    <w:basedOn w:val="Normal"/>
    <w:next w:val="Normal"/>
    <w:link w:val="TitleChar"/>
    <w:uiPriority w:val="10"/>
    <w:qFormat/>
    <w:rsid w:val="00260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6AA"/>
    <w:pPr>
      <w:spacing w:before="160"/>
      <w:jc w:val="center"/>
    </w:pPr>
    <w:rPr>
      <w:i/>
      <w:iCs/>
      <w:color w:val="404040" w:themeColor="text1" w:themeTint="BF"/>
    </w:rPr>
  </w:style>
  <w:style w:type="character" w:customStyle="1" w:styleId="QuoteChar">
    <w:name w:val="Quote Char"/>
    <w:basedOn w:val="DefaultParagraphFont"/>
    <w:link w:val="Quote"/>
    <w:uiPriority w:val="29"/>
    <w:rsid w:val="002606AA"/>
    <w:rPr>
      <w:i/>
      <w:iCs/>
      <w:color w:val="404040" w:themeColor="text1" w:themeTint="BF"/>
    </w:rPr>
  </w:style>
  <w:style w:type="paragraph" w:styleId="ListParagraph">
    <w:name w:val="List Paragraph"/>
    <w:basedOn w:val="Normal"/>
    <w:uiPriority w:val="34"/>
    <w:qFormat/>
    <w:rsid w:val="002606AA"/>
    <w:pPr>
      <w:ind w:left="720"/>
      <w:contextualSpacing/>
    </w:pPr>
  </w:style>
  <w:style w:type="character" w:styleId="IntenseEmphasis">
    <w:name w:val="Intense Emphasis"/>
    <w:basedOn w:val="DefaultParagraphFont"/>
    <w:uiPriority w:val="21"/>
    <w:qFormat/>
    <w:rsid w:val="002606AA"/>
    <w:rPr>
      <w:i/>
      <w:iCs/>
      <w:color w:val="2F5496" w:themeColor="accent1" w:themeShade="BF"/>
    </w:rPr>
  </w:style>
  <w:style w:type="paragraph" w:styleId="IntenseQuote">
    <w:name w:val="Intense Quote"/>
    <w:basedOn w:val="Normal"/>
    <w:next w:val="Normal"/>
    <w:link w:val="IntenseQuoteChar"/>
    <w:uiPriority w:val="30"/>
    <w:qFormat/>
    <w:rsid w:val="002606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6AA"/>
    <w:rPr>
      <w:i/>
      <w:iCs/>
      <w:color w:val="2F5496" w:themeColor="accent1" w:themeShade="BF"/>
    </w:rPr>
  </w:style>
  <w:style w:type="character" w:styleId="IntenseReference">
    <w:name w:val="Intense Reference"/>
    <w:basedOn w:val="DefaultParagraphFont"/>
    <w:uiPriority w:val="32"/>
    <w:qFormat/>
    <w:rsid w:val="002606AA"/>
    <w:rPr>
      <w:b/>
      <w:bCs/>
      <w:smallCaps/>
      <w:color w:val="2F5496" w:themeColor="accent1" w:themeShade="BF"/>
      <w:spacing w:val="5"/>
    </w:rPr>
  </w:style>
  <w:style w:type="table" w:styleId="TableGrid">
    <w:name w:val="Table Grid"/>
    <w:basedOn w:val="TableNormal"/>
    <w:uiPriority w:val="39"/>
    <w:rsid w:val="0026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3988"/>
    <w:rPr>
      <w:color w:val="0563C1" w:themeColor="hyperlink"/>
      <w:u w:val="single"/>
    </w:rPr>
  </w:style>
  <w:style w:type="character" w:styleId="UnresolvedMention">
    <w:name w:val="Unresolved Mention"/>
    <w:basedOn w:val="DefaultParagraphFont"/>
    <w:uiPriority w:val="99"/>
    <w:semiHidden/>
    <w:unhideWhenUsed/>
    <w:rsid w:val="005D3988"/>
    <w:rPr>
      <w:color w:val="605E5C"/>
      <w:shd w:val="clear" w:color="auto" w:fill="E1DFDD"/>
    </w:rPr>
  </w:style>
  <w:style w:type="character" w:styleId="FollowedHyperlink">
    <w:name w:val="FollowedHyperlink"/>
    <w:basedOn w:val="DefaultParagraphFont"/>
    <w:uiPriority w:val="99"/>
    <w:semiHidden/>
    <w:unhideWhenUsed/>
    <w:rsid w:val="000209E0"/>
    <w:rPr>
      <w:color w:val="954F72" w:themeColor="followedHyperlink"/>
      <w:u w:val="single"/>
    </w:rPr>
  </w:style>
  <w:style w:type="paragraph" w:styleId="NormalWeb">
    <w:name w:val="Normal (Web)"/>
    <w:basedOn w:val="Normal"/>
    <w:uiPriority w:val="99"/>
    <w:semiHidden/>
    <w:unhideWhenUsed/>
    <w:rsid w:val="00A81B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subsection">
    <w:name w:val="subsection"/>
    <w:basedOn w:val="Normal"/>
    <w:rsid w:val="00A81B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aragraph">
    <w:name w:val="paragraph"/>
    <w:basedOn w:val="Normal"/>
    <w:rsid w:val="00A81B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FootnoteText">
    <w:name w:val="footnote text"/>
    <w:basedOn w:val="Normal"/>
    <w:link w:val="FootnoteTextChar"/>
    <w:uiPriority w:val="99"/>
    <w:semiHidden/>
    <w:unhideWhenUsed/>
    <w:rsid w:val="00A81BC7"/>
    <w:pPr>
      <w:spacing w:after="0" w:line="240" w:lineRule="auto"/>
    </w:pPr>
    <w:rPr>
      <w:rFonts w:ascii="Times New Roman" w:eastAsia="Times New Roman" w:hAnsi="Times New Roman" w:cs="Times New Roman"/>
      <w:kern w:val="0"/>
      <w:sz w:val="20"/>
      <w:szCs w:val="20"/>
      <w:lang w:eastAsia="en-GB"/>
      <w14:ligatures w14:val="none"/>
    </w:rPr>
  </w:style>
  <w:style w:type="character" w:customStyle="1" w:styleId="FootnoteTextChar">
    <w:name w:val="Footnote Text Char"/>
    <w:basedOn w:val="DefaultParagraphFont"/>
    <w:link w:val="FootnoteText"/>
    <w:uiPriority w:val="99"/>
    <w:semiHidden/>
    <w:rsid w:val="00A81BC7"/>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A81BC7"/>
    <w:rPr>
      <w:vertAlign w:val="superscript"/>
    </w:rPr>
  </w:style>
  <w:style w:type="character" w:styleId="Strong">
    <w:name w:val="Strong"/>
    <w:basedOn w:val="DefaultParagraphFont"/>
    <w:uiPriority w:val="22"/>
    <w:qFormat/>
    <w:rsid w:val="00A81BC7"/>
    <w:rPr>
      <w:b/>
      <w:bCs/>
    </w:rPr>
  </w:style>
  <w:style w:type="paragraph" w:styleId="Header">
    <w:name w:val="header"/>
    <w:basedOn w:val="Normal"/>
    <w:link w:val="HeaderChar"/>
    <w:uiPriority w:val="99"/>
    <w:unhideWhenUsed/>
    <w:rsid w:val="00A81B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BC7"/>
  </w:style>
  <w:style w:type="paragraph" w:styleId="Footer">
    <w:name w:val="footer"/>
    <w:basedOn w:val="Normal"/>
    <w:link w:val="FooterChar"/>
    <w:uiPriority w:val="99"/>
    <w:unhideWhenUsed/>
    <w:rsid w:val="00A81B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1589">
      <w:bodyDiv w:val="1"/>
      <w:marLeft w:val="0"/>
      <w:marRight w:val="0"/>
      <w:marTop w:val="0"/>
      <w:marBottom w:val="0"/>
      <w:divBdr>
        <w:top w:val="none" w:sz="0" w:space="0" w:color="auto"/>
        <w:left w:val="none" w:sz="0" w:space="0" w:color="auto"/>
        <w:bottom w:val="none" w:sz="0" w:space="0" w:color="auto"/>
        <w:right w:val="none" w:sz="0" w:space="0" w:color="auto"/>
      </w:divBdr>
    </w:div>
    <w:div w:id="237133957">
      <w:bodyDiv w:val="1"/>
      <w:marLeft w:val="0"/>
      <w:marRight w:val="0"/>
      <w:marTop w:val="0"/>
      <w:marBottom w:val="0"/>
      <w:divBdr>
        <w:top w:val="none" w:sz="0" w:space="0" w:color="auto"/>
        <w:left w:val="none" w:sz="0" w:space="0" w:color="auto"/>
        <w:bottom w:val="none" w:sz="0" w:space="0" w:color="auto"/>
        <w:right w:val="none" w:sz="0" w:space="0" w:color="auto"/>
      </w:divBdr>
    </w:div>
    <w:div w:id="464928811">
      <w:bodyDiv w:val="1"/>
      <w:marLeft w:val="0"/>
      <w:marRight w:val="0"/>
      <w:marTop w:val="0"/>
      <w:marBottom w:val="0"/>
      <w:divBdr>
        <w:top w:val="none" w:sz="0" w:space="0" w:color="auto"/>
        <w:left w:val="none" w:sz="0" w:space="0" w:color="auto"/>
        <w:bottom w:val="none" w:sz="0" w:space="0" w:color="auto"/>
        <w:right w:val="none" w:sz="0" w:space="0" w:color="auto"/>
      </w:divBdr>
    </w:div>
    <w:div w:id="536704841">
      <w:bodyDiv w:val="1"/>
      <w:marLeft w:val="0"/>
      <w:marRight w:val="0"/>
      <w:marTop w:val="0"/>
      <w:marBottom w:val="0"/>
      <w:divBdr>
        <w:top w:val="none" w:sz="0" w:space="0" w:color="auto"/>
        <w:left w:val="none" w:sz="0" w:space="0" w:color="auto"/>
        <w:bottom w:val="none" w:sz="0" w:space="0" w:color="auto"/>
        <w:right w:val="none" w:sz="0" w:space="0" w:color="auto"/>
      </w:divBdr>
    </w:div>
    <w:div w:id="609701180">
      <w:bodyDiv w:val="1"/>
      <w:marLeft w:val="0"/>
      <w:marRight w:val="0"/>
      <w:marTop w:val="0"/>
      <w:marBottom w:val="0"/>
      <w:divBdr>
        <w:top w:val="none" w:sz="0" w:space="0" w:color="auto"/>
        <w:left w:val="none" w:sz="0" w:space="0" w:color="auto"/>
        <w:bottom w:val="none" w:sz="0" w:space="0" w:color="auto"/>
        <w:right w:val="none" w:sz="0" w:space="0" w:color="auto"/>
      </w:divBdr>
    </w:div>
    <w:div w:id="902713325">
      <w:bodyDiv w:val="1"/>
      <w:marLeft w:val="0"/>
      <w:marRight w:val="0"/>
      <w:marTop w:val="0"/>
      <w:marBottom w:val="0"/>
      <w:divBdr>
        <w:top w:val="none" w:sz="0" w:space="0" w:color="auto"/>
        <w:left w:val="none" w:sz="0" w:space="0" w:color="auto"/>
        <w:bottom w:val="none" w:sz="0" w:space="0" w:color="auto"/>
        <w:right w:val="none" w:sz="0" w:space="0" w:color="auto"/>
      </w:divBdr>
    </w:div>
    <w:div w:id="1157651570">
      <w:bodyDiv w:val="1"/>
      <w:marLeft w:val="0"/>
      <w:marRight w:val="0"/>
      <w:marTop w:val="0"/>
      <w:marBottom w:val="0"/>
      <w:divBdr>
        <w:top w:val="none" w:sz="0" w:space="0" w:color="auto"/>
        <w:left w:val="none" w:sz="0" w:space="0" w:color="auto"/>
        <w:bottom w:val="none" w:sz="0" w:space="0" w:color="auto"/>
        <w:right w:val="none" w:sz="0" w:space="0" w:color="auto"/>
      </w:divBdr>
    </w:div>
    <w:div w:id="1285504552">
      <w:bodyDiv w:val="1"/>
      <w:marLeft w:val="0"/>
      <w:marRight w:val="0"/>
      <w:marTop w:val="0"/>
      <w:marBottom w:val="0"/>
      <w:divBdr>
        <w:top w:val="none" w:sz="0" w:space="0" w:color="auto"/>
        <w:left w:val="none" w:sz="0" w:space="0" w:color="auto"/>
        <w:bottom w:val="none" w:sz="0" w:space="0" w:color="auto"/>
        <w:right w:val="none" w:sz="0" w:space="0" w:color="auto"/>
      </w:divBdr>
    </w:div>
    <w:div w:id="1362248468">
      <w:bodyDiv w:val="1"/>
      <w:marLeft w:val="0"/>
      <w:marRight w:val="0"/>
      <w:marTop w:val="0"/>
      <w:marBottom w:val="0"/>
      <w:divBdr>
        <w:top w:val="none" w:sz="0" w:space="0" w:color="auto"/>
        <w:left w:val="none" w:sz="0" w:space="0" w:color="auto"/>
        <w:bottom w:val="none" w:sz="0" w:space="0" w:color="auto"/>
        <w:right w:val="none" w:sz="0" w:space="0" w:color="auto"/>
      </w:divBdr>
    </w:div>
    <w:div w:id="1436901116">
      <w:bodyDiv w:val="1"/>
      <w:marLeft w:val="0"/>
      <w:marRight w:val="0"/>
      <w:marTop w:val="0"/>
      <w:marBottom w:val="0"/>
      <w:divBdr>
        <w:top w:val="none" w:sz="0" w:space="0" w:color="auto"/>
        <w:left w:val="none" w:sz="0" w:space="0" w:color="auto"/>
        <w:bottom w:val="none" w:sz="0" w:space="0" w:color="auto"/>
        <w:right w:val="none" w:sz="0" w:space="0" w:color="auto"/>
      </w:divBdr>
    </w:div>
    <w:div w:id="1686402217">
      <w:bodyDiv w:val="1"/>
      <w:marLeft w:val="0"/>
      <w:marRight w:val="0"/>
      <w:marTop w:val="0"/>
      <w:marBottom w:val="0"/>
      <w:divBdr>
        <w:top w:val="none" w:sz="0" w:space="0" w:color="auto"/>
        <w:left w:val="none" w:sz="0" w:space="0" w:color="auto"/>
        <w:bottom w:val="none" w:sz="0" w:space="0" w:color="auto"/>
        <w:right w:val="none" w:sz="0" w:space="0" w:color="auto"/>
      </w:divBdr>
    </w:div>
    <w:div w:id="1789351768">
      <w:bodyDiv w:val="1"/>
      <w:marLeft w:val="0"/>
      <w:marRight w:val="0"/>
      <w:marTop w:val="0"/>
      <w:marBottom w:val="0"/>
      <w:divBdr>
        <w:top w:val="none" w:sz="0" w:space="0" w:color="auto"/>
        <w:left w:val="none" w:sz="0" w:space="0" w:color="auto"/>
        <w:bottom w:val="none" w:sz="0" w:space="0" w:color="auto"/>
        <w:right w:val="none" w:sz="0" w:space="0" w:color="auto"/>
      </w:divBdr>
    </w:div>
    <w:div w:id="1856117165">
      <w:bodyDiv w:val="1"/>
      <w:marLeft w:val="0"/>
      <w:marRight w:val="0"/>
      <w:marTop w:val="0"/>
      <w:marBottom w:val="0"/>
      <w:divBdr>
        <w:top w:val="none" w:sz="0" w:space="0" w:color="auto"/>
        <w:left w:val="none" w:sz="0" w:space="0" w:color="auto"/>
        <w:bottom w:val="none" w:sz="0" w:space="0" w:color="auto"/>
        <w:right w:val="none" w:sz="0" w:space="0" w:color="auto"/>
      </w:divBdr>
    </w:div>
    <w:div w:id="1880582469">
      <w:bodyDiv w:val="1"/>
      <w:marLeft w:val="0"/>
      <w:marRight w:val="0"/>
      <w:marTop w:val="0"/>
      <w:marBottom w:val="0"/>
      <w:divBdr>
        <w:top w:val="none" w:sz="0" w:space="0" w:color="auto"/>
        <w:left w:val="none" w:sz="0" w:space="0" w:color="auto"/>
        <w:bottom w:val="none" w:sz="0" w:space="0" w:color="auto"/>
        <w:right w:val="none" w:sz="0" w:space="0" w:color="auto"/>
      </w:divBdr>
    </w:div>
    <w:div w:id="1919244172">
      <w:bodyDiv w:val="1"/>
      <w:marLeft w:val="0"/>
      <w:marRight w:val="0"/>
      <w:marTop w:val="0"/>
      <w:marBottom w:val="0"/>
      <w:divBdr>
        <w:top w:val="none" w:sz="0" w:space="0" w:color="auto"/>
        <w:left w:val="none" w:sz="0" w:space="0" w:color="auto"/>
        <w:bottom w:val="none" w:sz="0" w:space="0" w:color="auto"/>
        <w:right w:val="none" w:sz="0" w:space="0" w:color="auto"/>
      </w:divBdr>
    </w:div>
    <w:div w:id="1951008807">
      <w:bodyDiv w:val="1"/>
      <w:marLeft w:val="0"/>
      <w:marRight w:val="0"/>
      <w:marTop w:val="0"/>
      <w:marBottom w:val="0"/>
      <w:divBdr>
        <w:top w:val="none" w:sz="0" w:space="0" w:color="auto"/>
        <w:left w:val="none" w:sz="0" w:space="0" w:color="auto"/>
        <w:bottom w:val="none" w:sz="0" w:space="0" w:color="auto"/>
        <w:right w:val="none" w:sz="0" w:space="0" w:color="auto"/>
      </w:divBdr>
    </w:div>
    <w:div w:id="2008943650">
      <w:bodyDiv w:val="1"/>
      <w:marLeft w:val="0"/>
      <w:marRight w:val="0"/>
      <w:marTop w:val="0"/>
      <w:marBottom w:val="0"/>
      <w:divBdr>
        <w:top w:val="none" w:sz="0" w:space="0" w:color="auto"/>
        <w:left w:val="none" w:sz="0" w:space="0" w:color="auto"/>
        <w:bottom w:val="none" w:sz="0" w:space="0" w:color="auto"/>
        <w:right w:val="none" w:sz="0" w:space="0" w:color="auto"/>
      </w:divBdr>
    </w:div>
    <w:div w:id="20119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to.gov.au/individuals-and-families/investments-and-assets/crypto-asset-investments/transactions-acquiring-and-disposing-of-crypto-assets/staking-rewards-and-airdro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to.gov.au/businesses-and-organisations/income-deductions-and-concessions/income-and-deductions-for-business/crypto-assets-and-business/crypto-assets-used-in-business" TargetMode="External"/><Relationship Id="rId4" Type="http://schemas.openxmlformats.org/officeDocument/2006/relationships/settings" Target="settings.xml"/><Relationship Id="rId9" Type="http://schemas.openxmlformats.org/officeDocument/2006/relationships/hyperlink" Target="https://www.ato.gov.au/individuals-and-families/investments-and-assets/crypto-asset-investments/how-to-work-out-and-report-cgt-on-crypt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reasury.gov.au/sites/default/files/2023-02/c2023-341659-c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61B4F-CA21-4617-9BD0-689390B52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1218</Words>
  <Characters>6948</Characters>
  <Application>Microsoft Office Word</Application>
  <DocSecurity>0</DocSecurity>
  <Lines>57</Lines>
  <Paragraphs>16</Paragraphs>
  <ScaleCrop>false</ScaleCrop>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Hadley</dc:creator>
  <cp:keywords/>
  <dc:description/>
  <cp:lastModifiedBy>Marie Hadley</cp:lastModifiedBy>
  <cp:revision>66</cp:revision>
  <dcterms:created xsi:type="dcterms:W3CDTF">2025-01-11T02:31:00Z</dcterms:created>
  <dcterms:modified xsi:type="dcterms:W3CDTF">2025-01-14T02:49:00Z</dcterms:modified>
</cp:coreProperties>
</file>