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A9782A" w14:textId="77777777" w:rsidR="001F2F2F" w:rsidRPr="001F2F2F" w:rsidRDefault="001F2F2F" w:rsidP="00AA708D">
      <w:pPr>
        <w:spacing w:line="240" w:lineRule="auto"/>
        <w:rPr>
          <w:b/>
          <w:bCs/>
        </w:rPr>
      </w:pPr>
      <w:r w:rsidRPr="001F2F2F">
        <w:rPr>
          <w:b/>
          <w:bCs/>
        </w:rPr>
        <w:t>1. Smart Contracts and Blockchain Technology</w:t>
      </w:r>
    </w:p>
    <w:p w14:paraId="4B73C99C" w14:textId="77777777" w:rsidR="001F2F2F" w:rsidRPr="001F2F2F" w:rsidRDefault="001F2F2F" w:rsidP="00AA708D">
      <w:pPr>
        <w:spacing w:line="240" w:lineRule="auto"/>
        <w:rPr>
          <w:b/>
          <w:bCs/>
        </w:rPr>
      </w:pPr>
      <w:r w:rsidRPr="001F2F2F">
        <w:rPr>
          <w:b/>
          <w:bCs/>
        </w:rPr>
        <w:t>a. Introduction to Smart Contracts and Blockchain Technology</w:t>
      </w:r>
    </w:p>
    <w:p w14:paraId="7C73BBF4" w14:textId="481981D5" w:rsidR="001F2F2F" w:rsidRPr="001F2F2F" w:rsidRDefault="001F2F2F" w:rsidP="00AA708D">
      <w:pPr>
        <w:spacing w:line="240" w:lineRule="auto"/>
      </w:pPr>
      <w:r w:rsidRPr="001F2F2F">
        <w:t>A blockchain is a decentralised digital ledger that securely records transactions across a</w:t>
      </w:r>
      <w:r w:rsidR="00620ECB">
        <w:t xml:space="preserve"> </w:t>
      </w:r>
      <w:r w:rsidRPr="001F2F2F">
        <w:t>network of computers. Instead of storing data in a central location, it organises</w:t>
      </w:r>
      <w:r w:rsidR="00AA708D">
        <w:t xml:space="preserve"> </w:t>
      </w:r>
      <w:r w:rsidRPr="001F2F2F">
        <w:t>information and</w:t>
      </w:r>
      <w:r w:rsidR="00620ECB">
        <w:t xml:space="preserve"> </w:t>
      </w:r>
      <w:r w:rsidRPr="001F2F2F">
        <w:t xml:space="preserve">transactions into "blocks," which are linked together in a chronological "chain." </w:t>
      </w:r>
      <w:r>
        <w:t xml:space="preserve">Smart </w:t>
      </w:r>
      <w:r w:rsidR="3E8A33C8">
        <w:t>c</w:t>
      </w:r>
      <w:r>
        <w:t>ontracts build on this technology by utilising the blockchain to execute agreements or</w:t>
      </w:r>
      <w:r w:rsidR="00620ECB">
        <w:t xml:space="preserve"> </w:t>
      </w:r>
      <w:r>
        <w:t>transactions</w:t>
      </w:r>
      <w:r w:rsidR="00484224">
        <w:t xml:space="preserve"> instantly and securely</w:t>
      </w:r>
      <w:r>
        <w:t xml:space="preserve"> when certain conditions or instructions are met, adding a new layer of functionality</w:t>
      </w:r>
      <w:r w:rsidR="00620ECB">
        <w:t xml:space="preserve"> </w:t>
      </w:r>
      <w:r>
        <w:t xml:space="preserve">and efficiency. </w:t>
      </w:r>
      <w:r w:rsidR="00484224">
        <w:t xml:space="preserve">For example, if </w:t>
      </w:r>
      <w:r>
        <w:t>a smart contract could be set up</w:t>
      </w:r>
      <w:r w:rsidR="00620ECB">
        <w:t xml:space="preserve"> </w:t>
      </w:r>
      <w:r>
        <w:t>so that</w:t>
      </w:r>
      <w:r w:rsidR="00484224">
        <w:t xml:space="preserve"> </w:t>
      </w:r>
      <w:r>
        <w:t xml:space="preserve">as soon as you </w:t>
      </w:r>
      <w:r w:rsidR="00484224">
        <w:t>purchased concert tickets online, t</w:t>
      </w:r>
      <w:r>
        <w:t xml:space="preserve">he tickets </w:t>
      </w:r>
      <w:r w:rsidR="00484224">
        <w:t>were</w:t>
      </w:r>
      <w:r>
        <w:t xml:space="preserve"> automatically transferred to your digital</w:t>
      </w:r>
      <w:r w:rsidR="00620ECB">
        <w:t xml:space="preserve"> </w:t>
      </w:r>
      <w:r>
        <w:t xml:space="preserve">wallet. </w:t>
      </w:r>
    </w:p>
    <w:p w14:paraId="7D78AC35" w14:textId="77777777" w:rsidR="001F2F2F" w:rsidRPr="001F2F2F" w:rsidRDefault="001F2F2F" w:rsidP="00AA708D">
      <w:pPr>
        <w:spacing w:line="240" w:lineRule="auto"/>
        <w:rPr>
          <w:b/>
          <w:bCs/>
        </w:rPr>
      </w:pPr>
      <w:r w:rsidRPr="001F2F2F">
        <w:rPr>
          <w:b/>
          <w:bCs/>
        </w:rPr>
        <w:t>b. Australian Legal Framework and Regulation</w:t>
      </w:r>
    </w:p>
    <w:p w14:paraId="58FD380A" w14:textId="74FCD67A" w:rsidR="001F2F2F" w:rsidRPr="001F2F2F" w:rsidRDefault="001F2F2F" w:rsidP="00AA708D">
      <w:pPr>
        <w:spacing w:line="240" w:lineRule="auto"/>
      </w:pPr>
      <w:r>
        <w:t xml:space="preserve">In Australia, smart contracts are </w:t>
      </w:r>
      <w:r w:rsidR="008C1674">
        <w:t>regulated</w:t>
      </w:r>
      <w:r>
        <w:t xml:space="preserve"> under the </w:t>
      </w:r>
      <w:r w:rsidRPr="7A037609">
        <w:rPr>
          <w:i/>
          <w:iCs/>
        </w:rPr>
        <w:t>Electronic Transactions Act 1999</w:t>
      </w:r>
      <w:r>
        <w:t xml:space="preserve"> (Cth)</w:t>
      </w:r>
      <w:r w:rsidR="00620ECB">
        <w:t xml:space="preserve"> </w:t>
      </w:r>
      <w:r w:rsidR="70431F43">
        <w:t>(</w:t>
      </w:r>
      <w:r w:rsidRPr="7A037609">
        <w:rPr>
          <w:b/>
          <w:bCs/>
        </w:rPr>
        <w:t>ETA</w:t>
      </w:r>
      <w:r w:rsidR="770855C2">
        <w:t>)</w:t>
      </w:r>
      <w:r>
        <w:t>. The ETA ensures electronic contracts are treated similarly to traditional paper-based</w:t>
      </w:r>
      <w:r w:rsidR="00620ECB">
        <w:t xml:space="preserve"> </w:t>
      </w:r>
      <w:r w:rsidR="00302ACE">
        <w:t>contracts</w:t>
      </w:r>
      <w:r>
        <w:t>. For a smart contract to be legally valid in Australia, it must meet the conventional</w:t>
      </w:r>
      <w:r w:rsidR="00620ECB">
        <w:t xml:space="preserve"> </w:t>
      </w:r>
      <w:r>
        <w:t>criteria of a contract, such as intention, offer and acceptance, consideration and certainty.</w:t>
      </w:r>
      <w:r w:rsidR="00620ECB">
        <w:t xml:space="preserve"> </w:t>
      </w:r>
    </w:p>
    <w:p w14:paraId="7873985B" w14:textId="18301235" w:rsidR="001F2F2F" w:rsidRPr="001F2F2F" w:rsidRDefault="001F2F2F" w:rsidP="00AA708D">
      <w:pPr>
        <w:spacing w:line="240" w:lineRule="auto"/>
        <w:rPr>
          <w:b/>
          <w:bCs/>
        </w:rPr>
      </w:pPr>
      <w:r w:rsidRPr="001F2F2F">
        <w:rPr>
          <w:b/>
          <w:bCs/>
        </w:rPr>
        <w:t>c. Advantages and Disadvantages of Smart Contracts</w:t>
      </w:r>
    </w:p>
    <w:p w14:paraId="74419B65" w14:textId="335586B5" w:rsidR="001F2F2F" w:rsidRPr="001F2F2F" w:rsidRDefault="005C298F" w:rsidP="00AA708D">
      <w:pPr>
        <w:spacing w:line="240" w:lineRule="auto"/>
      </w:pPr>
      <w:r>
        <w:t>S</w:t>
      </w:r>
      <w:r w:rsidR="001F2F2F" w:rsidRPr="001F2F2F">
        <w:t>mart contracts offer the potential to streamline transactions by eliminating</w:t>
      </w:r>
      <w:r w:rsidR="00B6473F">
        <w:t xml:space="preserve"> </w:t>
      </w:r>
      <w:r w:rsidR="001F2F2F" w:rsidRPr="001F2F2F">
        <w:t xml:space="preserve">intermediaries, </w:t>
      </w:r>
      <w:r>
        <w:t xml:space="preserve">however </w:t>
      </w:r>
      <w:r w:rsidR="001F2F2F" w:rsidRPr="001F2F2F">
        <w:t>their reliance on computer code makes them susceptible to flaws</w:t>
      </w:r>
      <w:r>
        <w:t xml:space="preserve">. </w:t>
      </w:r>
    </w:p>
    <w:p w14:paraId="5F28A201" w14:textId="77777777" w:rsidR="001F2F2F" w:rsidRPr="001F2F2F" w:rsidRDefault="001F2F2F" w:rsidP="00AA708D">
      <w:pPr>
        <w:spacing w:line="240" w:lineRule="auto"/>
        <w:rPr>
          <w:b/>
          <w:bCs/>
        </w:rPr>
      </w:pPr>
      <w:r w:rsidRPr="001F2F2F">
        <w:rPr>
          <w:b/>
          <w:bCs/>
        </w:rPr>
        <w:t>Advantages</w:t>
      </w:r>
    </w:p>
    <w:p w14:paraId="7F30CC84" w14:textId="16AEFAC0" w:rsidR="001F2F2F" w:rsidRPr="001F2F2F" w:rsidRDefault="001F2F2F" w:rsidP="00AA708D">
      <w:pPr>
        <w:pStyle w:val="ListParagraph"/>
        <w:numPr>
          <w:ilvl w:val="0"/>
          <w:numId w:val="1"/>
        </w:numPr>
        <w:spacing w:line="240" w:lineRule="auto"/>
      </w:pPr>
      <w:r w:rsidRPr="00B31176">
        <w:rPr>
          <w:i/>
          <w:iCs/>
        </w:rPr>
        <w:t>Removal of Intermediary</w:t>
      </w:r>
      <w:r w:rsidRPr="001F2F2F">
        <w:t>: traditional transactions often require a third party such as a</w:t>
      </w:r>
      <w:r w:rsidR="00B31176">
        <w:t xml:space="preserve"> </w:t>
      </w:r>
      <w:r w:rsidRPr="001F2F2F">
        <w:t>lawyer, broker or financial institution to facilitate and validate a contract. This adds time,</w:t>
      </w:r>
      <w:r w:rsidR="00B31176">
        <w:t xml:space="preserve"> </w:t>
      </w:r>
      <w:r w:rsidRPr="001F2F2F">
        <w:t>cost and the potential for human error. Smart contracts by contrast, allow parties to</w:t>
      </w:r>
      <w:r w:rsidR="00B31176">
        <w:t xml:space="preserve"> </w:t>
      </w:r>
      <w:r w:rsidRPr="001F2F2F">
        <w:t>interact directly, streamlining the process and reducing reliance on third parties. Yet, this</w:t>
      </w:r>
      <w:r w:rsidR="00B31176">
        <w:t xml:space="preserve"> </w:t>
      </w:r>
      <w:r w:rsidRPr="001F2F2F">
        <w:t>also means there is no third party to catch mistakes, leaving participants to navigate</w:t>
      </w:r>
      <w:r w:rsidR="00B31176">
        <w:t xml:space="preserve"> </w:t>
      </w:r>
      <w:r w:rsidRPr="001F2F2F">
        <w:t>potential complexities alone - a shift that could be either empowering or risky.</w:t>
      </w:r>
    </w:p>
    <w:p w14:paraId="0853F5EF" w14:textId="73495EC4" w:rsidR="001F2F2F" w:rsidRPr="001F2F2F" w:rsidRDefault="001F2F2F" w:rsidP="00AA708D">
      <w:pPr>
        <w:pStyle w:val="ListParagraph"/>
        <w:numPr>
          <w:ilvl w:val="0"/>
          <w:numId w:val="1"/>
        </w:numPr>
        <w:spacing w:line="240" w:lineRule="auto"/>
      </w:pPr>
      <w:r w:rsidRPr="00B31176">
        <w:rPr>
          <w:i/>
          <w:iCs/>
        </w:rPr>
        <w:t xml:space="preserve">Autonomous: </w:t>
      </w:r>
      <w:r w:rsidRPr="001F2F2F">
        <w:t>smart contracts operate independently, executing terms without the need</w:t>
      </w:r>
      <w:r w:rsidR="00B31176">
        <w:t xml:space="preserve"> </w:t>
      </w:r>
      <w:r w:rsidRPr="001F2F2F">
        <w:t>for human intervention. Once conditions are met, the contract will be automaticall</w:t>
      </w:r>
      <w:r w:rsidR="00B31176">
        <w:t xml:space="preserve">y </w:t>
      </w:r>
      <w:r w:rsidRPr="001F2F2F">
        <w:t>fulfilled, reducing the risk of delays or manual errors. However</w:t>
      </w:r>
      <w:r w:rsidR="002F5F94">
        <w:t>,</w:t>
      </w:r>
      <w:r w:rsidRPr="001F2F2F">
        <w:t xml:space="preserve"> this autonomy also means</w:t>
      </w:r>
      <w:r w:rsidR="00B31176">
        <w:t xml:space="preserve"> </w:t>
      </w:r>
      <w:r w:rsidRPr="001F2F2F">
        <w:t>flexibility is limited – if adverse circumstances arise, the ability to modify or halt a</w:t>
      </w:r>
      <w:r w:rsidR="00B31176">
        <w:t xml:space="preserve"> </w:t>
      </w:r>
      <w:r w:rsidRPr="001F2F2F">
        <w:t>contract may be constrained.</w:t>
      </w:r>
    </w:p>
    <w:p w14:paraId="73F9D26B" w14:textId="5CC1410A" w:rsidR="001F2F2F" w:rsidRPr="001F2F2F" w:rsidRDefault="001F2F2F" w:rsidP="00AA708D">
      <w:pPr>
        <w:pStyle w:val="ListParagraph"/>
        <w:numPr>
          <w:ilvl w:val="0"/>
          <w:numId w:val="1"/>
        </w:numPr>
        <w:spacing w:line="240" w:lineRule="auto"/>
      </w:pPr>
      <w:r w:rsidRPr="00B31176">
        <w:rPr>
          <w:i/>
          <w:iCs/>
        </w:rPr>
        <w:t xml:space="preserve">Transparency: </w:t>
      </w:r>
      <w:r w:rsidRPr="001F2F2F">
        <w:t>the blockchain makes it possible for anyone, not just those involved in the</w:t>
      </w:r>
      <w:r w:rsidR="00B31176">
        <w:t xml:space="preserve"> </w:t>
      </w:r>
      <w:r w:rsidRPr="001F2F2F">
        <w:t>smart contract, to see and follow all progress of a contract, providing a unique level of</w:t>
      </w:r>
      <w:r w:rsidR="00B31176">
        <w:t xml:space="preserve"> </w:t>
      </w:r>
      <w:r w:rsidRPr="001F2F2F">
        <w:t>transparency. Given the contract's execution is stored on the blockchain, there is a</w:t>
      </w:r>
      <w:r w:rsidR="00B31176">
        <w:t xml:space="preserve"> </w:t>
      </w:r>
      <w:r w:rsidRPr="001F2F2F">
        <w:t>verifiable and permanent record of every action which is taken.</w:t>
      </w:r>
    </w:p>
    <w:p w14:paraId="520A41C1" w14:textId="77777777" w:rsidR="001F2F2F" w:rsidRPr="001F2F2F" w:rsidRDefault="001F2F2F" w:rsidP="00AA708D">
      <w:pPr>
        <w:spacing w:line="240" w:lineRule="auto"/>
        <w:rPr>
          <w:b/>
          <w:bCs/>
        </w:rPr>
      </w:pPr>
      <w:r w:rsidRPr="001F2F2F">
        <w:rPr>
          <w:b/>
          <w:bCs/>
        </w:rPr>
        <w:t>Disadvantages</w:t>
      </w:r>
    </w:p>
    <w:p w14:paraId="76568C59" w14:textId="71EAA769" w:rsidR="001F2F2F" w:rsidRPr="001F2F2F" w:rsidRDefault="001F2F2F" w:rsidP="00AA708D">
      <w:pPr>
        <w:pStyle w:val="ListParagraph"/>
        <w:numPr>
          <w:ilvl w:val="0"/>
          <w:numId w:val="2"/>
        </w:numPr>
        <w:spacing w:line="240" w:lineRule="auto"/>
      </w:pPr>
      <w:r w:rsidRPr="00B31176">
        <w:rPr>
          <w:i/>
          <w:iCs/>
        </w:rPr>
        <w:lastRenderedPageBreak/>
        <w:t xml:space="preserve">Potential for errors in code: </w:t>
      </w:r>
      <w:r w:rsidRPr="001F2F2F">
        <w:t>unlike traditional contracts which can be revised and</w:t>
      </w:r>
      <w:r w:rsidR="00B31176">
        <w:t xml:space="preserve"> </w:t>
      </w:r>
      <w:r w:rsidRPr="001F2F2F">
        <w:t>renegotiated if mistakes are found, smart contracts are often unchangeable once</w:t>
      </w:r>
      <w:r w:rsidR="00B31176">
        <w:t xml:space="preserve"> </w:t>
      </w:r>
      <w:r w:rsidRPr="001F2F2F">
        <w:t>deployed. A small bug or oversight may lead to unintended actions.</w:t>
      </w:r>
    </w:p>
    <w:p w14:paraId="7F0541D0" w14:textId="3CD97659" w:rsidR="001F2F2F" w:rsidRPr="001F2F2F" w:rsidRDefault="001F2F2F" w:rsidP="00AA708D">
      <w:pPr>
        <w:pStyle w:val="ListParagraph"/>
        <w:numPr>
          <w:ilvl w:val="0"/>
          <w:numId w:val="2"/>
        </w:numPr>
        <w:spacing w:line="240" w:lineRule="auto"/>
      </w:pPr>
      <w:r w:rsidRPr="00B31176">
        <w:rPr>
          <w:i/>
          <w:iCs/>
        </w:rPr>
        <w:t xml:space="preserve">Security and </w:t>
      </w:r>
      <w:r w:rsidR="00E45761">
        <w:rPr>
          <w:i/>
          <w:iCs/>
        </w:rPr>
        <w:t>p</w:t>
      </w:r>
      <w:r w:rsidRPr="00B31176">
        <w:rPr>
          <w:i/>
          <w:iCs/>
        </w:rPr>
        <w:t xml:space="preserve">rivacy </w:t>
      </w:r>
      <w:r w:rsidR="00E45761">
        <w:rPr>
          <w:i/>
          <w:iCs/>
        </w:rPr>
        <w:t>c</w:t>
      </w:r>
      <w:r w:rsidRPr="00B31176">
        <w:rPr>
          <w:i/>
          <w:iCs/>
        </w:rPr>
        <w:t xml:space="preserve">oncerns: </w:t>
      </w:r>
      <w:r w:rsidRPr="001F2F2F">
        <w:t>smart contracts, if not properly coded, can be exploited</w:t>
      </w:r>
      <w:r w:rsidR="00B31176">
        <w:t xml:space="preserve"> </w:t>
      </w:r>
      <w:r w:rsidRPr="001F2F2F">
        <w:t>by hackers leading to stolen funds or unauthorised transactions. Additionally, as</w:t>
      </w:r>
      <w:r w:rsidR="00B31176">
        <w:t xml:space="preserve"> </w:t>
      </w:r>
      <w:r w:rsidRPr="001F2F2F">
        <w:t>blockchains are publicly accessible, sensitive information could be exposed if not</w:t>
      </w:r>
      <w:r w:rsidR="00B31176">
        <w:t xml:space="preserve"> </w:t>
      </w:r>
      <w:r w:rsidRPr="001F2F2F">
        <w:t>adequately protected. While the transparent nature of smart contracts can increase trust,</w:t>
      </w:r>
      <w:r w:rsidR="00B31176">
        <w:t xml:space="preserve"> </w:t>
      </w:r>
      <w:r w:rsidRPr="001F2F2F">
        <w:t>it can also compromise privacy, with all transactions and contract details</w:t>
      </w:r>
      <w:r w:rsidR="00B31176">
        <w:t xml:space="preserve"> </w:t>
      </w:r>
      <w:r w:rsidRPr="001F2F2F">
        <w:t>potentially</w:t>
      </w:r>
      <w:r w:rsidR="00B31176">
        <w:t xml:space="preserve"> </w:t>
      </w:r>
      <w:r w:rsidRPr="001F2F2F">
        <w:t>visible to anyone on the network.</w:t>
      </w:r>
    </w:p>
    <w:p w14:paraId="13380822" w14:textId="279ED77A" w:rsidR="001F2F2F" w:rsidRPr="001F2F2F" w:rsidRDefault="001F2F2F" w:rsidP="00AA708D">
      <w:pPr>
        <w:pStyle w:val="ListParagraph"/>
        <w:numPr>
          <w:ilvl w:val="0"/>
          <w:numId w:val="2"/>
        </w:numPr>
        <w:spacing w:line="240" w:lineRule="auto"/>
      </w:pPr>
      <w:r w:rsidRPr="00B31176">
        <w:rPr>
          <w:i/>
          <w:iCs/>
        </w:rPr>
        <w:t xml:space="preserve">Complexity in design: </w:t>
      </w:r>
      <w:r w:rsidRPr="001F2F2F">
        <w:t>designing a blockchain agreement currently requires a deep</w:t>
      </w:r>
      <w:r w:rsidR="00B31176">
        <w:t xml:space="preserve"> </w:t>
      </w:r>
      <w:r w:rsidRPr="001F2F2F">
        <w:t>understanding of the technical aspects of blockchain programming. The process of</w:t>
      </w:r>
      <w:r w:rsidR="00B31176">
        <w:t xml:space="preserve"> </w:t>
      </w:r>
      <w:r w:rsidRPr="001F2F2F">
        <w:t>translating legal language into code is complex and could result in misinterpretations or</w:t>
      </w:r>
      <w:r w:rsidR="00B31176">
        <w:t xml:space="preserve"> </w:t>
      </w:r>
      <w:r w:rsidRPr="001F2F2F">
        <w:t>gaps in the contracts logic.</w:t>
      </w:r>
    </w:p>
    <w:p w14:paraId="679CC6C8" w14:textId="09AFEFCA" w:rsidR="001F2F2F" w:rsidRPr="001F2F2F" w:rsidRDefault="001F2F2F" w:rsidP="00AA708D">
      <w:pPr>
        <w:spacing w:line="240" w:lineRule="auto"/>
        <w:rPr>
          <w:b/>
          <w:bCs/>
        </w:rPr>
      </w:pPr>
      <w:r w:rsidRPr="001F2F2F">
        <w:rPr>
          <w:b/>
          <w:bCs/>
        </w:rPr>
        <w:t>d. Smart Contracts: Case Stud</w:t>
      </w:r>
      <w:r w:rsidR="003A6792">
        <w:rPr>
          <w:b/>
          <w:bCs/>
        </w:rPr>
        <w:t>y</w:t>
      </w:r>
    </w:p>
    <w:p w14:paraId="4298F5C5" w14:textId="04FFB582" w:rsidR="00F30E50" w:rsidRDefault="001F2F2F" w:rsidP="00AA708D">
      <w:pPr>
        <w:spacing w:line="240" w:lineRule="auto"/>
      </w:pPr>
      <w:r>
        <w:t>In 2016, the DAO (</w:t>
      </w:r>
      <w:r w:rsidRPr="7A037609">
        <w:rPr>
          <w:b/>
          <w:bCs/>
        </w:rPr>
        <w:t>Decentralized Autonomous Organization</w:t>
      </w:r>
      <w:r>
        <w:t>) was one of the most famous and</w:t>
      </w:r>
      <w:r w:rsidR="00B31176">
        <w:t xml:space="preserve"> </w:t>
      </w:r>
      <w:r>
        <w:t>earliest applications of smart contracts on the Ethereum blockchain. The DAO, through smart</w:t>
      </w:r>
      <w:r w:rsidR="00B31176">
        <w:t xml:space="preserve"> </w:t>
      </w:r>
      <w:r>
        <w:t>contracts, allowed participants to invest in projects without the need of intermediaries. However</w:t>
      </w:r>
      <w:r w:rsidR="00A032CB">
        <w:t>,</w:t>
      </w:r>
      <w:r w:rsidR="00B31176">
        <w:t xml:space="preserve"> </w:t>
      </w:r>
      <w:r>
        <w:t>a vulnerability in computer code was exploited, allowing bad actors to steal approximately $70</w:t>
      </w:r>
      <w:r w:rsidR="00B31176">
        <w:t xml:space="preserve"> </w:t>
      </w:r>
      <w:r>
        <w:t>million USD of Ethereum. This event highlighted the potential risks associated with errors in</w:t>
      </w:r>
      <w:r w:rsidR="00B31176">
        <w:t xml:space="preserve"> </w:t>
      </w:r>
      <w:r>
        <w:t xml:space="preserve">smart contract code. Read more here: </w:t>
      </w:r>
      <w:hyperlink r:id="rId7">
        <w:r w:rsidRPr="7A037609">
          <w:rPr>
            <w:rStyle w:val="Hyperlink"/>
          </w:rPr>
          <w:t>Bitstamp: Ethereum Dao Hack</w:t>
        </w:r>
      </w:hyperlink>
      <w:r w:rsidR="00B31176">
        <w:t xml:space="preserve"> </w:t>
      </w:r>
    </w:p>
    <w:sectPr w:rsidR="00F30E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D04A97" w14:textId="77777777" w:rsidR="00620ECB" w:rsidRDefault="00620ECB" w:rsidP="00620ECB">
      <w:pPr>
        <w:spacing w:after="0" w:line="240" w:lineRule="auto"/>
      </w:pPr>
      <w:r>
        <w:separator/>
      </w:r>
    </w:p>
  </w:endnote>
  <w:endnote w:type="continuationSeparator" w:id="0">
    <w:p w14:paraId="2524E9FA" w14:textId="77777777" w:rsidR="00620ECB" w:rsidRDefault="00620ECB" w:rsidP="00620E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ptos"/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49827E" w14:textId="77777777" w:rsidR="00620ECB" w:rsidRDefault="00620ECB" w:rsidP="00620ECB">
      <w:pPr>
        <w:spacing w:after="0" w:line="240" w:lineRule="auto"/>
      </w:pPr>
      <w:r>
        <w:separator/>
      </w:r>
    </w:p>
  </w:footnote>
  <w:footnote w:type="continuationSeparator" w:id="0">
    <w:p w14:paraId="0D055C39" w14:textId="77777777" w:rsidR="00620ECB" w:rsidRDefault="00620ECB" w:rsidP="00620E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6E0E7E"/>
    <w:multiLevelType w:val="hybridMultilevel"/>
    <w:tmpl w:val="45D8E8F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A26433"/>
    <w:multiLevelType w:val="hybridMultilevel"/>
    <w:tmpl w:val="85D6F7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5517643">
    <w:abstractNumId w:val="0"/>
  </w:num>
  <w:num w:numId="2" w16cid:durableId="14587164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E50"/>
    <w:rsid w:val="00116513"/>
    <w:rsid w:val="0019749B"/>
    <w:rsid w:val="001A1D78"/>
    <w:rsid w:val="001F2F2F"/>
    <w:rsid w:val="002A62D4"/>
    <w:rsid w:val="002F5F94"/>
    <w:rsid w:val="00302ACE"/>
    <w:rsid w:val="00362439"/>
    <w:rsid w:val="003A6792"/>
    <w:rsid w:val="00415D08"/>
    <w:rsid w:val="00484224"/>
    <w:rsid w:val="00487933"/>
    <w:rsid w:val="004B54F1"/>
    <w:rsid w:val="004C2B0F"/>
    <w:rsid w:val="0054197C"/>
    <w:rsid w:val="005A736E"/>
    <w:rsid w:val="005C298F"/>
    <w:rsid w:val="00620ECB"/>
    <w:rsid w:val="00640D9B"/>
    <w:rsid w:val="007852CF"/>
    <w:rsid w:val="007C4FB0"/>
    <w:rsid w:val="008C1674"/>
    <w:rsid w:val="00945476"/>
    <w:rsid w:val="00A032CB"/>
    <w:rsid w:val="00A66BAF"/>
    <w:rsid w:val="00AA708D"/>
    <w:rsid w:val="00AC5F31"/>
    <w:rsid w:val="00AE35D4"/>
    <w:rsid w:val="00B31176"/>
    <w:rsid w:val="00B6473F"/>
    <w:rsid w:val="00D85FCF"/>
    <w:rsid w:val="00E45761"/>
    <w:rsid w:val="00E7525C"/>
    <w:rsid w:val="00F2735C"/>
    <w:rsid w:val="00F30E50"/>
    <w:rsid w:val="00F31719"/>
    <w:rsid w:val="00FE268C"/>
    <w:rsid w:val="1BC3CB89"/>
    <w:rsid w:val="212CF4AE"/>
    <w:rsid w:val="3B3BB070"/>
    <w:rsid w:val="3E8A33C8"/>
    <w:rsid w:val="57BFE6E6"/>
    <w:rsid w:val="70431F43"/>
    <w:rsid w:val="770855C2"/>
    <w:rsid w:val="7A037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C0FC9"/>
  <w15:chartTrackingRefBased/>
  <w15:docId w15:val="{E896E67B-EF45-42E5-9813-8A77E3B5E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0E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0E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0E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0E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0E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0E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0E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0E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0E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0E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0E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0E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0E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0E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0E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0E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0E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0E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0E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0E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0E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0E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0E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0E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0E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0E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0E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0E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0E50"/>
    <w:rPr>
      <w:b/>
      <w:bCs/>
      <w:smallCaps/>
      <w:color w:val="0F4761" w:themeColor="accent1" w:themeShade="BF"/>
      <w:spacing w:val="5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20EC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20EC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20ECB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FE268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268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C4FB0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bitstamp.net/learn/crypto-101/ethereum-dao-hack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642</Words>
  <Characters>3663</Characters>
  <Application>Microsoft Office Word</Application>
  <DocSecurity>0</DocSecurity>
  <Lines>30</Lines>
  <Paragraphs>8</Paragraphs>
  <ScaleCrop>false</ScaleCrop>
  <Company/>
  <LinksUpToDate>false</LinksUpToDate>
  <CharactersWithSpaces>4297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Hadley</dc:creator>
  <cp:keywords/>
  <dc:description/>
  <cp:lastModifiedBy>Marie Hadley</cp:lastModifiedBy>
  <cp:revision>43</cp:revision>
  <dcterms:created xsi:type="dcterms:W3CDTF">2025-01-12T23:36:00Z</dcterms:created>
  <dcterms:modified xsi:type="dcterms:W3CDTF">2025-01-14T02:50:00Z</dcterms:modified>
</cp:coreProperties>
</file>