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6F4DA" w14:textId="77777777" w:rsidR="00594F79" w:rsidRPr="00594F79" w:rsidRDefault="00594F79" w:rsidP="00594F79">
      <w:pPr>
        <w:rPr>
          <w:rFonts w:ascii="Arial" w:hAnsi="Arial" w:cs="Arial"/>
          <w:sz w:val="24"/>
          <w:szCs w:val="24"/>
        </w:rPr>
      </w:pPr>
      <w:bookmarkStart w:id="0" w:name="_Hlk176295744"/>
    </w:p>
    <w:p w14:paraId="4E5C37A5" w14:textId="284235CD" w:rsidR="00594F79" w:rsidRPr="00594F79" w:rsidRDefault="00594F79" w:rsidP="00594F79">
      <w:pPr>
        <w:rPr>
          <w:rFonts w:ascii="Arial" w:hAnsi="Arial" w:cs="Arial"/>
          <w:b/>
          <w:bCs/>
          <w:sz w:val="24"/>
          <w:szCs w:val="24"/>
        </w:rPr>
      </w:pPr>
      <w:r w:rsidRPr="3A389656">
        <w:rPr>
          <w:rFonts w:ascii="Arial" w:hAnsi="Arial" w:cs="Arial"/>
          <w:b/>
          <w:bCs/>
          <w:sz w:val="24"/>
          <w:szCs w:val="24"/>
        </w:rPr>
        <w:t xml:space="preserve">Debate: Protecting </w:t>
      </w:r>
      <w:r w:rsidR="7D6A1AC3" w:rsidRPr="3A389656">
        <w:rPr>
          <w:rFonts w:ascii="Arial" w:hAnsi="Arial" w:cs="Arial"/>
          <w:b/>
          <w:bCs/>
          <w:sz w:val="24"/>
          <w:szCs w:val="24"/>
        </w:rPr>
        <w:t>o</w:t>
      </w:r>
      <w:r w:rsidRPr="3A389656">
        <w:rPr>
          <w:rFonts w:ascii="Arial" w:hAnsi="Arial" w:cs="Arial"/>
          <w:b/>
          <w:bCs/>
          <w:sz w:val="24"/>
          <w:szCs w:val="24"/>
        </w:rPr>
        <w:t xml:space="preserve">nline </w:t>
      </w:r>
      <w:r w:rsidR="5B944754" w:rsidRPr="3A389656">
        <w:rPr>
          <w:rFonts w:ascii="Arial" w:hAnsi="Arial" w:cs="Arial"/>
          <w:b/>
          <w:bCs/>
          <w:sz w:val="24"/>
          <w:szCs w:val="24"/>
        </w:rPr>
        <w:t>s</w:t>
      </w:r>
      <w:r w:rsidRPr="3A389656">
        <w:rPr>
          <w:rFonts w:ascii="Arial" w:hAnsi="Arial" w:cs="Arial"/>
          <w:b/>
          <w:bCs/>
          <w:sz w:val="24"/>
          <w:szCs w:val="24"/>
        </w:rPr>
        <w:t xml:space="preserve">afety vs </w:t>
      </w:r>
      <w:r w:rsidR="114E1229" w:rsidRPr="3A389656">
        <w:rPr>
          <w:rFonts w:ascii="Arial" w:hAnsi="Arial" w:cs="Arial"/>
          <w:b/>
          <w:bCs/>
          <w:sz w:val="24"/>
          <w:szCs w:val="24"/>
        </w:rPr>
        <w:t>f</w:t>
      </w:r>
      <w:r w:rsidRPr="3A389656">
        <w:rPr>
          <w:rFonts w:ascii="Arial" w:hAnsi="Arial" w:cs="Arial"/>
          <w:b/>
          <w:bCs/>
          <w:sz w:val="24"/>
          <w:szCs w:val="24"/>
        </w:rPr>
        <w:t xml:space="preserve">reedom of </w:t>
      </w:r>
      <w:r w:rsidR="66778B89" w:rsidRPr="3A389656">
        <w:rPr>
          <w:rFonts w:ascii="Arial" w:hAnsi="Arial" w:cs="Arial"/>
          <w:b/>
          <w:bCs/>
          <w:sz w:val="24"/>
          <w:szCs w:val="24"/>
        </w:rPr>
        <w:t>s</w:t>
      </w:r>
      <w:r w:rsidRPr="3A389656">
        <w:rPr>
          <w:rFonts w:ascii="Arial" w:hAnsi="Arial" w:cs="Arial"/>
          <w:b/>
          <w:bCs/>
          <w:sz w:val="24"/>
          <w:szCs w:val="24"/>
        </w:rPr>
        <w:t>peech/</w:t>
      </w:r>
      <w:r w:rsidR="3BC4287F" w:rsidRPr="3A389656">
        <w:rPr>
          <w:rFonts w:ascii="Arial" w:hAnsi="Arial" w:cs="Arial"/>
          <w:b/>
          <w:bCs/>
          <w:sz w:val="24"/>
          <w:szCs w:val="24"/>
        </w:rPr>
        <w:t>e</w:t>
      </w:r>
      <w:r w:rsidRPr="3A389656">
        <w:rPr>
          <w:rFonts w:ascii="Arial" w:hAnsi="Arial" w:cs="Arial"/>
          <w:b/>
          <w:bCs/>
          <w:sz w:val="24"/>
          <w:szCs w:val="24"/>
        </w:rPr>
        <w:t xml:space="preserve">xpression </w:t>
      </w:r>
    </w:p>
    <w:p w14:paraId="30D6129F" w14:textId="1E09AD64" w:rsidR="00594F79" w:rsidRPr="00594F79" w:rsidRDefault="00594F79" w:rsidP="00594F79">
      <w:pPr>
        <w:rPr>
          <w:rFonts w:ascii="Arial" w:hAnsi="Arial" w:cs="Arial"/>
          <w:sz w:val="24"/>
          <w:szCs w:val="24"/>
        </w:rPr>
      </w:pPr>
      <w:r w:rsidRPr="00594F79">
        <w:rPr>
          <w:rFonts w:ascii="Arial" w:hAnsi="Arial" w:cs="Arial"/>
          <w:sz w:val="24"/>
          <w:szCs w:val="24"/>
        </w:rPr>
        <w:t xml:space="preserve">The expanded powers of the eSafety Commissioner </w:t>
      </w:r>
      <w:r w:rsidR="497F6203" w:rsidRPr="00594F79">
        <w:rPr>
          <w:rFonts w:ascii="Arial" w:hAnsi="Arial" w:cs="Arial"/>
          <w:sz w:val="24"/>
          <w:szCs w:val="24"/>
        </w:rPr>
        <w:t>(</w:t>
      </w:r>
      <w:r w:rsidR="497F6203" w:rsidRPr="3A389656">
        <w:rPr>
          <w:rFonts w:ascii="Arial" w:hAnsi="Arial" w:cs="Arial"/>
          <w:b/>
          <w:bCs/>
          <w:sz w:val="24"/>
          <w:szCs w:val="24"/>
        </w:rPr>
        <w:t>Commissioner</w:t>
      </w:r>
      <w:r w:rsidR="497F6203" w:rsidRPr="00594F79">
        <w:rPr>
          <w:rFonts w:ascii="Arial" w:hAnsi="Arial" w:cs="Arial"/>
          <w:sz w:val="24"/>
          <w:szCs w:val="24"/>
        </w:rPr>
        <w:t xml:space="preserve">) </w:t>
      </w:r>
      <w:r w:rsidRPr="00594F79">
        <w:rPr>
          <w:rFonts w:ascii="Arial" w:hAnsi="Arial" w:cs="Arial"/>
          <w:sz w:val="24"/>
          <w:szCs w:val="24"/>
        </w:rPr>
        <w:t xml:space="preserve">under the </w:t>
      </w:r>
      <w:r w:rsidRPr="3A389656">
        <w:rPr>
          <w:rFonts w:ascii="Arial" w:hAnsi="Arial" w:cs="Arial"/>
          <w:i/>
          <w:iCs/>
          <w:sz w:val="24"/>
          <w:szCs w:val="24"/>
        </w:rPr>
        <w:t>Online Safety Act 2021</w:t>
      </w:r>
      <w:r w:rsidR="4DB07F5E" w:rsidRPr="00594F79">
        <w:rPr>
          <w:rFonts w:ascii="Arial" w:hAnsi="Arial" w:cs="Arial"/>
          <w:sz w:val="24"/>
          <w:szCs w:val="24"/>
        </w:rPr>
        <w:t xml:space="preserve"> (Cth)</w:t>
      </w:r>
      <w:r w:rsidRPr="00594F79">
        <w:rPr>
          <w:rFonts w:ascii="Arial" w:hAnsi="Arial" w:cs="Arial"/>
          <w:sz w:val="24"/>
          <w:szCs w:val="24"/>
        </w:rPr>
        <w:t xml:space="preserve"> have sparked significant debate around the balance between ensuring online safety and protecting the freedom of speech and expression. Advocates argue that these powers are crucial for comba</w:t>
      </w:r>
      <w:r w:rsidR="7D52904E" w:rsidRPr="00594F79">
        <w:rPr>
          <w:rFonts w:ascii="Arial" w:hAnsi="Arial" w:cs="Arial"/>
          <w:sz w:val="24"/>
          <w:szCs w:val="24"/>
        </w:rPr>
        <w:t>t</w:t>
      </w:r>
      <w:r w:rsidRPr="00594F79">
        <w:rPr>
          <w:rFonts w:ascii="Arial" w:hAnsi="Arial" w:cs="Arial"/>
          <w:sz w:val="24"/>
          <w:szCs w:val="24"/>
        </w:rPr>
        <w:t>ting the increasing occurrence of harmful online content, including cyberbullying, image-based abuse and violent material.</w:t>
      </w:r>
      <w:r w:rsidRPr="00594F79">
        <w:rPr>
          <w:rStyle w:val="FootnoteReference"/>
          <w:rFonts w:ascii="Arial" w:hAnsi="Arial" w:cs="Arial"/>
          <w:sz w:val="24"/>
          <w:szCs w:val="24"/>
        </w:rPr>
        <w:footnoteReference w:id="1"/>
      </w:r>
      <w:r w:rsidRPr="00594F79">
        <w:rPr>
          <w:rFonts w:ascii="Arial" w:hAnsi="Arial" w:cs="Arial"/>
          <w:sz w:val="24"/>
          <w:szCs w:val="24"/>
        </w:rPr>
        <w:t xml:space="preserve"> They believe that the measures and powers under the Commissioner are essential to protect the vulnerable individuals, particularly children from severe harm. </w:t>
      </w:r>
    </w:p>
    <w:p w14:paraId="1F952851" w14:textId="2F53554C" w:rsidR="00594F79" w:rsidRPr="00594F79" w:rsidRDefault="00594F79" w:rsidP="00594F79">
      <w:pPr>
        <w:rPr>
          <w:rFonts w:ascii="Arial" w:hAnsi="Arial" w:cs="Arial"/>
          <w:sz w:val="24"/>
          <w:szCs w:val="24"/>
        </w:rPr>
      </w:pPr>
      <w:r w:rsidRPr="00594F79">
        <w:rPr>
          <w:rFonts w:ascii="Arial" w:hAnsi="Arial" w:cs="Arial"/>
          <w:sz w:val="24"/>
          <w:szCs w:val="24"/>
        </w:rPr>
        <w:t>However, critics express concerns that the Commissioner’s expanded authority could infringe on freedom of expression and speech through censorship and overreach. They argue that the Act lacks sufficient safeguards to prevent the wrongful removal of legitimate content such as satire or other material that might be misclassified as harmful. For example, the restrictions on material classified under Class 2 materials including lawful content such as R18+ and X18+ content could unnecessarily interfere with sexual health information, education resources and the rights of sex workers to express themselves and conduct their work, which limits their expression.</w:t>
      </w:r>
      <w:r w:rsidRPr="00594F79">
        <w:rPr>
          <w:rStyle w:val="FootnoteReference"/>
          <w:rFonts w:ascii="Arial" w:hAnsi="Arial" w:cs="Arial"/>
          <w:sz w:val="24"/>
          <w:szCs w:val="24"/>
        </w:rPr>
        <w:footnoteReference w:id="2"/>
      </w:r>
      <w:r w:rsidRPr="00594F79">
        <w:rPr>
          <w:rFonts w:ascii="Arial" w:hAnsi="Arial" w:cs="Arial"/>
          <w:sz w:val="24"/>
          <w:szCs w:val="24"/>
        </w:rPr>
        <w:t xml:space="preserve"> </w:t>
      </w:r>
    </w:p>
    <w:p w14:paraId="72A5B83E" w14:textId="77777777" w:rsidR="00594F79" w:rsidRPr="00594F79" w:rsidRDefault="00594F79" w:rsidP="00594F79">
      <w:pPr>
        <w:rPr>
          <w:rFonts w:ascii="Arial" w:hAnsi="Arial" w:cs="Arial"/>
          <w:b/>
          <w:bCs/>
          <w:sz w:val="24"/>
          <w:szCs w:val="24"/>
          <w:u w:val="single"/>
        </w:rPr>
      </w:pPr>
      <w:r w:rsidRPr="00594F79">
        <w:rPr>
          <w:rFonts w:ascii="Arial" w:hAnsi="Arial" w:cs="Arial"/>
          <w:b/>
          <w:bCs/>
          <w:sz w:val="24"/>
          <w:szCs w:val="24"/>
          <w:u w:val="single"/>
        </w:rPr>
        <w:t>Learning Activity: Analysing the Balancing between Online Safety and Freedom of Speech and Expression</w:t>
      </w:r>
    </w:p>
    <w:p w14:paraId="5A9A0A26" w14:textId="0CF0F104" w:rsidR="00594F79" w:rsidRPr="00594F79" w:rsidRDefault="00594F79" w:rsidP="00594F79">
      <w:pPr>
        <w:rPr>
          <w:rFonts w:ascii="Arial" w:hAnsi="Arial" w:cs="Arial"/>
          <w:sz w:val="24"/>
          <w:szCs w:val="24"/>
        </w:rPr>
      </w:pPr>
      <w:r w:rsidRPr="3A389656">
        <w:rPr>
          <w:rFonts w:ascii="Arial" w:hAnsi="Arial" w:cs="Arial"/>
          <w:sz w:val="24"/>
          <w:szCs w:val="24"/>
        </w:rPr>
        <w:t xml:space="preserve">This learning activity is aimed to deepen the understanding of </w:t>
      </w:r>
      <w:r w:rsidR="00CF5CB8">
        <w:rPr>
          <w:rFonts w:ascii="Arial" w:hAnsi="Arial" w:cs="Arial"/>
          <w:sz w:val="24"/>
          <w:szCs w:val="24"/>
        </w:rPr>
        <w:t xml:space="preserve">these diverse perspectives and </w:t>
      </w:r>
      <w:r w:rsidRPr="3A389656">
        <w:rPr>
          <w:rFonts w:ascii="Arial" w:hAnsi="Arial" w:cs="Arial"/>
          <w:sz w:val="24"/>
          <w:szCs w:val="24"/>
        </w:rPr>
        <w:t>developing critical thinking</w:t>
      </w:r>
      <w:r w:rsidR="00CF5CB8">
        <w:rPr>
          <w:rFonts w:ascii="Arial" w:hAnsi="Arial" w:cs="Arial"/>
          <w:sz w:val="24"/>
          <w:szCs w:val="24"/>
        </w:rPr>
        <w:t xml:space="preserve"> skills.</w:t>
      </w:r>
      <w:r w:rsidRPr="3A389656">
        <w:rPr>
          <w:rFonts w:ascii="Arial" w:hAnsi="Arial" w:cs="Arial"/>
          <w:sz w:val="24"/>
          <w:szCs w:val="24"/>
        </w:rPr>
        <w:t xml:space="preserve"> </w:t>
      </w:r>
    </w:p>
    <w:p w14:paraId="628435BC" w14:textId="77777777" w:rsidR="00594F79" w:rsidRPr="00594F79" w:rsidRDefault="00594F79" w:rsidP="00594F79">
      <w:pPr>
        <w:rPr>
          <w:rFonts w:ascii="Arial" w:hAnsi="Arial" w:cs="Arial"/>
          <w:b/>
          <w:bCs/>
          <w:sz w:val="24"/>
          <w:szCs w:val="24"/>
        </w:rPr>
      </w:pPr>
      <w:r w:rsidRPr="00594F79">
        <w:rPr>
          <w:rFonts w:ascii="Arial" w:hAnsi="Arial" w:cs="Arial"/>
          <w:b/>
          <w:bCs/>
          <w:sz w:val="24"/>
          <w:szCs w:val="24"/>
        </w:rPr>
        <w:t xml:space="preserve">Instruction:  </w:t>
      </w:r>
    </w:p>
    <w:p w14:paraId="050E56A6" w14:textId="08BE0C76" w:rsidR="00594F79" w:rsidRPr="00594F79" w:rsidRDefault="00594F79" w:rsidP="00594F79">
      <w:pPr>
        <w:pStyle w:val="ListParagraph"/>
        <w:numPr>
          <w:ilvl w:val="0"/>
          <w:numId w:val="6"/>
        </w:numPr>
        <w:spacing w:line="278" w:lineRule="auto"/>
        <w:rPr>
          <w:rFonts w:ascii="Arial" w:hAnsi="Arial" w:cs="Arial"/>
          <w:sz w:val="24"/>
          <w:szCs w:val="24"/>
        </w:rPr>
      </w:pPr>
      <w:r w:rsidRPr="3A389656">
        <w:rPr>
          <w:rFonts w:ascii="Arial" w:hAnsi="Arial" w:cs="Arial"/>
          <w:sz w:val="24"/>
          <w:szCs w:val="24"/>
        </w:rPr>
        <w:t xml:space="preserve">Read and </w:t>
      </w:r>
      <w:r w:rsidR="2148C21F" w:rsidRPr="3A389656">
        <w:rPr>
          <w:rFonts w:ascii="Arial" w:hAnsi="Arial" w:cs="Arial"/>
          <w:sz w:val="24"/>
          <w:szCs w:val="24"/>
        </w:rPr>
        <w:t>r</w:t>
      </w:r>
      <w:r w:rsidRPr="3A389656">
        <w:rPr>
          <w:rFonts w:ascii="Arial" w:hAnsi="Arial" w:cs="Arial"/>
          <w:sz w:val="24"/>
          <w:szCs w:val="24"/>
        </w:rPr>
        <w:t xml:space="preserve">eview the </w:t>
      </w:r>
      <w:r w:rsidRPr="3A389656">
        <w:rPr>
          <w:rFonts w:ascii="Arial" w:hAnsi="Arial" w:cs="Arial"/>
          <w:i/>
          <w:iCs/>
          <w:sz w:val="24"/>
          <w:szCs w:val="24"/>
        </w:rPr>
        <w:t xml:space="preserve">Online Safety Act 2021 </w:t>
      </w:r>
      <w:r w:rsidR="447352FC" w:rsidRPr="3A389656">
        <w:rPr>
          <w:rFonts w:ascii="Arial" w:hAnsi="Arial" w:cs="Arial"/>
          <w:sz w:val="24"/>
          <w:szCs w:val="24"/>
        </w:rPr>
        <w:t>(Cth)</w:t>
      </w:r>
      <w:r w:rsidR="447352FC" w:rsidRPr="3A389656">
        <w:rPr>
          <w:rFonts w:ascii="Arial" w:hAnsi="Arial" w:cs="Arial"/>
          <w:i/>
          <w:iCs/>
          <w:sz w:val="24"/>
          <w:szCs w:val="24"/>
        </w:rPr>
        <w:t xml:space="preserve"> </w:t>
      </w:r>
      <w:r w:rsidRPr="3A389656">
        <w:rPr>
          <w:rFonts w:ascii="Arial" w:hAnsi="Arial" w:cs="Arial"/>
          <w:sz w:val="24"/>
          <w:szCs w:val="24"/>
        </w:rPr>
        <w:t xml:space="preserve">and reflect on how the powers granted to the Commissioner might affect both safety and suppression of free speech and expression.  </w:t>
      </w:r>
    </w:p>
    <w:p w14:paraId="121EE09F" w14:textId="403570B5" w:rsidR="00594F79" w:rsidRPr="00594F79" w:rsidRDefault="00594F79" w:rsidP="00594F79">
      <w:pPr>
        <w:pStyle w:val="ListParagraph"/>
        <w:numPr>
          <w:ilvl w:val="0"/>
          <w:numId w:val="6"/>
        </w:numPr>
        <w:spacing w:line="278" w:lineRule="auto"/>
        <w:rPr>
          <w:rFonts w:ascii="Arial" w:hAnsi="Arial" w:cs="Arial"/>
          <w:sz w:val="24"/>
          <w:szCs w:val="24"/>
        </w:rPr>
      </w:pPr>
      <w:r w:rsidRPr="3A389656">
        <w:rPr>
          <w:rFonts w:ascii="Arial" w:hAnsi="Arial" w:cs="Arial"/>
          <w:sz w:val="24"/>
          <w:szCs w:val="24"/>
        </w:rPr>
        <w:t xml:space="preserve">Research two real-world examples where online safety measures effectively protected individuals or where measures lead to concerns about freedom of speech and expression. Consider Australian </w:t>
      </w:r>
      <w:r w:rsidR="46584870" w:rsidRPr="3A389656">
        <w:rPr>
          <w:rFonts w:ascii="Arial" w:hAnsi="Arial" w:cs="Arial"/>
          <w:sz w:val="24"/>
          <w:szCs w:val="24"/>
        </w:rPr>
        <w:t>c</w:t>
      </w:r>
      <w:r w:rsidRPr="3A389656">
        <w:rPr>
          <w:rFonts w:ascii="Arial" w:hAnsi="Arial" w:cs="Arial"/>
          <w:sz w:val="24"/>
          <w:szCs w:val="24"/>
        </w:rPr>
        <w:t xml:space="preserve">ases and </w:t>
      </w:r>
      <w:r w:rsidR="68B19E13" w:rsidRPr="3A389656">
        <w:rPr>
          <w:rFonts w:ascii="Arial" w:hAnsi="Arial" w:cs="Arial"/>
          <w:sz w:val="24"/>
          <w:szCs w:val="24"/>
        </w:rPr>
        <w:t>i</w:t>
      </w:r>
      <w:r w:rsidRPr="3A389656">
        <w:rPr>
          <w:rFonts w:ascii="Arial" w:hAnsi="Arial" w:cs="Arial"/>
          <w:sz w:val="24"/>
          <w:szCs w:val="24"/>
        </w:rPr>
        <w:t xml:space="preserve">nternational cases. </w:t>
      </w:r>
    </w:p>
    <w:p w14:paraId="459BDDB9" w14:textId="625F9CDF" w:rsidR="00594F79" w:rsidRPr="00594F79" w:rsidRDefault="7FC143F8" w:rsidP="00594F79">
      <w:pPr>
        <w:pStyle w:val="ListParagraph"/>
        <w:numPr>
          <w:ilvl w:val="0"/>
          <w:numId w:val="6"/>
        </w:numPr>
        <w:spacing w:line="278" w:lineRule="auto"/>
        <w:rPr>
          <w:rFonts w:ascii="Arial" w:hAnsi="Arial" w:cs="Arial"/>
          <w:sz w:val="24"/>
          <w:szCs w:val="24"/>
        </w:rPr>
      </w:pPr>
      <w:r w:rsidRPr="3A389656">
        <w:rPr>
          <w:rFonts w:ascii="Arial" w:hAnsi="Arial" w:cs="Arial"/>
          <w:sz w:val="24"/>
          <w:szCs w:val="24"/>
        </w:rPr>
        <w:t xml:space="preserve">Write a post for your online course’s discussion forum regarding </w:t>
      </w:r>
      <w:r w:rsidR="00594F79" w:rsidRPr="3A389656">
        <w:rPr>
          <w:rFonts w:ascii="Arial" w:hAnsi="Arial" w:cs="Arial"/>
          <w:sz w:val="24"/>
          <w:szCs w:val="24"/>
        </w:rPr>
        <w:t xml:space="preserve">whether the current powers of the commissioner are effective in balancing freedom of speech and expression while protecting individuals. Include your research in your analysis.  </w:t>
      </w:r>
    </w:p>
    <w:p w14:paraId="0795D143" w14:textId="312D8B82" w:rsidR="00594F79" w:rsidRPr="00594F79" w:rsidRDefault="00594F79" w:rsidP="00594F79">
      <w:pPr>
        <w:pStyle w:val="ListParagraph"/>
        <w:numPr>
          <w:ilvl w:val="1"/>
          <w:numId w:val="6"/>
        </w:numPr>
        <w:spacing w:line="278" w:lineRule="auto"/>
        <w:rPr>
          <w:rFonts w:ascii="Arial" w:hAnsi="Arial" w:cs="Arial"/>
          <w:sz w:val="24"/>
          <w:szCs w:val="24"/>
        </w:rPr>
      </w:pPr>
      <w:r w:rsidRPr="3A389656">
        <w:rPr>
          <w:rFonts w:ascii="Arial" w:hAnsi="Arial" w:cs="Arial"/>
          <w:sz w:val="24"/>
          <w:szCs w:val="24"/>
        </w:rPr>
        <w:t>Consider: Are powers too broad? Do they allow free speech/expression? Could the powers be improved?</w:t>
      </w:r>
    </w:p>
    <w:p w14:paraId="4F4B9E0A" w14:textId="74BADD7F" w:rsidR="00594F79" w:rsidRPr="00594F79" w:rsidRDefault="00594F79" w:rsidP="00594F79">
      <w:pPr>
        <w:pStyle w:val="ListParagraph"/>
        <w:numPr>
          <w:ilvl w:val="0"/>
          <w:numId w:val="6"/>
        </w:numPr>
        <w:spacing w:line="278" w:lineRule="auto"/>
        <w:rPr>
          <w:rFonts w:ascii="Arial" w:hAnsi="Arial" w:cs="Arial"/>
          <w:sz w:val="24"/>
          <w:szCs w:val="24"/>
        </w:rPr>
      </w:pPr>
      <w:r w:rsidRPr="3A389656">
        <w:rPr>
          <w:rFonts w:ascii="Arial" w:hAnsi="Arial" w:cs="Arial"/>
          <w:sz w:val="24"/>
          <w:szCs w:val="24"/>
        </w:rPr>
        <w:lastRenderedPageBreak/>
        <w:t>Engage in a</w:t>
      </w:r>
      <w:r w:rsidR="241D9E06" w:rsidRPr="3A389656">
        <w:rPr>
          <w:rFonts w:ascii="Arial" w:hAnsi="Arial" w:cs="Arial"/>
          <w:sz w:val="24"/>
          <w:szCs w:val="24"/>
        </w:rPr>
        <w:t xml:space="preserve"> </w:t>
      </w:r>
      <w:r w:rsidRPr="3A389656">
        <w:rPr>
          <w:rFonts w:ascii="Arial" w:hAnsi="Arial" w:cs="Arial"/>
          <w:sz w:val="24"/>
          <w:szCs w:val="24"/>
        </w:rPr>
        <w:t>peer</w:t>
      </w:r>
      <w:r w:rsidR="6D36AA2E" w:rsidRPr="3A389656">
        <w:rPr>
          <w:rFonts w:ascii="Arial" w:hAnsi="Arial" w:cs="Arial"/>
          <w:sz w:val="24"/>
          <w:szCs w:val="24"/>
        </w:rPr>
        <w:t>’</w:t>
      </w:r>
      <w:r w:rsidRPr="3A389656">
        <w:rPr>
          <w:rFonts w:ascii="Arial" w:hAnsi="Arial" w:cs="Arial"/>
          <w:sz w:val="24"/>
          <w:szCs w:val="24"/>
        </w:rPr>
        <w:t>s discission post and provide feedback on</w:t>
      </w:r>
      <w:r w:rsidR="750E68F6" w:rsidRPr="3A389656">
        <w:rPr>
          <w:rFonts w:ascii="Arial" w:hAnsi="Arial" w:cs="Arial"/>
          <w:sz w:val="24"/>
          <w:szCs w:val="24"/>
        </w:rPr>
        <w:t xml:space="preserve"> their</w:t>
      </w:r>
      <w:r w:rsidRPr="3A389656">
        <w:rPr>
          <w:rFonts w:ascii="Arial" w:hAnsi="Arial" w:cs="Arial"/>
          <w:sz w:val="24"/>
          <w:szCs w:val="24"/>
        </w:rPr>
        <w:t xml:space="preserve"> argument</w:t>
      </w:r>
      <w:r w:rsidR="1409104C" w:rsidRPr="3A389656">
        <w:rPr>
          <w:rFonts w:ascii="Arial" w:hAnsi="Arial" w:cs="Arial"/>
          <w:sz w:val="24"/>
          <w:szCs w:val="24"/>
        </w:rPr>
        <w:t>s and</w:t>
      </w:r>
      <w:r w:rsidRPr="3A389656">
        <w:rPr>
          <w:rFonts w:ascii="Arial" w:hAnsi="Arial" w:cs="Arial"/>
          <w:sz w:val="24"/>
          <w:szCs w:val="24"/>
        </w:rPr>
        <w:t xml:space="preserve"> clarity. </w:t>
      </w:r>
    </w:p>
    <w:p w14:paraId="22FACAA3" w14:textId="58A1844D" w:rsidR="00594F79" w:rsidRPr="00594F79" w:rsidRDefault="00594F79" w:rsidP="00594F79">
      <w:pPr>
        <w:rPr>
          <w:rFonts w:ascii="Arial" w:hAnsi="Arial" w:cs="Arial"/>
          <w:sz w:val="24"/>
          <w:szCs w:val="24"/>
        </w:rPr>
      </w:pPr>
      <w:r w:rsidRPr="3A389656">
        <w:rPr>
          <w:rFonts w:ascii="Arial" w:hAnsi="Arial" w:cs="Arial"/>
          <w:sz w:val="24"/>
          <w:szCs w:val="24"/>
        </w:rPr>
        <w:t>This activity can be adapted for in</w:t>
      </w:r>
      <w:r w:rsidR="1218744E" w:rsidRPr="3A389656">
        <w:rPr>
          <w:rFonts w:ascii="Arial" w:hAnsi="Arial" w:cs="Arial"/>
          <w:sz w:val="24"/>
          <w:szCs w:val="24"/>
        </w:rPr>
        <w:t>-</w:t>
      </w:r>
      <w:r w:rsidRPr="3A389656">
        <w:rPr>
          <w:rFonts w:ascii="Arial" w:hAnsi="Arial" w:cs="Arial"/>
          <w:sz w:val="24"/>
          <w:szCs w:val="24"/>
        </w:rPr>
        <w:t xml:space="preserve">person debate where students pick a side of the argument and debate each other on their research and written discussion. </w:t>
      </w:r>
    </w:p>
    <w:p w14:paraId="52CF2F2D" w14:textId="77777777" w:rsidR="00594F79" w:rsidRDefault="00594F79" w:rsidP="00594F79">
      <w:pPr>
        <w:rPr>
          <w:b/>
          <w:bCs/>
          <w:u w:val="single"/>
        </w:rPr>
      </w:pPr>
    </w:p>
    <w:bookmarkEnd w:id="0"/>
    <w:p w14:paraId="215ACFAB" w14:textId="77777777" w:rsidR="00E918FB" w:rsidRPr="00594F79" w:rsidRDefault="00E918FB">
      <w:pPr>
        <w:rPr>
          <w:rFonts w:ascii="Arial" w:hAnsi="Arial" w:cs="Arial"/>
          <w:sz w:val="24"/>
          <w:szCs w:val="24"/>
          <w:lang w:val="en-US"/>
        </w:rPr>
      </w:pPr>
    </w:p>
    <w:sectPr w:rsidR="00E918FB" w:rsidRPr="00594F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F8C17" w14:textId="77777777" w:rsidR="00594F79" w:rsidRDefault="00594F79" w:rsidP="00594F79">
      <w:pPr>
        <w:spacing w:after="0" w:line="240" w:lineRule="auto"/>
      </w:pPr>
      <w:r>
        <w:separator/>
      </w:r>
    </w:p>
  </w:endnote>
  <w:endnote w:type="continuationSeparator" w:id="0">
    <w:p w14:paraId="763D4B81" w14:textId="77777777" w:rsidR="00594F79" w:rsidRDefault="00594F79" w:rsidP="0059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D7BA" w14:textId="77777777" w:rsidR="00594F79" w:rsidRDefault="00594F79" w:rsidP="00594F79">
      <w:pPr>
        <w:spacing w:after="0" w:line="240" w:lineRule="auto"/>
      </w:pPr>
      <w:r>
        <w:separator/>
      </w:r>
    </w:p>
  </w:footnote>
  <w:footnote w:type="continuationSeparator" w:id="0">
    <w:p w14:paraId="2975B277" w14:textId="77777777" w:rsidR="00594F79" w:rsidRDefault="00594F79" w:rsidP="00594F79">
      <w:pPr>
        <w:spacing w:after="0" w:line="240" w:lineRule="auto"/>
      </w:pPr>
      <w:r>
        <w:continuationSeparator/>
      </w:r>
    </w:p>
  </w:footnote>
  <w:footnote w:id="1">
    <w:p w14:paraId="44D75917" w14:textId="77777777" w:rsidR="00594F79" w:rsidRPr="00594F79" w:rsidRDefault="00594F79" w:rsidP="00594F79">
      <w:pPr>
        <w:pStyle w:val="FootnoteText"/>
        <w:rPr>
          <w:rFonts w:ascii="Arial" w:hAnsi="Arial" w:cs="Arial"/>
        </w:rPr>
      </w:pPr>
      <w:r w:rsidRPr="00594F79">
        <w:rPr>
          <w:rStyle w:val="FootnoteReference"/>
          <w:rFonts w:ascii="Arial" w:hAnsi="Arial" w:cs="Arial"/>
        </w:rPr>
        <w:footnoteRef/>
      </w:r>
      <w:r w:rsidRPr="00594F79">
        <w:rPr>
          <w:rFonts w:ascii="Arial" w:hAnsi="Arial" w:cs="Arial"/>
        </w:rPr>
        <w:t xml:space="preserve"> Lorraine Finlay’, </w:t>
      </w:r>
      <w:r w:rsidRPr="00594F79">
        <w:rPr>
          <w:rFonts w:ascii="Arial" w:hAnsi="Arial" w:cs="Arial"/>
          <w:i/>
          <w:iCs/>
        </w:rPr>
        <w:t xml:space="preserve">Protecting Free Speech Doesn’t Mean Dismissing Online Safety </w:t>
      </w:r>
      <w:r w:rsidRPr="00594F79">
        <w:rPr>
          <w:rFonts w:ascii="Arial" w:hAnsi="Arial" w:cs="Arial"/>
        </w:rPr>
        <w:t xml:space="preserve">(Web Page) https://humanrights.gov.au/about/news/opinions/protecting-free-speech-doesnt-mean-dismissing-online-safety </w:t>
      </w:r>
    </w:p>
  </w:footnote>
  <w:footnote w:id="2">
    <w:p w14:paraId="1481ABFD" w14:textId="3CCA1C26" w:rsidR="00594F79" w:rsidRPr="00594F79" w:rsidRDefault="00594F79" w:rsidP="00594F79">
      <w:pPr>
        <w:spacing w:after="0"/>
        <w:rPr>
          <w:rFonts w:ascii="Arial" w:hAnsi="Arial" w:cs="Arial"/>
          <w:sz w:val="20"/>
          <w:szCs w:val="20"/>
          <w:lang w:val="en-US"/>
        </w:rPr>
      </w:pPr>
      <w:r w:rsidRPr="00594F79">
        <w:rPr>
          <w:rStyle w:val="FootnoteReference"/>
          <w:rFonts w:ascii="Arial" w:hAnsi="Arial" w:cs="Arial"/>
          <w:sz w:val="20"/>
          <w:szCs w:val="20"/>
        </w:rPr>
        <w:footnoteRef/>
      </w:r>
      <w:r w:rsidRPr="00594F79">
        <w:rPr>
          <w:rFonts w:ascii="Arial" w:hAnsi="Arial" w:cs="Arial"/>
          <w:sz w:val="20"/>
          <w:szCs w:val="20"/>
        </w:rPr>
        <w:t xml:space="preserve"> </w:t>
      </w:r>
      <w:r w:rsidRPr="00594F79">
        <w:rPr>
          <w:rFonts w:ascii="Arial" w:hAnsi="Arial" w:cs="Arial"/>
          <w:sz w:val="20"/>
          <w:szCs w:val="20"/>
          <w:lang w:val="en-US"/>
        </w:rPr>
        <w:t xml:space="preserve">Nicolas Suzor, </w:t>
      </w:r>
      <w:r w:rsidRPr="00594F79">
        <w:rPr>
          <w:rFonts w:ascii="Arial" w:hAnsi="Arial" w:cs="Arial"/>
          <w:sz w:val="20"/>
          <w:szCs w:val="20"/>
        </w:rPr>
        <w:t xml:space="preserve">Lucinda Nelson, Rosalie Gillett, and Jean Burgess, ‘QUT Digital Media Research Centre submission in response to the Online Safety Bill 2021’ (2021) </w:t>
      </w:r>
      <w:hyperlink r:id="rId1" w:history="1">
        <w:r w:rsidRPr="00594F79">
          <w:rPr>
            <w:rStyle w:val="Hyperlink"/>
            <w:rFonts w:ascii="Arial" w:hAnsi="Arial" w:cs="Arial"/>
            <w:sz w:val="20"/>
            <w:szCs w:val="20"/>
          </w:rPr>
          <w:t>https://eprints.qut.edu.au/208582/</w:t>
        </w:r>
      </w:hyperlink>
      <w:r w:rsidRPr="00594F79">
        <w:rPr>
          <w:rFonts w:ascii="Arial" w:hAnsi="Arial" w:cs="Arial"/>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23AE0"/>
    <w:multiLevelType w:val="hybridMultilevel"/>
    <w:tmpl w:val="EA9622A2"/>
    <w:lvl w:ilvl="0" w:tplc="71344AFA">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156938"/>
    <w:multiLevelType w:val="multilevel"/>
    <w:tmpl w:val="B4D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60F83"/>
    <w:multiLevelType w:val="hybridMultilevel"/>
    <w:tmpl w:val="6ECE3BAC"/>
    <w:lvl w:ilvl="0" w:tplc="2BD05272">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C74AEF"/>
    <w:multiLevelType w:val="hybridMultilevel"/>
    <w:tmpl w:val="93A002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0F54A2F"/>
    <w:multiLevelType w:val="hybridMultilevel"/>
    <w:tmpl w:val="E5D0EE80"/>
    <w:lvl w:ilvl="0" w:tplc="EC5C3198">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6894186">
    <w:abstractNumId w:val="1"/>
  </w:num>
  <w:num w:numId="2" w16cid:durableId="2056612081">
    <w:abstractNumId w:val="2"/>
  </w:num>
  <w:num w:numId="3" w16cid:durableId="1312518101">
    <w:abstractNumId w:val="4"/>
  </w:num>
  <w:num w:numId="4" w16cid:durableId="2121335143">
    <w:abstractNumId w:val="6"/>
  </w:num>
  <w:num w:numId="5" w16cid:durableId="1642540415">
    <w:abstractNumId w:val="0"/>
  </w:num>
  <w:num w:numId="6" w16cid:durableId="160972925">
    <w:abstractNumId w:val="5"/>
  </w:num>
  <w:num w:numId="7" w16cid:durableId="1334724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209E0"/>
    <w:rsid w:val="0002467D"/>
    <w:rsid w:val="00026834"/>
    <w:rsid w:val="000431F1"/>
    <w:rsid w:val="000527F5"/>
    <w:rsid w:val="000549E1"/>
    <w:rsid w:val="0005660B"/>
    <w:rsid w:val="000C3F80"/>
    <w:rsid w:val="000E65D8"/>
    <w:rsid w:val="001214CF"/>
    <w:rsid w:val="00154E93"/>
    <w:rsid w:val="00197161"/>
    <w:rsid w:val="001B7796"/>
    <w:rsid w:val="00257D78"/>
    <w:rsid w:val="002606AA"/>
    <w:rsid w:val="002B6A5E"/>
    <w:rsid w:val="002D4836"/>
    <w:rsid w:val="00337259"/>
    <w:rsid w:val="003C07D4"/>
    <w:rsid w:val="003F12A4"/>
    <w:rsid w:val="00466FD1"/>
    <w:rsid w:val="00467250"/>
    <w:rsid w:val="00485CBA"/>
    <w:rsid w:val="004A0117"/>
    <w:rsid w:val="004A7B15"/>
    <w:rsid w:val="00506858"/>
    <w:rsid w:val="00514144"/>
    <w:rsid w:val="00594F79"/>
    <w:rsid w:val="005D22F2"/>
    <w:rsid w:val="005D3988"/>
    <w:rsid w:val="00624434"/>
    <w:rsid w:val="00640D31"/>
    <w:rsid w:val="00643F15"/>
    <w:rsid w:val="006D0B9E"/>
    <w:rsid w:val="00743FE4"/>
    <w:rsid w:val="00783EB7"/>
    <w:rsid w:val="0080036E"/>
    <w:rsid w:val="00800C19"/>
    <w:rsid w:val="00827054"/>
    <w:rsid w:val="008E321D"/>
    <w:rsid w:val="009730E8"/>
    <w:rsid w:val="00973E56"/>
    <w:rsid w:val="009C0047"/>
    <w:rsid w:val="009D6153"/>
    <w:rsid w:val="00A2393B"/>
    <w:rsid w:val="00A250BB"/>
    <w:rsid w:val="00A52867"/>
    <w:rsid w:val="00AA4740"/>
    <w:rsid w:val="00AE6F7C"/>
    <w:rsid w:val="00B12979"/>
    <w:rsid w:val="00B40EA6"/>
    <w:rsid w:val="00B6330F"/>
    <w:rsid w:val="00B92F31"/>
    <w:rsid w:val="00BD0B32"/>
    <w:rsid w:val="00BD7526"/>
    <w:rsid w:val="00C65529"/>
    <w:rsid w:val="00CF5CB8"/>
    <w:rsid w:val="00DF3813"/>
    <w:rsid w:val="00E34296"/>
    <w:rsid w:val="00E918FB"/>
    <w:rsid w:val="00F31719"/>
    <w:rsid w:val="00F35B5D"/>
    <w:rsid w:val="00F605D2"/>
    <w:rsid w:val="00FA2155"/>
    <w:rsid w:val="00FC2C82"/>
    <w:rsid w:val="039C7692"/>
    <w:rsid w:val="114E1229"/>
    <w:rsid w:val="1218744E"/>
    <w:rsid w:val="1409104C"/>
    <w:rsid w:val="17C5D601"/>
    <w:rsid w:val="2148C21F"/>
    <w:rsid w:val="241D9E06"/>
    <w:rsid w:val="3A389656"/>
    <w:rsid w:val="3BC039C6"/>
    <w:rsid w:val="3BC4287F"/>
    <w:rsid w:val="447352FC"/>
    <w:rsid w:val="46584870"/>
    <w:rsid w:val="497F6203"/>
    <w:rsid w:val="4DB07F5E"/>
    <w:rsid w:val="555F26D4"/>
    <w:rsid w:val="5B944754"/>
    <w:rsid w:val="5BD18F77"/>
    <w:rsid w:val="5F9D7103"/>
    <w:rsid w:val="66778B89"/>
    <w:rsid w:val="68B19E13"/>
    <w:rsid w:val="6D36AA2E"/>
    <w:rsid w:val="750E68F6"/>
    <w:rsid w:val="76F3B0DF"/>
    <w:rsid w:val="7CEA9659"/>
    <w:rsid w:val="7D52904E"/>
    <w:rsid w:val="7D6A1AC3"/>
    <w:rsid w:val="7FC143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paragraph" w:styleId="FootnoteText">
    <w:name w:val="footnote text"/>
    <w:basedOn w:val="Normal"/>
    <w:link w:val="FootnoteTextChar"/>
    <w:uiPriority w:val="99"/>
    <w:semiHidden/>
    <w:unhideWhenUsed/>
    <w:rsid w:val="00594F79"/>
    <w:pPr>
      <w:spacing w:after="0" w:line="240" w:lineRule="auto"/>
    </w:pPr>
    <w:rPr>
      <w:rFonts w:ascii="Arial Nova Light" w:hAnsi="Arial Nova Light"/>
      <w:sz w:val="20"/>
      <w:szCs w:val="20"/>
    </w:rPr>
  </w:style>
  <w:style w:type="character" w:customStyle="1" w:styleId="FootnoteTextChar">
    <w:name w:val="Footnote Text Char"/>
    <w:basedOn w:val="DefaultParagraphFont"/>
    <w:link w:val="FootnoteText"/>
    <w:uiPriority w:val="99"/>
    <w:semiHidden/>
    <w:rsid w:val="00594F79"/>
    <w:rPr>
      <w:rFonts w:ascii="Arial Nova Light" w:hAnsi="Arial Nova Light"/>
      <w:sz w:val="20"/>
      <w:szCs w:val="20"/>
    </w:rPr>
  </w:style>
  <w:style w:type="character" w:styleId="FootnoteReference">
    <w:name w:val="footnote reference"/>
    <w:basedOn w:val="DefaultParagraphFont"/>
    <w:uiPriority w:val="99"/>
    <w:semiHidden/>
    <w:unhideWhenUsed/>
    <w:rsid w:val="00594F79"/>
    <w:rPr>
      <w:vertAlign w:val="superscript"/>
    </w:rPr>
  </w:style>
  <w:style w:type="paragraph" w:styleId="Header">
    <w:name w:val="header"/>
    <w:basedOn w:val="Normal"/>
    <w:link w:val="HeaderChar"/>
    <w:uiPriority w:val="99"/>
    <w:unhideWhenUsed/>
    <w:rsid w:val="00594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F79"/>
  </w:style>
  <w:style w:type="paragraph" w:styleId="Footer">
    <w:name w:val="footer"/>
    <w:basedOn w:val="Normal"/>
    <w:link w:val="FooterChar"/>
    <w:uiPriority w:val="99"/>
    <w:unhideWhenUsed/>
    <w:rsid w:val="00594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920525595">
      <w:bodyDiv w:val="1"/>
      <w:marLeft w:val="0"/>
      <w:marRight w:val="0"/>
      <w:marTop w:val="0"/>
      <w:marBottom w:val="0"/>
      <w:divBdr>
        <w:top w:val="none" w:sz="0" w:space="0" w:color="auto"/>
        <w:left w:val="none" w:sz="0" w:space="0" w:color="auto"/>
        <w:bottom w:val="none" w:sz="0" w:space="0" w:color="auto"/>
        <w:right w:val="none" w:sz="0" w:space="0" w:color="auto"/>
      </w:divBdr>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591547986">
      <w:bodyDiv w:val="1"/>
      <w:marLeft w:val="0"/>
      <w:marRight w:val="0"/>
      <w:marTop w:val="0"/>
      <w:marBottom w:val="0"/>
      <w:divBdr>
        <w:top w:val="none" w:sz="0" w:space="0" w:color="auto"/>
        <w:left w:val="none" w:sz="0" w:space="0" w:color="auto"/>
        <w:bottom w:val="none" w:sz="0" w:space="0" w:color="auto"/>
        <w:right w:val="none" w:sz="0" w:space="0" w:color="auto"/>
      </w:divBdr>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prints.qut.edu.au/208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2184</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5</cp:revision>
  <dcterms:created xsi:type="dcterms:W3CDTF">2025-01-07T03:49:00Z</dcterms:created>
  <dcterms:modified xsi:type="dcterms:W3CDTF">2025-01-14T02:18:00Z</dcterms:modified>
</cp:coreProperties>
</file>