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A065" w14:textId="58198CDF" w:rsidR="00973E56" w:rsidRPr="00634168" w:rsidRDefault="007651F7" w:rsidP="00634168">
      <w:pPr>
        <w:spacing w:line="360" w:lineRule="auto"/>
        <w:rPr>
          <w:b/>
          <w:bCs/>
          <w:sz w:val="28"/>
          <w:szCs w:val="28"/>
          <w:lang w:val="en-US"/>
        </w:rPr>
      </w:pPr>
      <w:r w:rsidRPr="2995165D">
        <w:rPr>
          <w:b/>
          <w:bCs/>
          <w:sz w:val="28"/>
          <w:szCs w:val="28"/>
          <w:lang w:val="en-US"/>
        </w:rPr>
        <w:t>Children</w:t>
      </w:r>
      <w:r w:rsidR="009637BB">
        <w:rPr>
          <w:b/>
          <w:bCs/>
          <w:sz w:val="28"/>
          <w:szCs w:val="28"/>
          <w:lang w:val="en-US"/>
        </w:rPr>
        <w:t xml:space="preserve">’s online </w:t>
      </w:r>
      <w:r w:rsidR="162C021B" w:rsidRPr="2995165D">
        <w:rPr>
          <w:b/>
          <w:bCs/>
          <w:sz w:val="28"/>
          <w:szCs w:val="28"/>
          <w:lang w:val="en-US"/>
        </w:rPr>
        <w:t>p</w:t>
      </w:r>
      <w:r w:rsidRPr="2995165D">
        <w:rPr>
          <w:b/>
          <w:bCs/>
          <w:sz w:val="28"/>
          <w:szCs w:val="28"/>
          <w:lang w:val="en-US"/>
        </w:rPr>
        <w:t>rivacy</w:t>
      </w:r>
    </w:p>
    <w:p w14:paraId="47352466" w14:textId="77777777" w:rsidR="00DC7A18" w:rsidRDefault="00DC7A18" w:rsidP="00ED6DCB">
      <w:pPr>
        <w:spacing w:line="360" w:lineRule="auto"/>
        <w:rPr>
          <w:lang w:val="en-US"/>
        </w:rPr>
      </w:pPr>
    </w:p>
    <w:p w14:paraId="00A7387E" w14:textId="4C00F82F" w:rsidR="007651F7" w:rsidRDefault="00360A25" w:rsidP="00ED6DCB">
      <w:pPr>
        <w:spacing w:line="360" w:lineRule="auto"/>
        <w:jc w:val="both"/>
        <w:rPr>
          <w:lang w:val="en-US"/>
        </w:rPr>
      </w:pPr>
      <w:r w:rsidRPr="2995165D">
        <w:rPr>
          <w:lang w:val="en-US"/>
        </w:rPr>
        <w:t>Many children have digital footprints before they take their first steps, leading to concerns around privacy</w:t>
      </w:r>
      <w:r w:rsidR="00EE258A" w:rsidRPr="2995165D">
        <w:rPr>
          <w:lang w:val="en-US"/>
        </w:rPr>
        <w:t xml:space="preserve"> breaches and the exacerbation of privacy risks </w:t>
      </w:r>
      <w:r w:rsidR="004C5C7D" w:rsidRPr="2995165D">
        <w:rPr>
          <w:lang w:val="en-US"/>
        </w:rPr>
        <w:t xml:space="preserve">by the “sharing” </w:t>
      </w:r>
      <w:r w:rsidR="00C75714" w:rsidRPr="2995165D">
        <w:rPr>
          <w:lang w:val="en-US"/>
        </w:rPr>
        <w:t xml:space="preserve">practices </w:t>
      </w:r>
      <w:r w:rsidR="004C5C7D" w:rsidRPr="2995165D">
        <w:rPr>
          <w:lang w:val="en-US"/>
        </w:rPr>
        <w:t>of parents and guardians</w:t>
      </w:r>
      <w:r w:rsidR="00C75714" w:rsidRPr="2995165D">
        <w:rPr>
          <w:lang w:val="en-US"/>
        </w:rPr>
        <w:t xml:space="preserve"> online</w:t>
      </w:r>
      <w:r w:rsidR="004C5C7D" w:rsidRPr="2995165D">
        <w:rPr>
          <w:lang w:val="en-US"/>
        </w:rPr>
        <w:t xml:space="preserve">. </w:t>
      </w:r>
      <w:r w:rsidR="004E1495" w:rsidRPr="2995165D">
        <w:rPr>
          <w:lang w:val="en-US"/>
        </w:rPr>
        <w:t>T</w:t>
      </w:r>
      <w:r w:rsidR="007651F7" w:rsidRPr="2995165D">
        <w:rPr>
          <w:lang w:val="en-US"/>
        </w:rPr>
        <w:t xml:space="preserve">he term “sharenting” </w:t>
      </w:r>
      <w:r w:rsidR="004E1495" w:rsidRPr="2995165D">
        <w:rPr>
          <w:lang w:val="en-US"/>
        </w:rPr>
        <w:t xml:space="preserve">refers to a parent/guardian sharing </w:t>
      </w:r>
      <w:r w:rsidR="007651F7">
        <w:t xml:space="preserve">photos, videos, personal stories, and other updates about the child’s daily activities, such as eating, sleeping, bathing, and playing. </w:t>
      </w:r>
      <w:r w:rsidR="0085509A">
        <w:t xml:space="preserve">Sharenting </w:t>
      </w:r>
      <w:r w:rsidR="00A77089">
        <w:t>invokes a t</w:t>
      </w:r>
      <w:r w:rsidR="0085509A">
        <w:t>ension between the child’s interest in privacy</w:t>
      </w:r>
      <w:r w:rsidR="004C1635">
        <w:t xml:space="preserve"> and autonomy over their digital identity</w:t>
      </w:r>
      <w:r w:rsidR="0085509A">
        <w:t xml:space="preserve">, and the parent/guardian’s right </w:t>
      </w:r>
      <w:r w:rsidR="007651F7">
        <w:t xml:space="preserve">to freedom of speech and </w:t>
      </w:r>
      <w:r w:rsidR="00A77089">
        <w:t xml:space="preserve">to </w:t>
      </w:r>
      <w:r w:rsidR="007651F7">
        <w:t xml:space="preserve">have control over the upbringing of their children. </w:t>
      </w:r>
    </w:p>
    <w:p w14:paraId="6CC23FB0" w14:textId="77777777" w:rsidR="00150893" w:rsidRDefault="00150893" w:rsidP="00ED6DCB">
      <w:pPr>
        <w:spacing w:line="360" w:lineRule="auto"/>
        <w:jc w:val="both"/>
        <w:rPr>
          <w:lang w:val="en-US"/>
        </w:rPr>
      </w:pPr>
    </w:p>
    <w:p w14:paraId="29AB1FF7" w14:textId="2016409B" w:rsidR="007651F7" w:rsidRPr="007651F7" w:rsidRDefault="007651F7" w:rsidP="00ED6DC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lang w:val="en-US"/>
        </w:rPr>
      </w:pPr>
      <w:r w:rsidRPr="2995165D">
        <w:rPr>
          <w:b/>
          <w:bCs/>
          <w:lang w:val="en-US"/>
        </w:rPr>
        <w:t xml:space="preserve">Risks </w:t>
      </w:r>
      <w:r w:rsidR="7A94A4A2" w:rsidRPr="2995165D">
        <w:rPr>
          <w:b/>
          <w:bCs/>
          <w:lang w:val="en-US"/>
        </w:rPr>
        <w:t>a</w:t>
      </w:r>
      <w:r w:rsidRPr="2995165D">
        <w:rPr>
          <w:b/>
          <w:bCs/>
          <w:lang w:val="en-US"/>
        </w:rPr>
        <w:t xml:space="preserve">ssociated </w:t>
      </w:r>
      <w:r w:rsidR="00564DD4" w:rsidRPr="2995165D">
        <w:rPr>
          <w:b/>
          <w:bCs/>
          <w:lang w:val="en-US"/>
        </w:rPr>
        <w:t xml:space="preserve">with </w:t>
      </w:r>
      <w:r w:rsidR="10F11DE7" w:rsidRPr="2995165D">
        <w:rPr>
          <w:b/>
          <w:bCs/>
          <w:lang w:val="en-US"/>
        </w:rPr>
        <w:t>s</w:t>
      </w:r>
      <w:r w:rsidR="00564DD4" w:rsidRPr="2995165D">
        <w:rPr>
          <w:b/>
          <w:bCs/>
          <w:lang w:val="en-US"/>
        </w:rPr>
        <w:t>harenting</w:t>
      </w:r>
    </w:p>
    <w:p w14:paraId="0C69EAF9" w14:textId="77777777" w:rsidR="007651F7" w:rsidRPr="007651F7" w:rsidRDefault="007651F7" w:rsidP="00ED6DCB">
      <w:pPr>
        <w:spacing w:line="360" w:lineRule="auto"/>
        <w:jc w:val="both"/>
        <w:rPr>
          <w:lang w:val="en-US"/>
        </w:rPr>
      </w:pPr>
    </w:p>
    <w:p w14:paraId="3899D0A7" w14:textId="0290DFB0" w:rsidR="0065390A" w:rsidRDefault="00A77089" w:rsidP="00ED6DCB">
      <w:pPr>
        <w:spacing w:line="360" w:lineRule="auto"/>
        <w:jc w:val="both"/>
      </w:pPr>
      <w:r>
        <w:rPr>
          <w:lang w:val="en-US"/>
        </w:rPr>
        <w:t>As information</w:t>
      </w:r>
      <w:r w:rsidR="49DF02E9">
        <w:rPr>
          <w:lang w:val="en-US"/>
        </w:rPr>
        <w:t xml:space="preserve"> </w:t>
      </w:r>
      <w:r>
        <w:rPr>
          <w:lang w:val="en-US"/>
        </w:rPr>
        <w:t>cannot easily</w:t>
      </w:r>
      <w:r w:rsidR="5A204308">
        <w:rPr>
          <w:lang w:val="en-US"/>
        </w:rPr>
        <w:t xml:space="preserve"> be erased</w:t>
      </w:r>
      <w:r>
        <w:rPr>
          <w:lang w:val="en-US"/>
        </w:rPr>
        <w:t xml:space="preserve"> </w:t>
      </w:r>
      <w:r w:rsidR="0DEA38B1">
        <w:rPr>
          <w:lang w:val="en-US"/>
        </w:rPr>
        <w:t>once shared online</w:t>
      </w:r>
      <w:r w:rsidR="73C38CD0">
        <w:rPr>
          <w:lang w:val="en-US"/>
        </w:rPr>
        <w:t>,</w:t>
      </w:r>
      <w:r>
        <w:rPr>
          <w:lang w:val="en-US"/>
        </w:rPr>
        <w:t xml:space="preserve"> the harms of sharenting m</w:t>
      </w:r>
      <w:r w:rsidR="007651F7" w:rsidRPr="007651F7">
        <w:t>ay include</w:t>
      </w:r>
      <w:r w:rsidR="69CFDFB8" w:rsidRPr="007651F7">
        <w:t>:</w:t>
      </w:r>
    </w:p>
    <w:p w14:paraId="6A471D83" w14:textId="1307A23A" w:rsidR="0065390A" w:rsidRDefault="007651F7" w:rsidP="2995165D">
      <w:pPr>
        <w:pStyle w:val="ListParagraph"/>
        <w:numPr>
          <w:ilvl w:val="0"/>
          <w:numId w:val="1"/>
        </w:numPr>
        <w:spacing w:line="360" w:lineRule="auto"/>
        <w:jc w:val="both"/>
      </w:pPr>
      <w:r w:rsidRPr="007651F7">
        <w:t>identity theft</w:t>
      </w:r>
    </w:p>
    <w:p w14:paraId="5F92CA1C" w14:textId="68DD9E9A" w:rsidR="0065390A" w:rsidRDefault="0970BE0F" w:rsidP="2995165D">
      <w:pPr>
        <w:pStyle w:val="ListParagraph"/>
        <w:numPr>
          <w:ilvl w:val="0"/>
          <w:numId w:val="1"/>
        </w:numPr>
        <w:spacing w:line="360" w:lineRule="auto"/>
        <w:jc w:val="both"/>
      </w:pPr>
      <w:r w:rsidRPr="007651F7">
        <w:t>r</w:t>
      </w:r>
      <w:r w:rsidR="007651F7" w:rsidRPr="007651F7">
        <w:t>esharing pirated information on predator sites</w:t>
      </w:r>
    </w:p>
    <w:p w14:paraId="25B75FB3" w14:textId="5CE75AAF" w:rsidR="0065390A" w:rsidRDefault="007651F7" w:rsidP="2995165D">
      <w:pPr>
        <w:pStyle w:val="ListParagraph"/>
        <w:numPr>
          <w:ilvl w:val="0"/>
          <w:numId w:val="1"/>
        </w:numPr>
        <w:spacing w:line="360" w:lineRule="auto"/>
        <w:jc w:val="both"/>
      </w:pPr>
      <w:r w:rsidRPr="007651F7">
        <w:t xml:space="preserve">sharing psychosocial information that should remain private, and </w:t>
      </w:r>
    </w:p>
    <w:p w14:paraId="0947FC63" w14:textId="77777777" w:rsidR="0065390A" w:rsidRDefault="007651F7" w:rsidP="2995165D">
      <w:pPr>
        <w:pStyle w:val="ListParagraph"/>
        <w:numPr>
          <w:ilvl w:val="0"/>
          <w:numId w:val="1"/>
        </w:numPr>
        <w:spacing w:line="360" w:lineRule="auto"/>
        <w:jc w:val="both"/>
      </w:pPr>
      <w:r w:rsidRPr="007651F7">
        <w:t>sharing revealing or embarrassing information that may be misused by others.</w:t>
      </w:r>
      <w:r>
        <w:rPr>
          <w:rStyle w:val="FootnoteReference"/>
        </w:rPr>
        <w:footnoteReference w:id="1"/>
      </w:r>
      <w:r>
        <w:t xml:space="preserve"> </w:t>
      </w:r>
    </w:p>
    <w:p w14:paraId="41CDFD82" w14:textId="1157F402" w:rsidR="0065390A" w:rsidRDefault="0065390A" w:rsidP="2995165D">
      <w:pPr>
        <w:spacing w:line="360" w:lineRule="auto"/>
        <w:jc w:val="both"/>
      </w:pPr>
    </w:p>
    <w:p w14:paraId="5AE9ABA1" w14:textId="0DAEAC30" w:rsidR="0065390A" w:rsidRDefault="000C5534" w:rsidP="2995165D">
      <w:pPr>
        <w:spacing w:line="360" w:lineRule="auto"/>
        <w:jc w:val="both"/>
      </w:pPr>
      <w:r>
        <w:t xml:space="preserve">Long-term consequences can include a </w:t>
      </w:r>
      <w:r w:rsidRPr="00150893">
        <w:t>negative impact on the emotional, social and intellectual development of a child</w:t>
      </w:r>
      <w:r w:rsidR="204252A1" w:rsidRPr="00150893">
        <w:t>,</w:t>
      </w:r>
      <w:r>
        <w:t xml:space="preserve"> as they may grow up to resent their parents, be victim to bullying and harassment, </w:t>
      </w:r>
      <w:r w:rsidR="0065390A">
        <w:t>or</w:t>
      </w:r>
      <w:r>
        <w:t xml:space="preserve"> </w:t>
      </w:r>
      <w:proofErr w:type="gramStart"/>
      <w:r>
        <w:t>have to</w:t>
      </w:r>
      <w:proofErr w:type="gramEnd"/>
      <w:r>
        <w:t xml:space="preserve"> rebuild their digital identity.</w:t>
      </w:r>
      <w:r w:rsidR="00B117B6">
        <w:rPr>
          <w:rStyle w:val="FootnoteReference"/>
        </w:rPr>
        <w:footnoteReference w:id="2"/>
      </w:r>
      <w:r w:rsidR="00B117B6">
        <w:t xml:space="preserve"> </w:t>
      </w:r>
      <w:r w:rsidR="00F15C8A">
        <w:t xml:space="preserve"> </w:t>
      </w:r>
    </w:p>
    <w:p w14:paraId="71B5F684" w14:textId="77777777" w:rsidR="0065390A" w:rsidRDefault="0065390A" w:rsidP="00ED6DCB">
      <w:pPr>
        <w:spacing w:line="360" w:lineRule="auto"/>
        <w:jc w:val="both"/>
      </w:pPr>
    </w:p>
    <w:p w14:paraId="585F146D" w14:textId="7C3A816F" w:rsidR="00564DD4" w:rsidRDefault="0065390A" w:rsidP="00ED6DCB">
      <w:pPr>
        <w:spacing w:line="360" w:lineRule="auto"/>
        <w:jc w:val="both"/>
      </w:pPr>
      <w:r>
        <w:rPr>
          <w:lang w:val="en-US"/>
        </w:rPr>
        <w:t>S</w:t>
      </w:r>
      <w:r w:rsidR="007651F7" w:rsidRPr="007651F7">
        <w:rPr>
          <w:lang w:val="en-US"/>
        </w:rPr>
        <w:t>tudies conducted by the</w:t>
      </w:r>
      <w:r w:rsidR="007651F7" w:rsidRPr="007651F7">
        <w:rPr>
          <w:rFonts w:ascii="Helvetica Neue" w:hAnsi="Helvetica Neue"/>
          <w:color w:val="333333"/>
        </w:rPr>
        <w:t xml:space="preserve"> </w:t>
      </w:r>
      <w:r w:rsidR="007651F7" w:rsidRPr="007651F7">
        <w:t xml:space="preserve">Australian </w:t>
      </w:r>
      <w:r w:rsidR="45996A9B" w:rsidRPr="007651F7">
        <w:t>G</w:t>
      </w:r>
      <w:r w:rsidR="007651F7" w:rsidRPr="007651F7">
        <w:t xml:space="preserve">overnment’s </w:t>
      </w:r>
      <w:proofErr w:type="spellStart"/>
      <w:r w:rsidR="007651F7" w:rsidRPr="007651F7">
        <w:t>eSafety</w:t>
      </w:r>
      <w:proofErr w:type="spellEnd"/>
      <w:r w:rsidR="007651F7" w:rsidRPr="007651F7">
        <w:t xml:space="preserve"> </w:t>
      </w:r>
      <w:r w:rsidR="00FE53D1">
        <w:t>C</w:t>
      </w:r>
      <w:r w:rsidR="007651F7" w:rsidRPr="007651F7">
        <w:t xml:space="preserve">ommission found approximately 50% of images shared on </w:t>
      </w:r>
      <w:r w:rsidR="046178BF" w:rsidRPr="007651F7">
        <w:t>paedophile</w:t>
      </w:r>
      <w:r w:rsidR="007651F7" w:rsidRPr="007651F7">
        <w:t xml:space="preserve"> sites were taken from social media.</w:t>
      </w:r>
      <w:r w:rsidR="007651F7">
        <w:t xml:space="preserve"> </w:t>
      </w:r>
      <w:r w:rsidR="00695CE0">
        <w:t>The new phenomenon of “Kidfluencers” adds an additional element to this risk</w:t>
      </w:r>
      <w:r w:rsidR="0072630A">
        <w:t xml:space="preserve">. A recent controversial instance </w:t>
      </w:r>
      <w:r w:rsidR="00564DD4">
        <w:t xml:space="preserve">concerned a </w:t>
      </w:r>
      <w:r w:rsidR="00695CE0">
        <w:t>3-year-old</w:t>
      </w:r>
      <w:r w:rsidR="00564DD4">
        <w:t xml:space="preserve"> girl, Wren Eleanor, whose mother posted videos of her on their TikTok account, which over time accrued over 17 million followers. </w:t>
      </w:r>
      <w:r w:rsidR="00970BDF">
        <w:t>A</w:t>
      </w:r>
      <w:r w:rsidR="00564DD4">
        <w:t xml:space="preserve">s the videos gained attention, people started the notice the ‘creepy </w:t>
      </w:r>
      <w:proofErr w:type="gramStart"/>
      <w:r w:rsidR="00564DD4">
        <w:t>comments’</w:t>
      </w:r>
      <w:proofErr w:type="gramEnd"/>
      <w:r w:rsidR="0056078C">
        <w:t xml:space="preserve"> </w:t>
      </w:r>
      <w:r w:rsidR="00564DD4">
        <w:t>and mass amounts of times the video</w:t>
      </w:r>
      <w:r w:rsidR="00193FF8">
        <w:t>s</w:t>
      </w:r>
      <w:r w:rsidR="00564DD4">
        <w:t xml:space="preserve"> had </w:t>
      </w:r>
      <w:r w:rsidR="00564DD4">
        <w:lastRenderedPageBreak/>
        <w:t>been saved by other anonymous users</w:t>
      </w:r>
      <w:r w:rsidR="00695CE0">
        <w:t xml:space="preserve">, </w:t>
      </w:r>
      <w:r w:rsidR="00F363EA">
        <w:t xml:space="preserve">and concerns were expressed that the </w:t>
      </w:r>
      <w:r w:rsidR="00695CE0">
        <w:t xml:space="preserve">mother may have been exploiting her child for </w:t>
      </w:r>
      <w:r w:rsidR="00564DD4">
        <w:t>money.</w:t>
      </w:r>
      <w:r w:rsidR="00695CE0">
        <w:rPr>
          <w:rStyle w:val="FootnoteReference"/>
        </w:rPr>
        <w:footnoteReference w:id="3"/>
      </w:r>
      <w:r w:rsidR="00564DD4">
        <w:t xml:space="preserve"> </w:t>
      </w:r>
    </w:p>
    <w:p w14:paraId="2AC0194E" w14:textId="77777777" w:rsidR="007651F7" w:rsidRPr="007651F7" w:rsidRDefault="007651F7" w:rsidP="00ED6DCB">
      <w:pPr>
        <w:spacing w:line="360" w:lineRule="auto"/>
        <w:jc w:val="both"/>
      </w:pPr>
    </w:p>
    <w:p w14:paraId="200D66AE" w14:textId="2F937570" w:rsidR="007651F7" w:rsidRPr="007651F7" w:rsidRDefault="007651F7" w:rsidP="00ED6DC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lang w:val="en-US"/>
        </w:rPr>
      </w:pPr>
      <w:r w:rsidRPr="2995165D">
        <w:rPr>
          <w:b/>
          <w:bCs/>
          <w:lang w:val="en-US"/>
        </w:rPr>
        <w:t>Legislation</w:t>
      </w:r>
      <w:r w:rsidR="00564DD4" w:rsidRPr="2995165D">
        <w:rPr>
          <w:b/>
          <w:bCs/>
          <w:lang w:val="en-US"/>
        </w:rPr>
        <w:t xml:space="preserve"> </w:t>
      </w:r>
      <w:r w:rsidR="45029DA2" w:rsidRPr="2995165D">
        <w:rPr>
          <w:b/>
          <w:bCs/>
          <w:lang w:val="en-US"/>
        </w:rPr>
        <w:t>g</w:t>
      </w:r>
      <w:r w:rsidR="00564DD4" w:rsidRPr="2995165D">
        <w:rPr>
          <w:b/>
          <w:bCs/>
          <w:lang w:val="en-US"/>
        </w:rPr>
        <w:t xml:space="preserve">overning the </w:t>
      </w:r>
      <w:r w:rsidR="6A0C2239" w:rsidRPr="2995165D">
        <w:rPr>
          <w:b/>
          <w:bCs/>
          <w:lang w:val="en-US"/>
        </w:rPr>
        <w:t>p</w:t>
      </w:r>
      <w:r w:rsidR="00564DD4" w:rsidRPr="2995165D">
        <w:rPr>
          <w:b/>
          <w:bCs/>
          <w:lang w:val="en-US"/>
        </w:rPr>
        <w:t xml:space="preserve">rivacy </w:t>
      </w:r>
      <w:r w:rsidR="2E97BE34" w:rsidRPr="2995165D">
        <w:rPr>
          <w:b/>
          <w:bCs/>
          <w:lang w:val="en-US"/>
        </w:rPr>
        <w:t>r</w:t>
      </w:r>
      <w:r w:rsidR="00564DD4" w:rsidRPr="2995165D">
        <w:rPr>
          <w:b/>
          <w:bCs/>
          <w:lang w:val="en-US"/>
        </w:rPr>
        <w:t xml:space="preserve">ights of </w:t>
      </w:r>
      <w:r w:rsidR="476E14DE" w:rsidRPr="2995165D">
        <w:rPr>
          <w:b/>
          <w:bCs/>
          <w:lang w:val="en-US"/>
        </w:rPr>
        <w:t>children</w:t>
      </w:r>
    </w:p>
    <w:p w14:paraId="1361C3E9" w14:textId="77777777" w:rsidR="007651F7" w:rsidRDefault="007651F7" w:rsidP="00ED6DCB">
      <w:pPr>
        <w:spacing w:line="360" w:lineRule="auto"/>
        <w:jc w:val="both"/>
        <w:rPr>
          <w:lang w:val="en-US"/>
        </w:rPr>
      </w:pPr>
    </w:p>
    <w:p w14:paraId="2E019F45" w14:textId="77777777" w:rsidR="00BA1880" w:rsidRDefault="00DD670A" w:rsidP="00ED6DC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law leaves children’s online privacy </w:t>
      </w:r>
      <w:r w:rsidR="005836C5">
        <w:rPr>
          <w:lang w:val="en-US"/>
        </w:rPr>
        <w:t xml:space="preserve">and sharenting </w:t>
      </w:r>
      <w:r>
        <w:rPr>
          <w:lang w:val="en-US"/>
        </w:rPr>
        <w:t>largely unregulated as current laws do not address o</w:t>
      </w:r>
      <w:r w:rsidR="00FD37F6">
        <w:rPr>
          <w:lang w:val="en-US"/>
        </w:rPr>
        <w:t>r</w:t>
      </w:r>
      <w:r>
        <w:rPr>
          <w:lang w:val="en-US"/>
        </w:rPr>
        <w:t xml:space="preserve"> govern the publication of a child’s image or information online.</w:t>
      </w:r>
      <w:r>
        <w:rPr>
          <w:rStyle w:val="FootnoteReference"/>
          <w:lang w:val="en-US"/>
        </w:rPr>
        <w:footnoteReference w:id="4"/>
      </w:r>
      <w:r>
        <w:rPr>
          <w:lang w:val="en-US"/>
        </w:rPr>
        <w:t xml:space="preserve"> According to the United Nations Convention on the Rights of the Child, a child means every human under the age of eighteen, but </w:t>
      </w:r>
      <w:r>
        <w:t>i</w:t>
      </w:r>
      <w:r w:rsidR="007651F7">
        <w:t>n Australia, t</w:t>
      </w:r>
      <w:r w:rsidR="007651F7" w:rsidRPr="007651F7">
        <w:t xml:space="preserve">he </w:t>
      </w:r>
      <w:r w:rsidR="007651F7" w:rsidRPr="00DD670A">
        <w:rPr>
          <w:i/>
          <w:iCs/>
        </w:rPr>
        <w:t xml:space="preserve">Privacy Act 1988 </w:t>
      </w:r>
      <w:r w:rsidR="007651F7" w:rsidRPr="007651F7">
        <w:t>protects an individual's personal information regardless of their age. It doesn't specify an age after which an individual can make their own privacy decision</w:t>
      </w:r>
      <w:r>
        <w:t>, but f</w:t>
      </w:r>
      <w:r w:rsidR="007651F7" w:rsidRPr="007651F7">
        <w:t>or their consent to be valid, an individual must have capacity to consent.</w:t>
      </w:r>
      <w:r>
        <w:t xml:space="preserve"> </w:t>
      </w:r>
      <w:r>
        <w:rPr>
          <w:lang w:val="en-US"/>
        </w:rPr>
        <w:t>Article 16 of the UN Convention on the Rights of the Child, states that</w:t>
      </w:r>
      <w:r w:rsidR="00BA1880">
        <w:rPr>
          <w:lang w:val="en-US"/>
        </w:rPr>
        <w:t>:</w:t>
      </w:r>
    </w:p>
    <w:p w14:paraId="1F0253E9" w14:textId="77777777" w:rsidR="00BA1880" w:rsidRDefault="00BA1880" w:rsidP="00BA1880">
      <w:pPr>
        <w:spacing w:line="360" w:lineRule="auto"/>
        <w:ind w:left="720"/>
        <w:jc w:val="both"/>
        <w:rPr>
          <w:lang w:val="en-US"/>
        </w:rPr>
      </w:pPr>
    </w:p>
    <w:p w14:paraId="550BEC79" w14:textId="38333198" w:rsidR="00BA1880" w:rsidRDefault="00DD670A" w:rsidP="00BA1880">
      <w:pPr>
        <w:spacing w:line="360" w:lineRule="auto"/>
        <w:ind w:left="720"/>
        <w:jc w:val="both"/>
      </w:pPr>
      <w:r>
        <w:rPr>
          <w:lang w:val="en-US"/>
        </w:rPr>
        <w:t>“</w:t>
      </w:r>
      <w:r w:rsidRPr="007651F7">
        <w:t xml:space="preserve">No child shall be subjected to arbitrary or unlawful interference with his or her privacy, family, home or correspondence, nor to unlawful attacks on his or her honour and </w:t>
      </w:r>
      <w:r>
        <w:t>reputation and t</w:t>
      </w:r>
      <w:r w:rsidRPr="007651F7">
        <w:t>he child has the right to the protection of the law against such interference or attacks.</w:t>
      </w:r>
      <w:r>
        <w:t xml:space="preserve">” </w:t>
      </w:r>
    </w:p>
    <w:p w14:paraId="3BC2B8AA" w14:textId="77777777" w:rsidR="00BA1880" w:rsidRDefault="00BA1880" w:rsidP="00BA1880">
      <w:pPr>
        <w:spacing w:line="360" w:lineRule="auto"/>
        <w:jc w:val="both"/>
      </w:pPr>
    </w:p>
    <w:p w14:paraId="039900AD" w14:textId="05D4475F" w:rsidR="0046231C" w:rsidRDefault="00DD670A" w:rsidP="00BA1880">
      <w:pPr>
        <w:spacing w:line="360" w:lineRule="auto"/>
        <w:jc w:val="both"/>
        <w:rPr>
          <w:lang w:val="en-US"/>
        </w:rPr>
      </w:pPr>
      <w:r>
        <w:rPr>
          <w:lang w:val="en-US"/>
        </w:rPr>
        <w:t>Social media platforms are regulated in collecting and handling data on children’s accounts, but individuals</w:t>
      </w:r>
      <w:r w:rsidR="00FD37F6">
        <w:rPr>
          <w:lang w:val="en-US"/>
        </w:rPr>
        <w:t xml:space="preserve">’ </w:t>
      </w:r>
      <w:r>
        <w:rPr>
          <w:lang w:val="en-US"/>
        </w:rPr>
        <w:t>digital privacy is left to user discretion</w:t>
      </w:r>
      <w:r w:rsidR="00B91CD9">
        <w:rPr>
          <w:lang w:val="en-US"/>
        </w:rPr>
        <w:t>. H</w:t>
      </w:r>
      <w:r>
        <w:rPr>
          <w:lang w:val="en-US"/>
        </w:rPr>
        <w:t>ence a child’s privacy can still be overruled by their parents</w:t>
      </w:r>
      <w:r w:rsidR="00FD510C">
        <w:rPr>
          <w:lang w:val="en-US"/>
        </w:rPr>
        <w:t>’</w:t>
      </w:r>
      <w:r>
        <w:rPr>
          <w:lang w:val="en-US"/>
        </w:rPr>
        <w:t xml:space="preserve"> freedom of speech and discretion.</w:t>
      </w:r>
      <w:r w:rsidR="00FD510C">
        <w:rPr>
          <w:lang w:val="en-US"/>
        </w:rPr>
        <w:t xml:space="preserve"> </w:t>
      </w:r>
    </w:p>
    <w:p w14:paraId="7A2DD6E7" w14:textId="77777777" w:rsidR="0046231C" w:rsidRDefault="0046231C" w:rsidP="00ED6DCB">
      <w:pPr>
        <w:spacing w:line="360" w:lineRule="auto"/>
        <w:jc w:val="both"/>
        <w:rPr>
          <w:lang w:val="en-US"/>
        </w:rPr>
      </w:pPr>
    </w:p>
    <w:p w14:paraId="78FF7226" w14:textId="1FBB941D" w:rsidR="00564DD4" w:rsidRPr="00DD670A" w:rsidRDefault="00564DD4" w:rsidP="00ED6DCB">
      <w:pPr>
        <w:spacing w:line="360" w:lineRule="auto"/>
        <w:jc w:val="both"/>
      </w:pPr>
      <w:r>
        <w:rPr>
          <w:lang w:val="en-US"/>
        </w:rPr>
        <w:t xml:space="preserve">There have been attempts by other countries to implement specific </w:t>
      </w:r>
      <w:r w:rsidR="00DD670A">
        <w:rPr>
          <w:lang w:val="en-US"/>
        </w:rPr>
        <w:t>regulations</w:t>
      </w:r>
      <w:r>
        <w:rPr>
          <w:lang w:val="en-US"/>
        </w:rPr>
        <w:t xml:space="preserve"> </w:t>
      </w:r>
      <w:r w:rsidR="00DD670A" w:rsidRPr="00DD670A">
        <w:t>related to the sharing of children’s personal data</w:t>
      </w:r>
      <w:r w:rsidR="00DD670A">
        <w:t xml:space="preserve">, but no countries had adopted </w:t>
      </w:r>
      <w:r w:rsidR="00DD670A" w:rsidRPr="00DD670A">
        <w:t>laws that protects children’s privacy through the lens of rights to their images until earlier this year. In France, the Law n</w:t>
      </w:r>
      <w:r w:rsidR="0046231C">
        <w:t xml:space="preserve">o. </w:t>
      </w:r>
      <w:r w:rsidR="00DD670A" w:rsidRPr="00DD670A">
        <w:t xml:space="preserve">2024-120 of February 19, 2024 (“Children’s Image Rights Law”), was implemented with </w:t>
      </w:r>
      <w:r w:rsidR="00DD670A">
        <w:t>a</w:t>
      </w:r>
      <w:r w:rsidR="00DD670A" w:rsidRPr="00DD670A">
        <w:t>ims to tackle risks of sharenting, by completing measures to limit risk-creating behaviour</w:t>
      </w:r>
      <w:r w:rsidR="00DD670A">
        <w:t xml:space="preserve"> and </w:t>
      </w:r>
      <w:r w:rsidR="00DD670A" w:rsidRPr="00DD670A">
        <w:t>enshrine children’s right to privacy and facilitate the exercise of rights which protect minors</w:t>
      </w:r>
      <w:r w:rsidR="00DD670A">
        <w:t>.</w:t>
      </w:r>
      <w:r w:rsidR="00DD670A">
        <w:rPr>
          <w:rStyle w:val="FootnoteReference"/>
        </w:rPr>
        <w:footnoteReference w:id="5"/>
      </w:r>
      <w:r w:rsidR="00DD670A">
        <w:t xml:space="preserve"> This new law is the first law of </w:t>
      </w:r>
      <w:r w:rsidR="00FD37F6">
        <w:t>its</w:t>
      </w:r>
      <w:r w:rsidR="00DD670A">
        <w:t xml:space="preserve"> kind and sets the precedent for other countries to do the </w:t>
      </w:r>
      <w:r w:rsidR="00DD670A">
        <w:lastRenderedPageBreak/>
        <w:t xml:space="preserve">same, to ensure the safety of children and the risks associated with their privacy and image are protected. </w:t>
      </w:r>
    </w:p>
    <w:p w14:paraId="6E7AF15E" w14:textId="27DC0A84" w:rsidR="00DD670A" w:rsidRPr="00DD670A" w:rsidRDefault="00DD670A" w:rsidP="00DD670A">
      <w:pPr>
        <w:rPr>
          <w:lang w:val="en-US"/>
        </w:rPr>
      </w:pPr>
    </w:p>
    <w:sectPr w:rsidR="00DD670A" w:rsidRPr="00DD670A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C698A" w14:textId="77777777" w:rsidR="007C4579" w:rsidRDefault="007C4579" w:rsidP="007651F7">
      <w:r>
        <w:separator/>
      </w:r>
    </w:p>
  </w:endnote>
  <w:endnote w:type="continuationSeparator" w:id="0">
    <w:p w14:paraId="144E5AD3" w14:textId="77777777" w:rsidR="007C4579" w:rsidRDefault="007C4579" w:rsidP="0076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541973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33D08B" w14:textId="194DD98D" w:rsidR="00150893" w:rsidRDefault="00150893" w:rsidP="002D35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97E4DE" w14:textId="77777777" w:rsidR="00150893" w:rsidRDefault="00150893" w:rsidP="001508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561303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CAA67E" w14:textId="3D917B1D" w:rsidR="00150893" w:rsidRDefault="00150893" w:rsidP="002D35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24407B" w14:textId="77777777" w:rsidR="00150893" w:rsidRDefault="00150893" w:rsidP="00150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43FE9" w14:textId="77777777" w:rsidR="007C4579" w:rsidRDefault="007C4579" w:rsidP="007651F7">
      <w:r>
        <w:separator/>
      </w:r>
    </w:p>
  </w:footnote>
  <w:footnote w:type="continuationSeparator" w:id="0">
    <w:p w14:paraId="2B188607" w14:textId="77777777" w:rsidR="007C4579" w:rsidRDefault="007C4579" w:rsidP="007651F7">
      <w:r>
        <w:continuationSeparator/>
      </w:r>
    </w:p>
  </w:footnote>
  <w:footnote w:id="1">
    <w:p w14:paraId="01D37D10" w14:textId="2BC1289F" w:rsidR="007651F7" w:rsidRDefault="007651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651F7">
        <w:t>Keith et al, ‘Parental Sharing on the Internet</w:t>
      </w:r>
      <w:r w:rsidRPr="007651F7">
        <w:rPr>
          <w:rFonts w:eastAsiaTheme="majorEastAsia"/>
        </w:rPr>
        <w:t xml:space="preserve">: Child Privacy in the Age of Social Media and the </w:t>
      </w:r>
      <w:proofErr w:type="spellStart"/>
      <w:r w:rsidRPr="007651F7">
        <w:rPr>
          <w:rFonts w:eastAsiaTheme="majorEastAsia"/>
        </w:rPr>
        <w:t>Pediatrician’s</w:t>
      </w:r>
      <w:proofErr w:type="spellEnd"/>
      <w:r w:rsidRPr="007651F7">
        <w:rPr>
          <w:rFonts w:eastAsiaTheme="majorEastAsia"/>
        </w:rPr>
        <w:t xml:space="preserve"> Role</w:t>
      </w:r>
      <w:r w:rsidRPr="007651F7">
        <w:t>’ (2017)</w:t>
      </w:r>
      <w:r w:rsidRPr="007651F7">
        <w:rPr>
          <w:rFonts w:eastAsiaTheme="majorEastAsia"/>
          <w:i/>
          <w:iCs/>
          <w:sz w:val="24"/>
          <w:szCs w:val="24"/>
        </w:rPr>
        <w:t xml:space="preserve"> </w:t>
      </w:r>
      <w:r w:rsidRPr="007651F7">
        <w:rPr>
          <w:rFonts w:eastAsiaTheme="majorEastAsia"/>
          <w:i/>
          <w:iCs/>
        </w:rPr>
        <w:t xml:space="preserve">JAMA </w:t>
      </w:r>
      <w:proofErr w:type="spellStart"/>
      <w:r w:rsidRPr="007651F7">
        <w:rPr>
          <w:rFonts w:eastAsiaTheme="majorEastAsia"/>
          <w:i/>
          <w:iCs/>
        </w:rPr>
        <w:t>Pediatr</w:t>
      </w:r>
      <w:r w:rsidRPr="007651F7">
        <w:rPr>
          <w:i/>
          <w:iCs/>
        </w:rPr>
        <w:t>ics</w:t>
      </w:r>
      <w:proofErr w:type="spellEnd"/>
      <w:r w:rsidRPr="007651F7">
        <w:t xml:space="preserve"> 171(5), 413–414.</w:t>
      </w:r>
    </w:p>
  </w:footnote>
  <w:footnote w:id="2">
    <w:p w14:paraId="274FD1B2" w14:textId="77777777" w:rsidR="00B117B6" w:rsidRDefault="00B117B6" w:rsidP="00B117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50893">
        <w:t>Bezáková</w:t>
      </w:r>
      <w:proofErr w:type="spellEnd"/>
      <w:r>
        <w:t xml:space="preserve"> et al</w:t>
      </w:r>
      <w:r w:rsidRPr="00150893">
        <w:t xml:space="preserve">, ‘Security Risks </w:t>
      </w:r>
      <w:proofErr w:type="gramStart"/>
      <w:r w:rsidRPr="00150893">
        <w:t>Of</w:t>
      </w:r>
      <w:proofErr w:type="gramEnd"/>
      <w:r w:rsidRPr="00150893">
        <w:t xml:space="preserve"> Sharing Content Based On Minors By Their Family Members On Social Media In Times Of Technology Interference’ (2021) </w:t>
      </w:r>
      <w:r w:rsidRPr="00334C0E">
        <w:rPr>
          <w:i/>
          <w:iCs/>
        </w:rPr>
        <w:t>Media Literacy and Academic Research</w:t>
      </w:r>
      <w:r w:rsidRPr="00150893">
        <w:t xml:space="preserve"> 4(1), 53-69. </w:t>
      </w:r>
    </w:p>
  </w:footnote>
  <w:footnote w:id="3">
    <w:p w14:paraId="13ED1CDE" w14:textId="20F06FE2" w:rsidR="00695CE0" w:rsidRPr="00A77BE0" w:rsidRDefault="00695CE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A77BE0" w:rsidRPr="00A77BE0">
        <w:t>McIntire, 'Welcome to the World: Rethinking Children's Privacy Rights in the Age of Sharenting' (2023) 38(2) </w:t>
      </w:r>
      <w:r w:rsidR="00A77BE0" w:rsidRPr="00A77BE0">
        <w:rPr>
          <w:i/>
          <w:iCs/>
        </w:rPr>
        <w:t>Wisconsin Journal of Law, Gender and Society</w:t>
      </w:r>
      <w:r w:rsidR="00A77BE0" w:rsidRPr="00A77BE0">
        <w:t xml:space="preserve"> 268. </w:t>
      </w:r>
    </w:p>
  </w:footnote>
  <w:footnote w:id="4">
    <w:p w14:paraId="6B9E6738" w14:textId="16EE752E" w:rsidR="00DD670A" w:rsidRDefault="00DD67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D670A">
        <w:t>McIntire, 'Welcome to the World: Rethinking Children's Privacy Rights in the Age of Sharenting' (2023) 38(2) </w:t>
      </w:r>
      <w:r w:rsidRPr="00DD670A">
        <w:rPr>
          <w:i/>
          <w:iCs/>
        </w:rPr>
        <w:t>Wisconsin Journal of Law, Gender and Society</w:t>
      </w:r>
      <w:r w:rsidRPr="00DD670A">
        <w:t xml:space="preserve"> 268. </w:t>
      </w:r>
    </w:p>
  </w:footnote>
  <w:footnote w:id="5">
    <w:p w14:paraId="4499B36D" w14:textId="0782A49B" w:rsidR="00DD670A" w:rsidRPr="00FC0AFA" w:rsidRDefault="00DD67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D670A">
        <w:t>Dansac</w:t>
      </w:r>
      <w:proofErr w:type="spellEnd"/>
      <w:r w:rsidRPr="00DD670A">
        <w:t xml:space="preserve"> Le Clerc </w:t>
      </w:r>
      <w:r w:rsidR="00334C0E">
        <w:t>et al</w:t>
      </w:r>
      <w:r>
        <w:t>, “</w:t>
      </w:r>
      <w:r w:rsidRPr="00DD670A">
        <w:t>France introduces new law to enhance the protection of children’s rights in France</w:t>
      </w:r>
      <w:r>
        <w:t xml:space="preserve">” (2024) </w:t>
      </w:r>
      <w:r w:rsidRPr="00334C0E">
        <w:rPr>
          <w:i/>
          <w:iCs/>
        </w:rPr>
        <w:t>Baker McKenzie</w:t>
      </w:r>
      <w:r w:rsidR="009A072B">
        <w:rPr>
          <w:i/>
          <w:iCs/>
        </w:rPr>
        <w:t xml:space="preserve"> &lt;</w:t>
      </w:r>
      <w:r w:rsidR="00FC0AFA" w:rsidRPr="00FC0AFA">
        <w:rPr>
          <w:sz w:val="24"/>
          <w:szCs w:val="24"/>
        </w:rPr>
        <w:t xml:space="preserve"> </w:t>
      </w:r>
      <w:hyperlink r:id="rId1" w:history="1">
        <w:r w:rsidR="00FC0AFA">
          <w:rPr>
            <w:rStyle w:val="Hyperlink"/>
            <w:i/>
            <w:iCs/>
          </w:rPr>
          <w:t>https://www.lexology.com/library/detail.aspx?g=aefb7759-0424-4f43-806b-211878959f13</w:t>
        </w:r>
      </w:hyperlink>
      <w:r w:rsidR="00FC0AFA">
        <w:rPr>
          <w:i/>
          <w:iCs/>
        </w:rPr>
        <w:t xml:space="preserve">&gt;.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3D5F"/>
    <w:multiLevelType w:val="hybridMultilevel"/>
    <w:tmpl w:val="9DBA84A0"/>
    <w:lvl w:ilvl="0" w:tplc="707CD40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54D"/>
    <w:multiLevelType w:val="hybridMultilevel"/>
    <w:tmpl w:val="A238C17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8927"/>
    <w:multiLevelType w:val="hybridMultilevel"/>
    <w:tmpl w:val="B36A9A1A"/>
    <w:lvl w:ilvl="0" w:tplc="77BCE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C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C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0A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42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42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25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C8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20EE"/>
    <w:multiLevelType w:val="hybridMultilevel"/>
    <w:tmpl w:val="3760A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C76"/>
    <w:multiLevelType w:val="hybridMultilevel"/>
    <w:tmpl w:val="AAA86C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4F4C"/>
    <w:multiLevelType w:val="hybridMultilevel"/>
    <w:tmpl w:val="959AB586"/>
    <w:lvl w:ilvl="0" w:tplc="E8EE7B2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F7095"/>
    <w:multiLevelType w:val="hybridMultilevel"/>
    <w:tmpl w:val="F0D826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4017"/>
    <w:multiLevelType w:val="multilevel"/>
    <w:tmpl w:val="073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629230">
    <w:abstractNumId w:val="2"/>
  </w:num>
  <w:num w:numId="2" w16cid:durableId="466894186">
    <w:abstractNumId w:val="4"/>
  </w:num>
  <w:num w:numId="3" w16cid:durableId="2056612081">
    <w:abstractNumId w:val="5"/>
  </w:num>
  <w:num w:numId="4" w16cid:durableId="845171121">
    <w:abstractNumId w:val="7"/>
  </w:num>
  <w:num w:numId="5" w16cid:durableId="832569661">
    <w:abstractNumId w:val="0"/>
  </w:num>
  <w:num w:numId="6" w16cid:durableId="1276794654">
    <w:abstractNumId w:val="1"/>
  </w:num>
  <w:num w:numId="7" w16cid:durableId="1608272673">
    <w:abstractNumId w:val="6"/>
  </w:num>
  <w:num w:numId="8" w16cid:durableId="2028826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AA"/>
    <w:rsid w:val="000209E0"/>
    <w:rsid w:val="00022F53"/>
    <w:rsid w:val="0002467D"/>
    <w:rsid w:val="00026834"/>
    <w:rsid w:val="000549E1"/>
    <w:rsid w:val="0005660B"/>
    <w:rsid w:val="00065BCB"/>
    <w:rsid w:val="000A2587"/>
    <w:rsid w:val="000C3F80"/>
    <w:rsid w:val="000C5534"/>
    <w:rsid w:val="00117656"/>
    <w:rsid w:val="001214CF"/>
    <w:rsid w:val="00144339"/>
    <w:rsid w:val="00150893"/>
    <w:rsid w:val="00154E93"/>
    <w:rsid w:val="00193FF8"/>
    <w:rsid w:val="001B7796"/>
    <w:rsid w:val="00212E19"/>
    <w:rsid w:val="002376F9"/>
    <w:rsid w:val="00245808"/>
    <w:rsid w:val="00257D78"/>
    <w:rsid w:val="002606AA"/>
    <w:rsid w:val="002B6A5E"/>
    <w:rsid w:val="002D4836"/>
    <w:rsid w:val="00331F3C"/>
    <w:rsid w:val="00334C0E"/>
    <w:rsid w:val="00337259"/>
    <w:rsid w:val="00345126"/>
    <w:rsid w:val="00360A25"/>
    <w:rsid w:val="0046231C"/>
    <w:rsid w:val="00467250"/>
    <w:rsid w:val="004A7B15"/>
    <w:rsid w:val="004C1635"/>
    <w:rsid w:val="004C5C7D"/>
    <w:rsid w:val="004E1495"/>
    <w:rsid w:val="0056078C"/>
    <w:rsid w:val="00564DD4"/>
    <w:rsid w:val="00574C03"/>
    <w:rsid w:val="005836C5"/>
    <w:rsid w:val="005B7A6B"/>
    <w:rsid w:val="005D22F2"/>
    <w:rsid w:val="005D3988"/>
    <w:rsid w:val="00603FCC"/>
    <w:rsid w:val="00634168"/>
    <w:rsid w:val="00643F15"/>
    <w:rsid w:val="0065390A"/>
    <w:rsid w:val="00695CE0"/>
    <w:rsid w:val="006D0B9E"/>
    <w:rsid w:val="0072456E"/>
    <w:rsid w:val="00725C36"/>
    <w:rsid w:val="0072630A"/>
    <w:rsid w:val="00746D9D"/>
    <w:rsid w:val="007651F7"/>
    <w:rsid w:val="007C4579"/>
    <w:rsid w:val="0085509A"/>
    <w:rsid w:val="008E321D"/>
    <w:rsid w:val="00930FDA"/>
    <w:rsid w:val="009637BB"/>
    <w:rsid w:val="00970BDF"/>
    <w:rsid w:val="009730E8"/>
    <w:rsid w:val="00973E56"/>
    <w:rsid w:val="009A072B"/>
    <w:rsid w:val="009C0047"/>
    <w:rsid w:val="009D6153"/>
    <w:rsid w:val="009F1C9D"/>
    <w:rsid w:val="00A2393B"/>
    <w:rsid w:val="00A52867"/>
    <w:rsid w:val="00A77089"/>
    <w:rsid w:val="00A77BE0"/>
    <w:rsid w:val="00A8673D"/>
    <w:rsid w:val="00AA4740"/>
    <w:rsid w:val="00B117B6"/>
    <w:rsid w:val="00B12979"/>
    <w:rsid w:val="00B40EA6"/>
    <w:rsid w:val="00B91CD9"/>
    <w:rsid w:val="00B92F31"/>
    <w:rsid w:val="00BA1880"/>
    <w:rsid w:val="00BD7526"/>
    <w:rsid w:val="00C65529"/>
    <w:rsid w:val="00C75714"/>
    <w:rsid w:val="00C90D22"/>
    <w:rsid w:val="00DC7A18"/>
    <w:rsid w:val="00DD670A"/>
    <w:rsid w:val="00DF3813"/>
    <w:rsid w:val="00E20099"/>
    <w:rsid w:val="00E47013"/>
    <w:rsid w:val="00ED6DCB"/>
    <w:rsid w:val="00EE258A"/>
    <w:rsid w:val="00F15C8A"/>
    <w:rsid w:val="00F31719"/>
    <w:rsid w:val="00F35B5D"/>
    <w:rsid w:val="00F363EA"/>
    <w:rsid w:val="00F605D2"/>
    <w:rsid w:val="00FC0AFA"/>
    <w:rsid w:val="00FC2C82"/>
    <w:rsid w:val="00FD37F6"/>
    <w:rsid w:val="00FD510C"/>
    <w:rsid w:val="00FE53D1"/>
    <w:rsid w:val="02C94BF6"/>
    <w:rsid w:val="046178BF"/>
    <w:rsid w:val="0970BE0F"/>
    <w:rsid w:val="0DEA38B1"/>
    <w:rsid w:val="10F11DE7"/>
    <w:rsid w:val="14215B20"/>
    <w:rsid w:val="162C021B"/>
    <w:rsid w:val="204252A1"/>
    <w:rsid w:val="2995165D"/>
    <w:rsid w:val="2E97BE34"/>
    <w:rsid w:val="3E82BB78"/>
    <w:rsid w:val="45029DA2"/>
    <w:rsid w:val="45996A9B"/>
    <w:rsid w:val="476E14DE"/>
    <w:rsid w:val="49DF02E9"/>
    <w:rsid w:val="57B1F569"/>
    <w:rsid w:val="5A204308"/>
    <w:rsid w:val="617F8728"/>
    <w:rsid w:val="68F50E43"/>
    <w:rsid w:val="69CFDFB8"/>
    <w:rsid w:val="6A0C2239"/>
    <w:rsid w:val="73C38CD0"/>
    <w:rsid w:val="7A94A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6BF3"/>
  <w15:chartTrackingRefBased/>
  <w15:docId w15:val="{BB2352BF-DEAE-489F-88C9-2FB895C9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1F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3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9E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51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51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51F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651F7"/>
  </w:style>
  <w:style w:type="paragraph" w:styleId="Footer">
    <w:name w:val="footer"/>
    <w:basedOn w:val="Normal"/>
    <w:link w:val="FooterChar"/>
    <w:uiPriority w:val="99"/>
    <w:unhideWhenUsed/>
    <w:rsid w:val="00150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893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50893"/>
  </w:style>
  <w:style w:type="paragraph" w:styleId="Header">
    <w:name w:val="header"/>
    <w:basedOn w:val="Normal"/>
    <w:link w:val="HeaderChar"/>
    <w:uiPriority w:val="99"/>
    <w:unhideWhenUsed/>
    <w:rsid w:val="00150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893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xology.com/library/detail.aspx?g=aefb7759-0424-4f43-806b-211878959f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73026E-1FB3-9548-8A77-D8712D3E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610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37</cp:revision>
  <dcterms:created xsi:type="dcterms:W3CDTF">2025-01-07T03:58:00Z</dcterms:created>
  <dcterms:modified xsi:type="dcterms:W3CDTF">2025-01-14T02:22:00Z</dcterms:modified>
</cp:coreProperties>
</file>