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92ACB" w14:textId="368EFA11" w:rsidR="004E51FD" w:rsidRPr="004E51FD" w:rsidRDefault="004E51FD" w:rsidP="004E51FD">
      <w:r w:rsidRPr="77764D8D">
        <w:rPr>
          <w:b/>
          <w:bCs/>
        </w:rPr>
        <w:t xml:space="preserve">9. Platform </w:t>
      </w:r>
      <w:r w:rsidR="21B53CEE" w:rsidRPr="77764D8D">
        <w:rPr>
          <w:b/>
          <w:bCs/>
        </w:rPr>
        <w:t>G</w:t>
      </w:r>
      <w:r w:rsidRPr="77764D8D">
        <w:rPr>
          <w:b/>
          <w:bCs/>
        </w:rPr>
        <w:t xml:space="preserve">overnance and </w:t>
      </w:r>
      <w:r w:rsidR="3C1A310D" w:rsidRPr="77764D8D">
        <w:rPr>
          <w:b/>
          <w:bCs/>
        </w:rPr>
        <w:t>C</w:t>
      </w:r>
      <w:r w:rsidRPr="77764D8D">
        <w:rPr>
          <w:b/>
          <w:bCs/>
        </w:rPr>
        <w:t xml:space="preserve">ontent </w:t>
      </w:r>
      <w:r w:rsidR="446B8234" w:rsidRPr="77764D8D">
        <w:rPr>
          <w:b/>
          <w:bCs/>
        </w:rPr>
        <w:t>M</w:t>
      </w:r>
      <w:r w:rsidRPr="77764D8D">
        <w:rPr>
          <w:b/>
          <w:bCs/>
        </w:rPr>
        <w:t xml:space="preserve">oderation </w:t>
      </w:r>
    </w:p>
    <w:p w14:paraId="18FB4EBC" w14:textId="73F83FC8" w:rsidR="004E51FD" w:rsidRPr="004E51FD" w:rsidRDefault="004E51FD" w:rsidP="004E51FD">
      <w:r w:rsidRPr="77764D8D">
        <w:rPr>
          <w:b/>
          <w:bCs/>
        </w:rPr>
        <w:t>9.</w:t>
      </w:r>
      <w:r w:rsidR="2EF84A2E" w:rsidRPr="77764D8D">
        <w:rPr>
          <w:b/>
          <w:bCs/>
        </w:rPr>
        <w:t>a</w:t>
      </w:r>
      <w:r w:rsidRPr="77764D8D">
        <w:rPr>
          <w:b/>
          <w:bCs/>
        </w:rPr>
        <w:t xml:space="preserve">. What is Platform Governance? </w:t>
      </w:r>
    </w:p>
    <w:p w14:paraId="7877BB2F" w14:textId="70DDE975" w:rsidR="00051B21" w:rsidRPr="004E51FD" w:rsidRDefault="115D8915" w:rsidP="004E51FD">
      <w:r w:rsidRPr="004E51FD">
        <w:t>“</w:t>
      </w:r>
      <w:r w:rsidR="004E51FD" w:rsidRPr="004E51FD">
        <w:t>Governance</w:t>
      </w:r>
      <w:r w:rsidR="5A98D46D" w:rsidRPr="004E51FD">
        <w:t>”</w:t>
      </w:r>
      <w:r w:rsidR="004E51FD" w:rsidRPr="004E51FD">
        <w:t xml:space="preserve"> refers to the system of rules, policies, practices and standards that manages how an organisation operates and the use of mechanisms to hold organisations and individuals to account.</w:t>
      </w:r>
      <w:r w:rsidR="00976A92">
        <w:rPr>
          <w:rStyle w:val="FootnoteReference"/>
        </w:rPr>
        <w:footnoteReference w:id="1"/>
      </w:r>
      <w:r w:rsidR="004E51FD" w:rsidRPr="004E51FD">
        <w:t xml:space="preserve"> </w:t>
      </w:r>
      <w:r w:rsidR="00976A92">
        <w:t xml:space="preserve"> </w:t>
      </w:r>
      <w:r w:rsidR="004E51FD" w:rsidRPr="004E51FD">
        <w:t xml:space="preserve">Thus, </w:t>
      </w:r>
      <w:r w:rsidR="7C8CE31B" w:rsidRPr="004E51FD">
        <w:t>“</w:t>
      </w:r>
      <w:r w:rsidR="004E51FD" w:rsidRPr="004E51FD">
        <w:t>platform governance</w:t>
      </w:r>
      <w:r w:rsidR="2D5B15E5" w:rsidRPr="004E51FD">
        <w:t>”</w:t>
      </w:r>
      <w:r w:rsidR="004E51FD" w:rsidRPr="004E51FD">
        <w:t xml:space="preserve"> refers to the management of platforms, such as social media, their users and stakeholders, using a range of rules, policies, practices and standards to govern the use, operation and purpose of the platform.</w:t>
      </w:r>
    </w:p>
    <w:p w14:paraId="5391009D" w14:textId="1276E975" w:rsidR="004E51FD" w:rsidRPr="004E51FD" w:rsidRDefault="004E51FD" w:rsidP="004E51FD">
      <w:r w:rsidRPr="77764D8D">
        <w:rPr>
          <w:b/>
          <w:bCs/>
        </w:rPr>
        <w:t>9.</w:t>
      </w:r>
      <w:r w:rsidR="2B108F14" w:rsidRPr="77764D8D">
        <w:rPr>
          <w:b/>
          <w:bCs/>
        </w:rPr>
        <w:t>a</w:t>
      </w:r>
      <w:r w:rsidRPr="77764D8D">
        <w:rPr>
          <w:b/>
          <w:bCs/>
        </w:rPr>
        <w:t xml:space="preserve">.i. Self-Regulation Model of Platform Governance </w:t>
      </w:r>
    </w:p>
    <w:p w14:paraId="7CD17267" w14:textId="21BB3F50" w:rsidR="004E51FD" w:rsidRPr="004E51FD" w:rsidRDefault="004E51FD" w:rsidP="004E51FD">
      <w:r w:rsidRPr="004E51FD">
        <w:t>There are many different models of platform governance, however, the most common type is the self-regulation model. Many online platforms hold an extreme amount of discretion as to how to govern their platforms and whilst there have been recent improvements in content moderation, self-regulation is still the prominent form of platform governance.</w:t>
      </w:r>
      <w:r w:rsidR="00976A92">
        <w:rPr>
          <w:rStyle w:val="FootnoteReference"/>
        </w:rPr>
        <w:footnoteReference w:id="2"/>
      </w:r>
      <w:r w:rsidRPr="004E51FD">
        <w:t xml:space="preserve"> </w:t>
      </w:r>
    </w:p>
    <w:p w14:paraId="5E3BC72A" w14:textId="0D82617E" w:rsidR="004E51FD" w:rsidRPr="004E51FD" w:rsidRDefault="004E51FD" w:rsidP="004E51FD">
      <w:r w:rsidRPr="77764D8D">
        <w:rPr>
          <w:b/>
          <w:bCs/>
        </w:rPr>
        <w:t>9.</w:t>
      </w:r>
      <w:r w:rsidR="190E105F" w:rsidRPr="77764D8D">
        <w:rPr>
          <w:b/>
          <w:bCs/>
        </w:rPr>
        <w:t>b</w:t>
      </w:r>
      <w:r w:rsidRPr="77764D8D">
        <w:rPr>
          <w:b/>
          <w:bCs/>
        </w:rPr>
        <w:t xml:space="preserve">. Responsibilities of Platforms in Content Management </w:t>
      </w:r>
    </w:p>
    <w:p w14:paraId="14104C7D" w14:textId="3C9B6C25" w:rsidR="004E51FD" w:rsidRPr="004E51FD" w:rsidRDefault="004E51FD" w:rsidP="004E51FD">
      <w:r w:rsidRPr="004E51FD">
        <w:t>Online platforms have a responsibility to manage the content available to its users. Content moderation ensures that user-generated content meets standards and guidelines through monitoring and reviewing.</w:t>
      </w:r>
      <w:r w:rsidR="00976A92">
        <w:rPr>
          <w:rStyle w:val="FootnoteReference"/>
        </w:rPr>
        <w:footnoteReference w:id="3"/>
      </w:r>
      <w:r w:rsidR="00A81310">
        <w:t xml:space="preserve"> </w:t>
      </w:r>
      <w:r w:rsidRPr="004E51FD">
        <w:t xml:space="preserve">Content moderation is a form of platform governance, and its goal is to enforce community guidelines and terms of service. There are various strategies that platforms use to govern the content including: human moderation and automated moderation. </w:t>
      </w:r>
    </w:p>
    <w:p w14:paraId="50532243" w14:textId="6EC6ECD4" w:rsidR="004E51FD" w:rsidRPr="004E51FD" w:rsidRDefault="004E51FD" w:rsidP="004E51FD">
      <w:r w:rsidRPr="77764D8D">
        <w:rPr>
          <w:b/>
          <w:bCs/>
        </w:rPr>
        <w:t>9.</w:t>
      </w:r>
      <w:r w:rsidR="04D6850F" w:rsidRPr="77764D8D">
        <w:rPr>
          <w:b/>
          <w:bCs/>
        </w:rPr>
        <w:t>b</w:t>
      </w:r>
      <w:r w:rsidRPr="77764D8D">
        <w:rPr>
          <w:b/>
          <w:bCs/>
        </w:rPr>
        <w:t xml:space="preserve">.i Human Moderation </w:t>
      </w:r>
    </w:p>
    <w:p w14:paraId="2A3FBDFE" w14:textId="2270112B" w:rsidR="004E51FD" w:rsidRPr="004E51FD" w:rsidRDefault="004E51FD" w:rsidP="004E51FD">
      <w:r>
        <w:t>Human content moderation is a form of manual moderation. This typically involves the manual monitoring of user generated content to ensure that the content conforms to the platform’s guidelines.</w:t>
      </w:r>
      <w:r w:rsidR="00A81310">
        <w:t xml:space="preserve"> </w:t>
      </w:r>
      <w:r>
        <w:t>User</w:t>
      </w:r>
      <w:r w:rsidR="341983C5">
        <w:t>-</w:t>
      </w:r>
      <w:r>
        <w:t xml:space="preserve">generated content that does not conform to the law, guidelines or platform specifications is removed through human intervention to improve user satisfaction and protect users from illegal or harmful content. </w:t>
      </w:r>
    </w:p>
    <w:p w14:paraId="7C2747F7" w14:textId="098BA2BE" w:rsidR="004E51FD" w:rsidRPr="004E51FD" w:rsidRDefault="004E51FD" w:rsidP="004E51FD">
      <w:r w:rsidRPr="004E51FD">
        <w:t>Manual human moderation has many benefits including the ability to understand context behind content, which improves content-specific judgements within full-scale datasets</w:t>
      </w:r>
      <w:r w:rsidR="008226D8">
        <w:t xml:space="preserve">. </w:t>
      </w:r>
      <w:r w:rsidR="008226D8" w:rsidRPr="004E51FD">
        <w:t>However, its major downfall occurs in its cost and time effectiveness.</w:t>
      </w:r>
      <w:r w:rsidR="008226D8" w:rsidRPr="008226D8">
        <w:t xml:space="preserve"> </w:t>
      </w:r>
      <w:r w:rsidR="008226D8" w:rsidRPr="004E51FD">
        <w:t xml:space="preserve">Human </w:t>
      </w:r>
      <w:r w:rsidR="008226D8" w:rsidRPr="004E51FD">
        <w:lastRenderedPageBreak/>
        <w:t>moderation is unable to manage content to the same scale at the same price as automated moderation.</w:t>
      </w:r>
      <w:r w:rsidR="00A81310">
        <w:rPr>
          <w:rStyle w:val="FootnoteReference"/>
        </w:rPr>
        <w:footnoteReference w:id="4"/>
      </w:r>
    </w:p>
    <w:p w14:paraId="0A00B89C" w14:textId="1B7A4BF9" w:rsidR="004E51FD" w:rsidRPr="004E51FD" w:rsidRDefault="004E51FD" w:rsidP="004E51FD">
      <w:r w:rsidRPr="77764D8D">
        <w:rPr>
          <w:b/>
          <w:bCs/>
        </w:rPr>
        <w:t>9.</w:t>
      </w:r>
      <w:r w:rsidR="277855EA" w:rsidRPr="77764D8D">
        <w:rPr>
          <w:b/>
          <w:bCs/>
        </w:rPr>
        <w:t>b</w:t>
      </w:r>
      <w:r w:rsidRPr="77764D8D">
        <w:rPr>
          <w:b/>
          <w:bCs/>
        </w:rPr>
        <w:t xml:space="preserve">.ii. Automated Moderation </w:t>
      </w:r>
    </w:p>
    <w:p w14:paraId="34B96C5B" w14:textId="2C83211F" w:rsidR="004E51FD" w:rsidRPr="004E51FD" w:rsidRDefault="004E51FD" w:rsidP="004E51FD">
      <w:r w:rsidRPr="004E51FD">
        <w:t xml:space="preserve">Automated moderation includes any form of automated response to user-generated content submitted to a platform. Automated moderation includes tools like algorithms and </w:t>
      </w:r>
      <w:r w:rsidR="0631E59B" w:rsidRPr="004E51FD">
        <w:t>a</w:t>
      </w:r>
      <w:r w:rsidRPr="004E51FD">
        <w:t xml:space="preserve">rtificial </w:t>
      </w:r>
      <w:r w:rsidR="65A4D2CF" w:rsidRPr="004E51FD">
        <w:t>i</w:t>
      </w:r>
      <w:r w:rsidRPr="004E51FD">
        <w:t>ntelligence (AI) to ensure that content meets platform guidelines.</w:t>
      </w:r>
      <w:r w:rsidR="00913C44">
        <w:t xml:space="preserve"> </w:t>
      </w:r>
      <w:r w:rsidRPr="004E51FD">
        <w:t>The use of AI in automated moderation allows user-generated content to be reviewed against platform data and determine an appropriate cause of action – the AI itself is able to learn from these outcomes and develops more accurate moderation.</w:t>
      </w:r>
      <w:r w:rsidR="00913C44" w:rsidRPr="00913C44">
        <w:t xml:space="preserve"> </w:t>
      </w:r>
      <w:r w:rsidR="00913C44" w:rsidRPr="004E51FD">
        <w:t>The benefits of automated moderation are centred around the time and cost benefits.</w:t>
      </w:r>
      <w:r w:rsidR="00913C44" w:rsidRPr="00913C44">
        <w:t xml:space="preserve"> </w:t>
      </w:r>
      <w:r w:rsidR="00913C44" w:rsidRPr="004E51FD">
        <w:t>Automated moderation can make almost instantaneous decisions about content, ensuring it meets regulations. This creates a cheaper alternative to paying humans to moderate the same amount of content, it also allows the platform to grow.</w:t>
      </w:r>
      <w:r w:rsidR="00913C44" w:rsidRPr="00913C44">
        <w:rPr>
          <w:rStyle w:val="FootnoteReference"/>
        </w:rPr>
        <w:t xml:space="preserve"> </w:t>
      </w:r>
      <w:r w:rsidR="00913C44">
        <w:rPr>
          <w:rStyle w:val="FootnoteReference"/>
        </w:rPr>
        <w:footnoteReference w:id="5"/>
      </w:r>
    </w:p>
    <w:p w14:paraId="487EAD49" w14:textId="396241EC" w:rsidR="004E51FD" w:rsidRPr="004E51FD" w:rsidRDefault="004E51FD" w:rsidP="004E51FD">
      <w:r w:rsidRPr="77764D8D">
        <w:rPr>
          <w:b/>
          <w:bCs/>
        </w:rPr>
        <w:t>9.</w:t>
      </w:r>
      <w:r w:rsidR="1A80315B" w:rsidRPr="77764D8D">
        <w:rPr>
          <w:b/>
          <w:bCs/>
        </w:rPr>
        <w:t>c</w:t>
      </w:r>
      <w:r w:rsidRPr="77764D8D">
        <w:rPr>
          <w:b/>
          <w:bCs/>
        </w:rPr>
        <w:t xml:space="preserve">. Government Regulations on Platform Policies </w:t>
      </w:r>
    </w:p>
    <w:p w14:paraId="3ECA9546" w14:textId="414D8A75" w:rsidR="004E51FD" w:rsidRPr="004E51FD" w:rsidRDefault="004E51FD" w:rsidP="004E51FD">
      <w:r>
        <w:t>While many platforms a</w:t>
      </w:r>
      <w:r w:rsidR="7F076C3C">
        <w:t xml:space="preserve">pproached </w:t>
      </w:r>
      <w:r>
        <w:t xml:space="preserve">platform governance with self-regulation at the forefront, government legislation and rules can also form part of the governance associated with content available online. In 2021, the Australian </w:t>
      </w:r>
      <w:r w:rsidR="3D0A97AE">
        <w:t>f</w:t>
      </w:r>
      <w:r>
        <w:t xml:space="preserve">ederal Government introduced the </w:t>
      </w:r>
      <w:r w:rsidRPr="77764D8D">
        <w:rPr>
          <w:i/>
          <w:iCs/>
        </w:rPr>
        <w:t xml:space="preserve">Online Safety Act 2021 </w:t>
      </w:r>
      <w:r>
        <w:t>(Cth) (</w:t>
      </w:r>
      <w:r w:rsidRPr="77764D8D">
        <w:rPr>
          <w:i/>
          <w:iCs/>
        </w:rPr>
        <w:t>Online Safety Act</w:t>
      </w:r>
      <w:r>
        <w:t xml:space="preserve">). Further regulations came into force with the </w:t>
      </w:r>
      <w:r w:rsidRPr="77764D8D">
        <w:rPr>
          <w:i/>
          <w:iCs/>
        </w:rPr>
        <w:t xml:space="preserve">Online Safety (Basic Online Safety Expectation) Determination 2022 </w:t>
      </w:r>
      <w:r>
        <w:t xml:space="preserve">(Cth) </w:t>
      </w:r>
      <w:r w:rsidRPr="77764D8D">
        <w:rPr>
          <w:i/>
          <w:iCs/>
        </w:rPr>
        <w:t>(Online Safety Expectations)</w:t>
      </w:r>
      <w:r>
        <w:t xml:space="preserve">. </w:t>
      </w:r>
    </w:p>
    <w:p w14:paraId="7CCD6A67" w14:textId="62265DBB" w:rsidR="004E51FD" w:rsidRPr="004E51FD" w:rsidRDefault="004E51FD" w:rsidP="004E51FD">
      <w:r w:rsidRPr="77764D8D">
        <w:rPr>
          <w:b/>
          <w:bCs/>
        </w:rPr>
        <w:t>9.</w:t>
      </w:r>
      <w:r w:rsidR="1EA12BBA" w:rsidRPr="77764D8D">
        <w:rPr>
          <w:b/>
          <w:bCs/>
        </w:rPr>
        <w:t>c</w:t>
      </w:r>
      <w:r w:rsidRPr="77764D8D">
        <w:rPr>
          <w:b/>
          <w:bCs/>
        </w:rPr>
        <w:t xml:space="preserve">.i. </w:t>
      </w:r>
      <w:r w:rsidRPr="77764D8D">
        <w:rPr>
          <w:b/>
          <w:bCs/>
          <w:i/>
          <w:iCs/>
        </w:rPr>
        <w:t xml:space="preserve">Online Safety Act - </w:t>
      </w:r>
      <w:r w:rsidRPr="77764D8D">
        <w:rPr>
          <w:b/>
          <w:bCs/>
        </w:rPr>
        <w:t xml:space="preserve">Online Content Scheme </w:t>
      </w:r>
    </w:p>
    <w:p w14:paraId="281EE41F" w14:textId="3CB899AD" w:rsidR="004E51FD" w:rsidRPr="004E51FD" w:rsidRDefault="004E51FD" w:rsidP="004E51FD">
      <w:r>
        <w:t xml:space="preserve">The </w:t>
      </w:r>
      <w:r w:rsidRPr="77764D8D">
        <w:rPr>
          <w:i/>
          <w:iCs/>
        </w:rPr>
        <w:t xml:space="preserve">Online Safety Act </w:t>
      </w:r>
      <w:r>
        <w:t>is aimed at keeping consumers safe when accessing online materials or using platforms in addition to removing and reporting harmful content.</w:t>
      </w:r>
      <w:r w:rsidR="00C17B8C">
        <w:t xml:space="preserve"> </w:t>
      </w:r>
      <w:r>
        <w:t xml:space="preserve">The </w:t>
      </w:r>
      <w:r w:rsidRPr="77764D8D">
        <w:rPr>
          <w:i/>
          <w:iCs/>
        </w:rPr>
        <w:t xml:space="preserve">Online Safety Act </w:t>
      </w:r>
      <w:r>
        <w:t xml:space="preserve">established an Online Content Scheme. The Scheme is designed to ensure the aims of the Act are maintained and enforced through various measures. </w:t>
      </w:r>
    </w:p>
    <w:p w14:paraId="76A4E886" w14:textId="0BCB0267" w:rsidR="004E51FD" w:rsidRPr="004E51FD" w:rsidRDefault="004E51FD" w:rsidP="004E51FD">
      <w:r>
        <w:t xml:space="preserve">The Online Content Scheme allows users to make formal complaints to eSafety about content </w:t>
      </w:r>
      <w:r w:rsidR="7A7F5941">
        <w:t xml:space="preserve">that </w:t>
      </w:r>
      <w:r>
        <w:t>may be harmful, offensive and illegal</w:t>
      </w:r>
      <w:r w:rsidR="2EAFC7C6">
        <w:t>.</w:t>
      </w:r>
      <w:r>
        <w:t xml:space="preserve"> </w:t>
      </w:r>
      <w:r w:rsidR="552E4513">
        <w:t>T</w:t>
      </w:r>
      <w:r>
        <w:t xml:space="preserve">he Scheme also empowers eSafety to access and review the complaints. </w:t>
      </w:r>
    </w:p>
    <w:p w14:paraId="45124E54" w14:textId="53041F03" w:rsidR="004E51FD" w:rsidRPr="004E51FD" w:rsidRDefault="004E51FD" w:rsidP="004E51FD">
      <w:r>
        <w:t xml:space="preserve">The </w:t>
      </w:r>
      <w:r w:rsidRPr="77764D8D">
        <w:rPr>
          <w:i/>
          <w:iCs/>
        </w:rPr>
        <w:t xml:space="preserve">Online Safety Act </w:t>
      </w:r>
      <w:r w:rsidR="00987D33">
        <w:t>part 9</w:t>
      </w:r>
      <w:r w:rsidR="50BB6515">
        <w:t xml:space="preserve"> </w:t>
      </w:r>
      <w:r>
        <w:t xml:space="preserve">has a classification system for content </w:t>
      </w:r>
      <w:r w:rsidR="6FA7E883">
        <w:t xml:space="preserve">that </w:t>
      </w:r>
      <w:r>
        <w:t>may be illegal or restricted</w:t>
      </w:r>
      <w:r w:rsidR="5609AD65">
        <w:t xml:space="preserve">. </w:t>
      </w:r>
      <w:r w:rsidR="37011CBA">
        <w:t>Legal tools are available to keep Australian platform users safe, including:</w:t>
      </w:r>
    </w:p>
    <w:p w14:paraId="5FF16B3F" w14:textId="31DDBA36" w:rsidR="004E51FD" w:rsidRPr="004E51FD" w:rsidRDefault="33C84339" w:rsidP="77764D8D">
      <w:pPr>
        <w:pStyle w:val="ListParagraph"/>
        <w:numPr>
          <w:ilvl w:val="0"/>
          <w:numId w:val="2"/>
        </w:numPr>
      </w:pPr>
      <w:r>
        <w:t xml:space="preserve">For </w:t>
      </w:r>
      <w:r w:rsidR="004E51FD">
        <w:t xml:space="preserve">class 1 </w:t>
      </w:r>
      <w:r w:rsidR="67B0CAEB">
        <w:t xml:space="preserve">material </w:t>
      </w:r>
      <w:r w:rsidR="004E51FD">
        <w:t xml:space="preserve">– involvement of the Australian Federal Police, </w:t>
      </w:r>
      <w:r w:rsidR="40EB058C">
        <w:t>and</w:t>
      </w:r>
    </w:p>
    <w:p w14:paraId="5D63220E" w14:textId="6C3EB3BE" w:rsidR="004E51FD" w:rsidRPr="004E51FD" w:rsidRDefault="40EB058C" w:rsidP="77764D8D">
      <w:pPr>
        <w:pStyle w:val="ListParagraph"/>
        <w:numPr>
          <w:ilvl w:val="0"/>
          <w:numId w:val="2"/>
        </w:numPr>
      </w:pPr>
      <w:r>
        <w:lastRenderedPageBreak/>
        <w:t>For</w:t>
      </w:r>
      <w:r w:rsidR="004E51FD">
        <w:t xml:space="preserve"> class 2</w:t>
      </w:r>
      <w:r w:rsidR="25D5DD1D">
        <w:t xml:space="preserve"> material </w:t>
      </w:r>
      <w:r w:rsidR="004E51FD">
        <w:t xml:space="preserve">– an order for the removal or a restricted access system of the content. </w:t>
      </w:r>
    </w:p>
    <w:p w14:paraId="3D6780A0" w14:textId="7EBEC21C" w:rsidR="004E51FD" w:rsidRPr="004E51FD" w:rsidRDefault="004E51FD" w:rsidP="00987D33">
      <w:r>
        <w:t xml:space="preserve">The </w:t>
      </w:r>
      <w:r w:rsidRPr="77764D8D">
        <w:rPr>
          <w:i/>
          <w:iCs/>
        </w:rPr>
        <w:t xml:space="preserve">Online Safety Act </w:t>
      </w:r>
      <w:r>
        <w:t>can also empower eSafety to order the removal of extremely harmful and illegal content from platforms, even when it is not hosted within Australia.</w:t>
      </w:r>
      <w:r w:rsidR="6DD1A28D">
        <w:t xml:space="preserve"> Extremely harmful and illegal content includes:</w:t>
      </w:r>
    </w:p>
    <w:p w14:paraId="6E876CF8" w14:textId="15F14E52" w:rsidR="004E51FD" w:rsidRPr="004E51FD" w:rsidRDefault="534089EF" w:rsidP="77764D8D">
      <w:pPr>
        <w:pStyle w:val="ListParagraph"/>
        <w:numPr>
          <w:ilvl w:val="0"/>
          <w:numId w:val="1"/>
        </w:numPr>
      </w:pPr>
      <w:r>
        <w:t>C</w:t>
      </w:r>
      <w:r w:rsidR="004E51FD">
        <w:t xml:space="preserve">hild sexual abuse material, </w:t>
      </w:r>
    </w:p>
    <w:p w14:paraId="117BEDC1" w14:textId="33B6C74F" w:rsidR="004E51FD" w:rsidRPr="004E51FD" w:rsidRDefault="0B9C5179" w:rsidP="77764D8D">
      <w:pPr>
        <w:pStyle w:val="ListParagraph"/>
        <w:numPr>
          <w:ilvl w:val="0"/>
          <w:numId w:val="1"/>
        </w:numPr>
      </w:pPr>
      <w:r>
        <w:t>D</w:t>
      </w:r>
      <w:r w:rsidR="004E51FD">
        <w:t>etailed instruction or promotion of crime or violence</w:t>
      </w:r>
      <w:r w:rsidR="4BBF284D">
        <w:t>,</w:t>
      </w:r>
    </w:p>
    <w:p w14:paraId="141A7C33" w14:textId="34D6F6BF" w:rsidR="004E51FD" w:rsidRPr="004E51FD" w:rsidRDefault="4BBF284D" w:rsidP="77764D8D">
      <w:pPr>
        <w:pStyle w:val="ListParagraph"/>
        <w:numPr>
          <w:ilvl w:val="0"/>
          <w:numId w:val="1"/>
        </w:numPr>
      </w:pPr>
      <w:r>
        <w:t>G</w:t>
      </w:r>
      <w:r w:rsidR="004E51FD">
        <w:t xml:space="preserve">ratuitous, exploitative and offensive depictions of violence or sexual violence, and/or </w:t>
      </w:r>
    </w:p>
    <w:p w14:paraId="392BFFB3" w14:textId="362990BB" w:rsidR="004E51FD" w:rsidRPr="004E51FD" w:rsidRDefault="14DAD3DF" w:rsidP="77764D8D">
      <w:pPr>
        <w:pStyle w:val="ListParagraph"/>
        <w:numPr>
          <w:ilvl w:val="0"/>
          <w:numId w:val="1"/>
        </w:numPr>
      </w:pPr>
      <w:r>
        <w:t>M</w:t>
      </w:r>
      <w:r w:rsidR="004E51FD">
        <w:t>aterial that advocates carrying out a terrorist</w:t>
      </w:r>
      <w:r w:rsidR="00987D33">
        <w:t xml:space="preserve"> act</w:t>
      </w:r>
      <w:r w:rsidR="004E51FD">
        <w:t xml:space="preserve">. </w:t>
      </w:r>
    </w:p>
    <w:p w14:paraId="67FD3617" w14:textId="6B10AD63" w:rsidR="004E51FD" w:rsidRPr="004E51FD" w:rsidRDefault="004E51FD" w:rsidP="004E51FD">
      <w:r w:rsidRPr="77764D8D">
        <w:rPr>
          <w:b/>
          <w:bCs/>
        </w:rPr>
        <w:t>9.</w:t>
      </w:r>
      <w:r w:rsidR="5A31B3D3" w:rsidRPr="77764D8D">
        <w:rPr>
          <w:b/>
          <w:bCs/>
        </w:rPr>
        <w:t>c</w:t>
      </w:r>
      <w:r w:rsidRPr="77764D8D">
        <w:rPr>
          <w:b/>
          <w:bCs/>
        </w:rPr>
        <w:t xml:space="preserve">.ii. </w:t>
      </w:r>
      <w:r w:rsidRPr="77764D8D">
        <w:rPr>
          <w:b/>
          <w:bCs/>
          <w:i/>
          <w:iCs/>
        </w:rPr>
        <w:t xml:space="preserve">Online Safety Expectations </w:t>
      </w:r>
    </w:p>
    <w:p w14:paraId="59BC52BB" w14:textId="23F263CC" w:rsidR="004E51FD" w:rsidRPr="004E51FD" w:rsidRDefault="004E51FD" w:rsidP="77764D8D">
      <w:r w:rsidRPr="004E51FD">
        <w:t xml:space="preserve">The </w:t>
      </w:r>
      <w:r w:rsidRPr="77764D8D">
        <w:rPr>
          <w:i/>
          <w:iCs/>
        </w:rPr>
        <w:t xml:space="preserve">Online Safety Expectations </w:t>
      </w:r>
      <w:r w:rsidRPr="004E51FD">
        <w:t xml:space="preserve">set out a range of expectations that online platforms are expected to conform to, </w:t>
      </w:r>
      <w:r w:rsidR="50B4CE23">
        <w:t>aimed at</w:t>
      </w:r>
      <w:r w:rsidRPr="004E51FD">
        <w:t xml:space="preserve"> increas</w:t>
      </w:r>
      <w:r w:rsidR="44228463" w:rsidRPr="004E51FD">
        <w:t>ing</w:t>
      </w:r>
      <w:r w:rsidRPr="004E51FD">
        <w:t xml:space="preserve"> transparency and accountability of online service providers</w:t>
      </w:r>
      <w:r w:rsidR="17D0E532" w:rsidRPr="004E51FD">
        <w:t xml:space="preserve">, and </w:t>
      </w:r>
      <w:r w:rsidR="17D0E532">
        <w:t>guaranteeing that platforms have adequate processes in place to minimise and mitigate harmful content.</w:t>
      </w:r>
    </w:p>
    <w:p w14:paraId="27B866A2" w14:textId="22642B87" w:rsidR="004E51FD" w:rsidRDefault="004E51FD" w:rsidP="004E51FD"/>
    <w:sectPr w:rsidR="004E5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252F3C" w14:textId="77777777" w:rsidR="00976A92" w:rsidRDefault="00976A92" w:rsidP="00976A92">
      <w:pPr>
        <w:spacing w:after="0" w:line="240" w:lineRule="auto"/>
      </w:pPr>
      <w:r>
        <w:separator/>
      </w:r>
    </w:p>
  </w:endnote>
  <w:endnote w:type="continuationSeparator" w:id="0">
    <w:p w14:paraId="0F742C08" w14:textId="77777777" w:rsidR="00976A92" w:rsidRDefault="00976A92" w:rsidP="00976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C5471F" w14:textId="77777777" w:rsidR="00976A92" w:rsidRDefault="00976A92" w:rsidP="00976A92">
      <w:pPr>
        <w:spacing w:after="0" w:line="240" w:lineRule="auto"/>
      </w:pPr>
      <w:r>
        <w:separator/>
      </w:r>
    </w:p>
  </w:footnote>
  <w:footnote w:type="continuationSeparator" w:id="0">
    <w:p w14:paraId="03247BCF" w14:textId="77777777" w:rsidR="00976A92" w:rsidRDefault="00976A92" w:rsidP="00976A92">
      <w:pPr>
        <w:spacing w:after="0" w:line="240" w:lineRule="auto"/>
      </w:pPr>
      <w:r>
        <w:continuationSeparator/>
      </w:r>
    </w:p>
  </w:footnote>
  <w:footnote w:id="1">
    <w:p w14:paraId="00BBBB8A" w14:textId="04631C38" w:rsidR="00976A92" w:rsidRPr="00976A92" w:rsidRDefault="00976A92" w:rsidP="00976A92">
      <w:pPr>
        <w:pStyle w:val="FootnoteText"/>
        <w:rPr>
          <w:lang w:val="en-US"/>
        </w:rPr>
      </w:pPr>
      <w:r w:rsidRPr="00976A92">
        <w:rPr>
          <w:rStyle w:val="FootnoteReference"/>
        </w:rPr>
        <w:footnoteRef/>
      </w:r>
      <w:r w:rsidRPr="00976A92">
        <w:t xml:space="preserve"> </w:t>
      </w:r>
      <w:r w:rsidRPr="004E51FD">
        <w:t xml:space="preserve">‘What is Governance’, </w:t>
      </w:r>
      <w:r w:rsidRPr="004E51FD">
        <w:rPr>
          <w:i/>
          <w:iCs/>
        </w:rPr>
        <w:t>Governance Institute of Australia</w:t>
      </w:r>
      <w:r w:rsidRPr="004E51FD">
        <w:t>, (Web Page, 1 September 2024) &lt; https://www.governanceinstitute.com.au/resources/what-is-governance/&gt;.</w:t>
      </w:r>
    </w:p>
  </w:footnote>
  <w:footnote w:id="2">
    <w:p w14:paraId="4214AFCE" w14:textId="253E2DDD" w:rsidR="00976A92" w:rsidRPr="00976A92" w:rsidRDefault="00976A92" w:rsidP="00976A92">
      <w:pPr>
        <w:pStyle w:val="FootnoteText"/>
        <w:rPr>
          <w:lang w:val="en-US"/>
        </w:rPr>
      </w:pPr>
      <w:r w:rsidRPr="00976A92">
        <w:rPr>
          <w:rStyle w:val="FootnoteReference"/>
        </w:rPr>
        <w:footnoteRef/>
      </w:r>
      <w:r w:rsidRPr="00976A92">
        <w:t xml:space="preserve"> </w:t>
      </w:r>
      <w:r w:rsidRPr="004E51FD">
        <w:t xml:space="preserve">Suzor and Gillett, ‘Self-regulation and Discretion. Digital Platform Regulation’ (2022) </w:t>
      </w:r>
      <w:r w:rsidRPr="004E51FD">
        <w:rPr>
          <w:i/>
          <w:iCs/>
        </w:rPr>
        <w:t xml:space="preserve">Palgrave Global Media Policy and Business, </w:t>
      </w:r>
      <w:r w:rsidRPr="004E51FD">
        <w:t>258-260.</w:t>
      </w:r>
    </w:p>
  </w:footnote>
  <w:footnote w:id="3">
    <w:p w14:paraId="62DF8705" w14:textId="365AC6F7" w:rsidR="00976A92" w:rsidRPr="00976A92" w:rsidRDefault="00976A9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A81310" w:rsidRPr="004E51FD">
        <w:t xml:space="preserve">Jonas Strandell, ‘What is Content Moderation? (Plus Best Practices)’, </w:t>
      </w:r>
      <w:r w:rsidR="00A81310" w:rsidRPr="004E51FD">
        <w:rPr>
          <w:i/>
          <w:iCs/>
        </w:rPr>
        <w:t xml:space="preserve">Besedo </w:t>
      </w:r>
      <w:r w:rsidR="00A81310" w:rsidRPr="004E51FD">
        <w:t>(Blog, 27 May 2024) &lt; https://besedo.com/blog/what-is-content-moderation/&gt; (“What is Content Moderation”).</w:t>
      </w:r>
    </w:p>
  </w:footnote>
  <w:footnote w:id="4">
    <w:p w14:paraId="7A33A3AC" w14:textId="1A18804D" w:rsidR="00A81310" w:rsidRPr="00A81310" w:rsidRDefault="00A8131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913C44" w:rsidRPr="004E51FD">
        <w:t xml:space="preserve">Janselle M, ‘AI Content Moderation Vs. Human Content Moderation’, </w:t>
      </w:r>
      <w:r w:rsidR="00913C44" w:rsidRPr="004E51FD">
        <w:rPr>
          <w:i/>
          <w:iCs/>
        </w:rPr>
        <w:t xml:space="preserve">Magellan Solutions </w:t>
      </w:r>
      <w:r w:rsidR="00913C44" w:rsidRPr="004E51FD">
        <w:t>(Blog, 7 June 2024) &lt; https://www.magellan-solutions.com/blog/ai-vs-human-content-moderation/&gt; (“AI v Human Moderation”).</w:t>
      </w:r>
    </w:p>
  </w:footnote>
  <w:footnote w:id="5">
    <w:p w14:paraId="1A4BA590" w14:textId="77777777" w:rsidR="00913C44" w:rsidRPr="00976A92" w:rsidRDefault="00913C44" w:rsidP="00913C4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Ibid.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7E475"/>
    <w:multiLevelType w:val="hybridMultilevel"/>
    <w:tmpl w:val="52141A00"/>
    <w:lvl w:ilvl="0" w:tplc="CE0C2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401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523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8ADC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43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9C18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6063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16ED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2E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FF353"/>
    <w:multiLevelType w:val="hybridMultilevel"/>
    <w:tmpl w:val="E6201EDA"/>
    <w:lvl w:ilvl="0" w:tplc="F9EA0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5E2B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56F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CEA0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34DF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4E9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9449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504D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788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612183">
    <w:abstractNumId w:val="0"/>
  </w:num>
  <w:num w:numId="2" w16cid:durableId="946617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FD"/>
    <w:rsid w:val="00051B21"/>
    <w:rsid w:val="004E51FD"/>
    <w:rsid w:val="008226D8"/>
    <w:rsid w:val="00913C44"/>
    <w:rsid w:val="00976A92"/>
    <w:rsid w:val="00987D33"/>
    <w:rsid w:val="009FFDF2"/>
    <w:rsid w:val="00A008B2"/>
    <w:rsid w:val="00A81310"/>
    <w:rsid w:val="00C17B8C"/>
    <w:rsid w:val="00CB232E"/>
    <w:rsid w:val="00F31719"/>
    <w:rsid w:val="00F82EF7"/>
    <w:rsid w:val="00FC3547"/>
    <w:rsid w:val="04D6850F"/>
    <w:rsid w:val="0631E59B"/>
    <w:rsid w:val="0632F334"/>
    <w:rsid w:val="0AA42AF1"/>
    <w:rsid w:val="0B9C5179"/>
    <w:rsid w:val="10E619D1"/>
    <w:rsid w:val="115D8915"/>
    <w:rsid w:val="14019A24"/>
    <w:rsid w:val="14DAD3DF"/>
    <w:rsid w:val="170F89DE"/>
    <w:rsid w:val="17D0E532"/>
    <w:rsid w:val="190E105F"/>
    <w:rsid w:val="1A80315B"/>
    <w:rsid w:val="1EA12BBA"/>
    <w:rsid w:val="1F870366"/>
    <w:rsid w:val="21B53CEE"/>
    <w:rsid w:val="25D5DD1D"/>
    <w:rsid w:val="277855EA"/>
    <w:rsid w:val="2B108F14"/>
    <w:rsid w:val="2D5B15E5"/>
    <w:rsid w:val="2EAFC7C6"/>
    <w:rsid w:val="2EF84A2E"/>
    <w:rsid w:val="33C84339"/>
    <w:rsid w:val="341983C5"/>
    <w:rsid w:val="37011CBA"/>
    <w:rsid w:val="38F95F73"/>
    <w:rsid w:val="3C1A310D"/>
    <w:rsid w:val="3D0A97AE"/>
    <w:rsid w:val="400CB43B"/>
    <w:rsid w:val="40EB058C"/>
    <w:rsid w:val="44228463"/>
    <w:rsid w:val="446B8234"/>
    <w:rsid w:val="47E02767"/>
    <w:rsid w:val="4BBF284D"/>
    <w:rsid w:val="50B4CE23"/>
    <w:rsid w:val="50BB6515"/>
    <w:rsid w:val="534089EF"/>
    <w:rsid w:val="54740F24"/>
    <w:rsid w:val="54C5ED70"/>
    <w:rsid w:val="552E4513"/>
    <w:rsid w:val="5609AD65"/>
    <w:rsid w:val="57219580"/>
    <w:rsid w:val="5A31B3D3"/>
    <w:rsid w:val="5A98D46D"/>
    <w:rsid w:val="5FBD0797"/>
    <w:rsid w:val="645DB106"/>
    <w:rsid w:val="65A4D2CF"/>
    <w:rsid w:val="67B0CAEB"/>
    <w:rsid w:val="68504A36"/>
    <w:rsid w:val="6DD1A28D"/>
    <w:rsid w:val="6FA7E883"/>
    <w:rsid w:val="705763E6"/>
    <w:rsid w:val="722C13F2"/>
    <w:rsid w:val="74F876E8"/>
    <w:rsid w:val="77764D8D"/>
    <w:rsid w:val="7A7F5941"/>
    <w:rsid w:val="7BCCC316"/>
    <w:rsid w:val="7C8CE31B"/>
    <w:rsid w:val="7F076C3C"/>
    <w:rsid w:val="7F588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EE787"/>
  <w15:chartTrackingRefBased/>
  <w15:docId w15:val="{2B433C1E-1178-459B-B0DC-8ADF6B53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1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1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1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1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1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1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1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1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1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1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1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1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1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1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1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1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1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1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1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1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1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1FD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6A9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6A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6A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789</Words>
  <Characters>4499</Characters>
  <Application>Microsoft Office Word</Application>
  <DocSecurity>0</DocSecurity>
  <Lines>37</Lines>
  <Paragraphs>10</Paragraphs>
  <ScaleCrop>false</ScaleCrop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Hadley</dc:creator>
  <cp:keywords/>
  <dc:description/>
  <cp:lastModifiedBy>Marie Hadley</cp:lastModifiedBy>
  <cp:revision>14</cp:revision>
  <dcterms:created xsi:type="dcterms:W3CDTF">2025-01-07T02:52:00Z</dcterms:created>
  <dcterms:modified xsi:type="dcterms:W3CDTF">2025-01-14T02:25:00Z</dcterms:modified>
</cp:coreProperties>
</file>