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C168D" w14:textId="203C16DA" w:rsidR="005E0EBD" w:rsidRPr="00F309EA" w:rsidRDefault="005E0EBD" w:rsidP="23A3FAD7">
      <w:pPr>
        <w:pStyle w:val="paragraph"/>
        <w:spacing w:before="0" w:beforeAutospacing="0" w:after="0" w:afterAutospacing="0"/>
        <w:textAlignment w:val="baseline"/>
        <w:rPr>
          <w:rStyle w:val="eop"/>
          <w:rFonts w:ascii="Arial" w:eastAsiaTheme="minorEastAsia" w:hAnsi="Arial" w:cs="Arial"/>
          <w:b/>
          <w:bCs/>
        </w:rPr>
      </w:pPr>
      <w:r w:rsidRPr="00F309EA">
        <w:rPr>
          <w:rStyle w:val="normaltextrun"/>
          <w:rFonts w:ascii="Arial" w:eastAsiaTheme="minorEastAsia" w:hAnsi="Arial" w:cs="Arial"/>
          <w:b/>
          <w:bCs/>
        </w:rPr>
        <w:t>USA PATRIOT Act</w:t>
      </w:r>
    </w:p>
    <w:p w14:paraId="3C45636A" w14:textId="77777777" w:rsidR="000307B2" w:rsidRPr="00F309EA" w:rsidRDefault="000307B2" w:rsidP="23A3FAD7">
      <w:pPr>
        <w:pStyle w:val="paragraph"/>
        <w:spacing w:before="0" w:beforeAutospacing="0" w:after="0" w:afterAutospacing="0"/>
        <w:jc w:val="center"/>
        <w:textAlignment w:val="baseline"/>
        <w:rPr>
          <w:rFonts w:ascii="Arial" w:eastAsiaTheme="minorEastAsia" w:hAnsi="Arial" w:cs="Arial"/>
          <w:sz w:val="18"/>
          <w:szCs w:val="18"/>
        </w:rPr>
      </w:pPr>
    </w:p>
    <w:p w14:paraId="3C06E39A" w14:textId="397A026F" w:rsidR="005E0EBD" w:rsidRPr="00F309EA" w:rsidRDefault="005E0EBD" w:rsidP="23A3FAD7">
      <w:pPr>
        <w:pStyle w:val="paragraph"/>
        <w:spacing w:before="0" w:beforeAutospacing="0" w:after="0" w:afterAutospacing="0"/>
        <w:textAlignment w:val="baseline"/>
        <w:rPr>
          <w:rStyle w:val="normaltextrun"/>
          <w:rFonts w:ascii="Arial" w:eastAsiaTheme="minorEastAsia" w:hAnsi="Arial" w:cs="Arial"/>
        </w:rPr>
      </w:pPr>
      <w:r w:rsidRPr="00F309EA">
        <w:rPr>
          <w:rStyle w:val="normaltextrun"/>
          <w:rFonts w:ascii="Arial" w:eastAsiaTheme="minorEastAsia" w:hAnsi="Arial" w:cs="Arial"/>
        </w:rPr>
        <w:t xml:space="preserve">The </w:t>
      </w:r>
      <w:hyperlink r:id="rId8" w:tgtFrame="_blank" w:history="1">
        <w:r w:rsidRPr="00F309EA">
          <w:rPr>
            <w:rStyle w:val="normaltextrun"/>
            <w:rFonts w:ascii="Arial" w:eastAsiaTheme="minorEastAsia" w:hAnsi="Arial" w:cs="Arial"/>
            <w:color w:val="467886"/>
            <w:u w:val="single"/>
          </w:rPr>
          <w:t>USA PATRIOT Act</w:t>
        </w:r>
      </w:hyperlink>
      <w:r w:rsidRPr="00F309EA">
        <w:rPr>
          <w:rStyle w:val="normaltextrun"/>
          <w:rFonts w:ascii="Arial" w:eastAsiaTheme="minorEastAsia" w:hAnsi="Arial" w:cs="Arial"/>
        </w:rPr>
        <w:t xml:space="preserve">, officially known as the “Uniting and Strengthening America by Providing Appropriate Tools Required to Intercept and Obstruct Terrorism Act of 2001,” </w:t>
      </w:r>
      <w:r w:rsidR="13BB95E9" w:rsidRPr="00F309EA">
        <w:rPr>
          <w:rStyle w:val="normaltextrun"/>
          <w:rFonts w:ascii="Arial" w:eastAsiaTheme="minorEastAsia" w:hAnsi="Arial" w:cs="Arial"/>
        </w:rPr>
        <w:t>was a</w:t>
      </w:r>
      <w:r w:rsidRPr="00F309EA">
        <w:rPr>
          <w:rStyle w:val="normaltextrun"/>
          <w:rFonts w:ascii="Arial" w:eastAsiaTheme="minorEastAsia" w:hAnsi="Arial" w:cs="Arial"/>
        </w:rPr>
        <w:t xml:space="preserve"> keystone in the national security enhancement strategy passed by the United States</w:t>
      </w:r>
      <w:r w:rsidR="78802BBF" w:rsidRPr="00F309EA">
        <w:rPr>
          <w:rStyle w:val="normaltextrun"/>
          <w:rFonts w:ascii="Arial" w:eastAsiaTheme="minorEastAsia" w:hAnsi="Arial" w:cs="Arial"/>
        </w:rPr>
        <w:t xml:space="preserve"> (</w:t>
      </w:r>
      <w:r w:rsidR="78802BBF" w:rsidRPr="00F309EA">
        <w:rPr>
          <w:rStyle w:val="normaltextrun"/>
          <w:rFonts w:ascii="Arial" w:eastAsiaTheme="minorEastAsia" w:hAnsi="Arial" w:cs="Arial"/>
          <w:b/>
          <w:bCs/>
        </w:rPr>
        <w:t>US</w:t>
      </w:r>
      <w:r w:rsidR="78802BBF" w:rsidRPr="00F309EA">
        <w:rPr>
          <w:rStyle w:val="normaltextrun"/>
          <w:rFonts w:ascii="Arial" w:eastAsiaTheme="minorEastAsia" w:hAnsi="Arial" w:cs="Arial"/>
        </w:rPr>
        <w:t>)</w:t>
      </w:r>
      <w:r w:rsidRPr="00F309EA">
        <w:rPr>
          <w:rStyle w:val="normaltextrun"/>
          <w:rFonts w:ascii="Arial" w:eastAsiaTheme="minorEastAsia" w:hAnsi="Arial" w:cs="Arial"/>
        </w:rPr>
        <w:t xml:space="preserve"> </w:t>
      </w:r>
      <w:r w:rsidR="0EF9659E" w:rsidRPr="00F309EA">
        <w:rPr>
          <w:rStyle w:val="normaltextrun"/>
          <w:rFonts w:ascii="Arial" w:eastAsiaTheme="minorEastAsia" w:hAnsi="Arial" w:cs="Arial"/>
        </w:rPr>
        <w:t>G</w:t>
      </w:r>
      <w:r w:rsidRPr="00F309EA">
        <w:rPr>
          <w:rStyle w:val="normaltextrun"/>
          <w:rFonts w:ascii="Arial" w:eastAsiaTheme="minorEastAsia" w:hAnsi="Arial" w:cs="Arial"/>
        </w:rPr>
        <w:t>overnment after the September 11</w:t>
      </w:r>
      <w:r w:rsidR="0B8706AA" w:rsidRPr="00F309EA">
        <w:rPr>
          <w:rStyle w:val="normaltextrun"/>
          <w:rFonts w:ascii="Arial" w:eastAsiaTheme="minorEastAsia" w:hAnsi="Arial" w:cs="Arial"/>
        </w:rPr>
        <w:t>,</w:t>
      </w:r>
      <w:r w:rsidRPr="00F309EA">
        <w:rPr>
          <w:rStyle w:val="normaltextrun"/>
          <w:rFonts w:ascii="Arial" w:eastAsiaTheme="minorEastAsia" w:hAnsi="Arial" w:cs="Arial"/>
        </w:rPr>
        <w:t xml:space="preserve"> 2001</w:t>
      </w:r>
      <w:r w:rsidR="003B2F7B" w:rsidRPr="00F309EA">
        <w:rPr>
          <w:rStyle w:val="normaltextrun"/>
          <w:rFonts w:ascii="Arial" w:eastAsiaTheme="minorEastAsia" w:hAnsi="Arial" w:cs="Arial"/>
        </w:rPr>
        <w:t xml:space="preserve"> </w:t>
      </w:r>
      <w:r w:rsidRPr="00F309EA">
        <w:rPr>
          <w:rStyle w:val="normaltextrun"/>
          <w:rFonts w:ascii="Arial" w:eastAsiaTheme="minorEastAsia" w:hAnsi="Arial" w:cs="Arial"/>
        </w:rPr>
        <w:t>terrorist attacks. Its provisions have considerably broadened the surveillance and investigative authorities of federal agencies. It was intended to mitigate future attacks by giving the government broad authorities to track and access communications and financial data across international borders and within the U</w:t>
      </w:r>
      <w:r w:rsidR="2C1086B3" w:rsidRPr="00F309EA">
        <w:rPr>
          <w:rStyle w:val="normaltextrun"/>
          <w:rFonts w:ascii="Arial" w:eastAsiaTheme="minorEastAsia" w:hAnsi="Arial" w:cs="Arial"/>
        </w:rPr>
        <w:t>S</w:t>
      </w:r>
      <w:r w:rsidR="006C5A16" w:rsidRPr="00F309EA">
        <w:rPr>
          <w:rStyle w:val="normaltextrun"/>
          <w:rFonts w:ascii="Arial" w:eastAsiaTheme="minorEastAsia" w:hAnsi="Arial" w:cs="Arial"/>
        </w:rPr>
        <w:t>.</w:t>
      </w:r>
      <w:r w:rsidRPr="00F309EA">
        <w:rPr>
          <w:rStyle w:val="FootnoteReference"/>
          <w:rFonts w:ascii="Arial" w:eastAsiaTheme="minorEastAsia" w:hAnsi="Arial" w:cs="Arial"/>
        </w:rPr>
        <w:footnoteReference w:id="1"/>
      </w:r>
    </w:p>
    <w:p w14:paraId="04CA99B7" w14:textId="77777777" w:rsidR="00F309EA" w:rsidRPr="00F309EA" w:rsidRDefault="00F309EA" w:rsidP="23A3FAD7">
      <w:pPr>
        <w:pStyle w:val="paragraph"/>
        <w:spacing w:before="0" w:beforeAutospacing="0" w:after="0" w:afterAutospacing="0"/>
        <w:textAlignment w:val="baseline"/>
        <w:rPr>
          <w:rStyle w:val="normaltextrun"/>
          <w:rFonts w:ascii="Arial" w:eastAsiaTheme="minorEastAsia" w:hAnsi="Arial" w:cs="Arial"/>
        </w:rPr>
      </w:pPr>
    </w:p>
    <w:p w14:paraId="383ADE34" w14:textId="6C53A403" w:rsidR="005E0EBD" w:rsidRPr="00F309EA" w:rsidRDefault="005E0EBD" w:rsidP="23A3FAD7">
      <w:pPr>
        <w:pStyle w:val="paragraph"/>
        <w:spacing w:before="0" w:beforeAutospacing="0" w:after="0" w:afterAutospacing="0"/>
        <w:textAlignment w:val="baseline"/>
        <w:rPr>
          <w:rStyle w:val="normaltextrun"/>
          <w:rFonts w:ascii="Arial" w:eastAsiaTheme="minorEastAsia" w:hAnsi="Arial" w:cs="Arial"/>
        </w:rPr>
      </w:pPr>
      <w:r w:rsidRPr="00F309EA">
        <w:rPr>
          <w:rStyle w:val="normaltextrun"/>
          <w:rFonts w:ascii="Arial" w:eastAsiaTheme="minorEastAsia" w:hAnsi="Arial" w:cs="Arial"/>
        </w:rPr>
        <w:t xml:space="preserve">The Act has profound implications for data privacy, particularly in the context of cloud services. </w:t>
      </w:r>
      <w:r w:rsidR="00F162F3" w:rsidRPr="00F309EA">
        <w:rPr>
          <w:rStyle w:val="normaltextrun"/>
          <w:rFonts w:ascii="Arial" w:eastAsiaTheme="minorEastAsia" w:hAnsi="Arial" w:cs="Arial"/>
        </w:rPr>
        <w:t>I</w:t>
      </w:r>
      <w:r w:rsidRPr="00F309EA">
        <w:rPr>
          <w:rStyle w:val="normaltextrun"/>
          <w:rFonts w:ascii="Arial" w:eastAsiaTheme="minorEastAsia" w:hAnsi="Arial" w:cs="Arial"/>
        </w:rPr>
        <w:t>t grants US government agencies access to any kind of personal data stored by a US-based cloud provider, no matter the country of origin of the owner or where the data lies. This means that even if a business or individual outside the U</w:t>
      </w:r>
      <w:r w:rsidR="50B17BD6" w:rsidRPr="00F309EA">
        <w:rPr>
          <w:rStyle w:val="normaltextrun"/>
          <w:rFonts w:ascii="Arial" w:eastAsiaTheme="minorEastAsia" w:hAnsi="Arial" w:cs="Arial"/>
        </w:rPr>
        <w:t>S</w:t>
      </w:r>
      <w:r w:rsidRPr="00F309EA">
        <w:rPr>
          <w:rStyle w:val="normaltextrun"/>
          <w:rFonts w:ascii="Arial" w:eastAsiaTheme="minorEastAsia" w:hAnsi="Arial" w:cs="Arial"/>
        </w:rPr>
        <w:t xml:space="preserve"> chooses a cloud service that operates within the US or has headquarters there, their data could still be subject to scrutiny under the PATRIOT Act</w:t>
      </w:r>
      <w:r w:rsidR="006C5A16" w:rsidRPr="00F309EA">
        <w:rPr>
          <w:rStyle w:val="normaltextrun"/>
          <w:rFonts w:ascii="Arial" w:eastAsiaTheme="minorEastAsia" w:hAnsi="Arial" w:cs="Arial"/>
        </w:rPr>
        <w:t>.</w:t>
      </w:r>
      <w:r w:rsidR="00A3029D" w:rsidRPr="00F309EA">
        <w:rPr>
          <w:rStyle w:val="FootnoteReference"/>
          <w:rFonts w:ascii="Arial" w:eastAsiaTheme="minorEastAsia" w:hAnsi="Arial" w:cs="Arial"/>
        </w:rPr>
        <w:footnoteReference w:id="2"/>
      </w:r>
      <w:r w:rsidRPr="00F309EA">
        <w:rPr>
          <w:rStyle w:val="normaltextrun"/>
          <w:rFonts w:ascii="Arial" w:eastAsiaTheme="minorEastAsia" w:hAnsi="Arial" w:cs="Arial"/>
        </w:rPr>
        <w:t xml:space="preserve"> </w:t>
      </w:r>
    </w:p>
    <w:p w14:paraId="177E4C07" w14:textId="59CD8468" w:rsidR="23A3FAD7" w:rsidRPr="00F309EA" w:rsidRDefault="23A3FAD7" w:rsidP="23A3FAD7">
      <w:pPr>
        <w:pStyle w:val="paragraph"/>
        <w:spacing w:before="0" w:beforeAutospacing="0" w:after="0" w:afterAutospacing="0"/>
        <w:rPr>
          <w:rStyle w:val="normaltextrun"/>
          <w:rFonts w:ascii="Arial" w:eastAsiaTheme="minorEastAsia" w:hAnsi="Arial" w:cs="Arial"/>
        </w:rPr>
      </w:pPr>
    </w:p>
    <w:p w14:paraId="456B3F6A" w14:textId="614FA62E" w:rsidR="005E0EBD" w:rsidRPr="00F309EA" w:rsidRDefault="00626486" w:rsidP="23A3FAD7">
      <w:pPr>
        <w:pStyle w:val="paragraph"/>
        <w:spacing w:before="0" w:after="0"/>
        <w:textAlignment w:val="baseline"/>
        <w:rPr>
          <w:rFonts w:ascii="Arial" w:eastAsiaTheme="minorEastAsia" w:hAnsi="Arial" w:cs="Arial"/>
          <w:sz w:val="18"/>
          <w:szCs w:val="18"/>
        </w:rPr>
      </w:pPr>
      <w:r>
        <w:rPr>
          <w:rStyle w:val="normaltextrun"/>
          <w:rFonts w:ascii="Arial" w:eastAsiaTheme="minorEastAsia" w:hAnsi="Arial" w:cs="Arial"/>
        </w:rPr>
        <w:t>S</w:t>
      </w:r>
      <w:r w:rsidR="005E0EBD" w:rsidRPr="00F309EA">
        <w:rPr>
          <w:rStyle w:val="normaltextrun"/>
          <w:rFonts w:ascii="Arial" w:eastAsiaTheme="minorEastAsia" w:hAnsi="Arial" w:cs="Arial"/>
        </w:rPr>
        <w:t xml:space="preserve">ections 215 and 505 of the PATRIOT Act </w:t>
      </w:r>
      <w:r w:rsidR="00900D97" w:rsidRPr="00F309EA">
        <w:rPr>
          <w:rStyle w:val="normaltextrun"/>
          <w:rFonts w:ascii="Arial" w:eastAsiaTheme="minorEastAsia" w:hAnsi="Arial" w:cs="Arial"/>
        </w:rPr>
        <w:t xml:space="preserve">raise </w:t>
      </w:r>
      <w:r w:rsidR="005E0EBD" w:rsidRPr="00F309EA">
        <w:rPr>
          <w:rStyle w:val="normaltextrun"/>
          <w:rFonts w:ascii="Arial" w:eastAsiaTheme="minorEastAsia" w:hAnsi="Arial" w:cs="Arial"/>
        </w:rPr>
        <w:t>concern</w:t>
      </w:r>
      <w:r w:rsidR="00900D97" w:rsidRPr="00F309EA">
        <w:rPr>
          <w:rStyle w:val="normaltextrun"/>
          <w:rFonts w:ascii="Arial" w:eastAsiaTheme="minorEastAsia" w:hAnsi="Arial" w:cs="Arial"/>
        </w:rPr>
        <w:t>s for</w:t>
      </w:r>
      <w:r w:rsidR="005E0EBD" w:rsidRPr="00F309EA">
        <w:rPr>
          <w:rStyle w:val="normaltextrun"/>
          <w:rFonts w:ascii="Arial" w:eastAsiaTheme="minorEastAsia" w:hAnsi="Arial" w:cs="Arial"/>
        </w:rPr>
        <w:t xml:space="preserve"> data privacy:</w:t>
      </w:r>
      <w:r w:rsidR="005E0EBD" w:rsidRPr="00F309EA">
        <w:rPr>
          <w:rStyle w:val="eop"/>
          <w:rFonts w:ascii="Arial" w:eastAsiaTheme="minorEastAsia" w:hAnsi="Arial" w:cs="Arial"/>
        </w:rPr>
        <w:t> </w:t>
      </w:r>
    </w:p>
    <w:p w14:paraId="3E6CAD22" w14:textId="210FD85B" w:rsidR="005E0EBD" w:rsidRPr="00F309EA" w:rsidRDefault="005E0EBD" w:rsidP="23A3FAD7">
      <w:pPr>
        <w:pStyle w:val="paragraph"/>
        <w:numPr>
          <w:ilvl w:val="0"/>
          <w:numId w:val="4"/>
        </w:numPr>
        <w:spacing w:before="0" w:beforeAutospacing="0" w:after="0" w:afterAutospacing="0"/>
        <w:ind w:left="1080" w:firstLine="0"/>
        <w:textAlignment w:val="baseline"/>
        <w:rPr>
          <w:rStyle w:val="normaltextrun"/>
          <w:rFonts w:ascii="Arial" w:eastAsiaTheme="minorEastAsia" w:hAnsi="Arial" w:cs="Arial"/>
        </w:rPr>
      </w:pPr>
      <w:r w:rsidRPr="00F309EA">
        <w:rPr>
          <w:rStyle w:val="normaltextrun"/>
          <w:rFonts w:ascii="Arial" w:eastAsiaTheme="minorEastAsia" w:hAnsi="Arial" w:cs="Arial"/>
        </w:rPr>
        <w:t>Section 215 of the Act, often referred to as the “business records” provision, allows federal agencies to request any person or entity to hand over “any tangible things” relevant to a terrorism investigation. This section grants the government broad authority to collect a wide range of business records without requiring a court order. Importantly, according to the original version of the Act, this authority could be used to gather information in bulk, even if the data pertains to individuals not directly under investigation, raising significant concerns about overreach and privacy</w:t>
      </w:r>
      <w:r w:rsidR="006C5A16" w:rsidRPr="00F309EA">
        <w:rPr>
          <w:rStyle w:val="normaltextrun"/>
          <w:rFonts w:ascii="Arial" w:eastAsiaTheme="minorEastAsia" w:hAnsi="Arial" w:cs="Arial"/>
        </w:rPr>
        <w:t>.</w:t>
      </w:r>
    </w:p>
    <w:p w14:paraId="1900A8E8" w14:textId="236F89A4" w:rsidR="000122D3" w:rsidRPr="00F309EA" w:rsidRDefault="005E0EBD" w:rsidP="23A3FAD7">
      <w:pPr>
        <w:pStyle w:val="paragraph"/>
        <w:numPr>
          <w:ilvl w:val="0"/>
          <w:numId w:val="5"/>
        </w:numPr>
        <w:spacing w:before="0" w:beforeAutospacing="0" w:after="0" w:afterAutospacing="0"/>
        <w:ind w:left="1080" w:firstLine="0"/>
        <w:textAlignment w:val="baseline"/>
        <w:rPr>
          <w:rFonts w:ascii="Arial" w:eastAsiaTheme="minorEastAsia" w:hAnsi="Arial" w:cs="Arial"/>
        </w:rPr>
      </w:pPr>
      <w:r w:rsidRPr="00F309EA">
        <w:rPr>
          <w:rStyle w:val="normaltextrun"/>
          <w:rFonts w:ascii="Arial" w:eastAsiaTheme="minorEastAsia" w:hAnsi="Arial" w:cs="Arial"/>
        </w:rPr>
        <w:t>Section 505 authorises t</w:t>
      </w:r>
      <w:r w:rsidR="39F75CF7" w:rsidRPr="00F309EA">
        <w:rPr>
          <w:rStyle w:val="normaltextrun"/>
          <w:rFonts w:ascii="Arial" w:eastAsiaTheme="minorEastAsia" w:hAnsi="Arial" w:cs="Arial"/>
        </w:rPr>
        <w:t xml:space="preserve">he issuance of </w:t>
      </w:r>
      <w:r w:rsidRPr="00F309EA">
        <w:rPr>
          <w:rStyle w:val="normaltextrun"/>
          <w:rFonts w:ascii="Arial" w:eastAsiaTheme="minorEastAsia" w:hAnsi="Arial" w:cs="Arial"/>
        </w:rPr>
        <w:t>National Security Letters (</w:t>
      </w:r>
      <w:r w:rsidRPr="00F309EA">
        <w:rPr>
          <w:rStyle w:val="normaltextrun"/>
          <w:rFonts w:ascii="Arial" w:eastAsiaTheme="minorEastAsia" w:hAnsi="Arial" w:cs="Arial"/>
          <w:b/>
          <w:bCs/>
        </w:rPr>
        <w:t>NSLs</w:t>
      </w:r>
      <w:r w:rsidRPr="00F309EA">
        <w:rPr>
          <w:rStyle w:val="normaltextrun"/>
          <w:rFonts w:ascii="Arial" w:eastAsiaTheme="minorEastAsia" w:hAnsi="Arial" w:cs="Arial"/>
        </w:rPr>
        <w:t xml:space="preserve">), which are administrative subpoenas that allow federal agencies to demand certain types of records from companies, such as telecommunication firms and internet service providers, without prior judicial approval. Unlike Section 215, NSLs are more targeted but come with a “gag order” </w:t>
      </w:r>
      <w:r w:rsidR="123139A8" w:rsidRPr="00F309EA">
        <w:rPr>
          <w:rStyle w:val="normaltextrun"/>
          <w:rFonts w:ascii="Arial" w:eastAsiaTheme="minorEastAsia" w:hAnsi="Arial" w:cs="Arial"/>
        </w:rPr>
        <w:t xml:space="preserve">that </w:t>
      </w:r>
      <w:r w:rsidRPr="00F309EA">
        <w:rPr>
          <w:rStyle w:val="normaltextrun"/>
          <w:rFonts w:ascii="Arial" w:eastAsiaTheme="minorEastAsia" w:hAnsi="Arial" w:cs="Arial"/>
        </w:rPr>
        <w:t>prevents companies from informing individuals about the government's data request. This secrecy adds another layer of concern regarding transparency and the potential misuse of these powers</w:t>
      </w:r>
      <w:r w:rsidR="006C5A16" w:rsidRPr="00F309EA">
        <w:rPr>
          <w:rStyle w:val="normaltextrun"/>
          <w:rFonts w:ascii="Arial" w:eastAsiaTheme="minorEastAsia" w:hAnsi="Arial" w:cs="Arial"/>
        </w:rPr>
        <w:t>.</w:t>
      </w:r>
      <w:r w:rsidR="00900D97" w:rsidRPr="00F309EA">
        <w:rPr>
          <w:rFonts w:ascii="Arial" w:eastAsiaTheme="minorEastAsia" w:hAnsi="Arial" w:cs="Arial"/>
        </w:rPr>
        <w:t xml:space="preserve"> </w:t>
      </w:r>
      <w:r w:rsidR="000122D3" w:rsidRPr="00F309EA">
        <w:rPr>
          <w:rFonts w:ascii="Arial" w:hAnsi="Arial" w:cs="Arial"/>
        </w:rPr>
        <w:br/>
      </w:r>
    </w:p>
    <w:p w14:paraId="16FFFA54" w14:textId="47A70A14" w:rsidR="007F4BE9" w:rsidRPr="00F309EA" w:rsidRDefault="000B53ED" w:rsidP="23A3FAD7">
      <w:pPr>
        <w:pStyle w:val="paragraph"/>
        <w:spacing w:before="0" w:after="0"/>
        <w:textAlignment w:val="baseline"/>
        <w:rPr>
          <w:rStyle w:val="normaltextrun"/>
          <w:rFonts w:ascii="Arial" w:eastAsiaTheme="minorEastAsia" w:hAnsi="Arial" w:cs="Arial"/>
        </w:rPr>
      </w:pPr>
      <w:r w:rsidRPr="00F309EA">
        <w:rPr>
          <w:rStyle w:val="normaltextrun"/>
          <w:rFonts w:ascii="Arial" w:eastAsiaTheme="minorEastAsia" w:hAnsi="Arial" w:cs="Arial"/>
        </w:rPr>
        <w:t>T</w:t>
      </w:r>
      <w:r w:rsidR="005E0EBD" w:rsidRPr="00F309EA">
        <w:rPr>
          <w:rStyle w:val="normaltextrun"/>
          <w:rFonts w:ascii="Arial" w:eastAsiaTheme="minorEastAsia" w:hAnsi="Arial" w:cs="Arial"/>
        </w:rPr>
        <w:t xml:space="preserve">he PATRIOT Act </w:t>
      </w:r>
      <w:r w:rsidRPr="00F309EA">
        <w:rPr>
          <w:rStyle w:val="normaltextrun"/>
          <w:rFonts w:ascii="Arial" w:eastAsiaTheme="minorEastAsia" w:hAnsi="Arial" w:cs="Arial"/>
        </w:rPr>
        <w:t xml:space="preserve">is criticised as undermining </w:t>
      </w:r>
      <w:r w:rsidR="005E0EBD" w:rsidRPr="00F309EA">
        <w:rPr>
          <w:rStyle w:val="normaltextrun"/>
          <w:rFonts w:ascii="Arial" w:eastAsiaTheme="minorEastAsia" w:hAnsi="Arial" w:cs="Arial"/>
        </w:rPr>
        <w:t>the ability of other countries to enforce their own data privacy laws</w:t>
      </w:r>
      <w:r w:rsidR="00093C2C" w:rsidRPr="00F309EA">
        <w:rPr>
          <w:rStyle w:val="normaltextrun"/>
          <w:rFonts w:ascii="Arial" w:eastAsiaTheme="minorEastAsia" w:hAnsi="Arial" w:cs="Arial"/>
        </w:rPr>
        <w:t>,</w:t>
      </w:r>
      <w:r w:rsidR="005E0EBD" w:rsidRPr="00F309EA">
        <w:rPr>
          <w:rStyle w:val="normaltextrun"/>
          <w:rFonts w:ascii="Arial" w:eastAsiaTheme="minorEastAsia" w:hAnsi="Arial" w:cs="Arial"/>
        </w:rPr>
        <w:t xml:space="preserve"> leading to legal complexities</w:t>
      </w:r>
      <w:r w:rsidR="00093C2C" w:rsidRPr="00F309EA">
        <w:rPr>
          <w:rStyle w:val="normaltextrun"/>
          <w:rFonts w:ascii="Arial" w:eastAsiaTheme="minorEastAsia" w:hAnsi="Arial" w:cs="Arial"/>
        </w:rPr>
        <w:t xml:space="preserve"> and confusion</w:t>
      </w:r>
      <w:r w:rsidR="005E0EBD" w:rsidRPr="00F309EA">
        <w:rPr>
          <w:rStyle w:val="normaltextrun"/>
          <w:rFonts w:ascii="Arial" w:eastAsiaTheme="minorEastAsia" w:hAnsi="Arial" w:cs="Arial"/>
        </w:rPr>
        <w:t xml:space="preserve">. This </w:t>
      </w:r>
      <w:r w:rsidR="007F4BE9" w:rsidRPr="00F309EA">
        <w:rPr>
          <w:rStyle w:val="normaltextrun"/>
          <w:rFonts w:ascii="Arial" w:eastAsiaTheme="minorEastAsia" w:hAnsi="Arial" w:cs="Arial"/>
        </w:rPr>
        <w:t xml:space="preserve">has implications for </w:t>
      </w:r>
      <w:r w:rsidR="005E0EBD" w:rsidRPr="00F309EA">
        <w:rPr>
          <w:rStyle w:val="normaltextrun"/>
          <w:rFonts w:ascii="Arial" w:eastAsiaTheme="minorEastAsia" w:hAnsi="Arial" w:cs="Arial"/>
        </w:rPr>
        <w:t>companies that handle sensitive or personal data and must comply with strict data protection regulations, such as the</w:t>
      </w:r>
      <w:r w:rsidR="3AFAA621" w:rsidRPr="00F309EA">
        <w:rPr>
          <w:rStyle w:val="normaltextrun"/>
          <w:rFonts w:ascii="Arial" w:eastAsiaTheme="minorEastAsia" w:hAnsi="Arial" w:cs="Arial"/>
        </w:rPr>
        <w:t>:</w:t>
      </w:r>
    </w:p>
    <w:p w14:paraId="6069A64B" w14:textId="40DDFD33" w:rsidR="007F4BE9" w:rsidRPr="00F309EA" w:rsidRDefault="005E0EBD" w:rsidP="23A3FAD7">
      <w:pPr>
        <w:pStyle w:val="paragraph"/>
        <w:numPr>
          <w:ilvl w:val="0"/>
          <w:numId w:val="1"/>
        </w:numPr>
        <w:spacing w:before="0" w:after="0"/>
        <w:textAlignment w:val="baseline"/>
        <w:rPr>
          <w:rStyle w:val="normaltextrun"/>
          <w:rFonts w:ascii="Arial" w:eastAsiaTheme="minorEastAsia" w:hAnsi="Arial" w:cs="Arial"/>
        </w:rPr>
      </w:pPr>
      <w:hyperlink r:id="rId9" w:tgtFrame="_blank" w:history="1">
        <w:r w:rsidRPr="00F309EA">
          <w:rPr>
            <w:rStyle w:val="normaltextrun"/>
            <w:rFonts w:ascii="Arial" w:eastAsiaTheme="minorEastAsia" w:hAnsi="Arial" w:cs="Arial"/>
            <w:color w:val="467886"/>
            <w:u w:val="single"/>
          </w:rPr>
          <w:t>General Data Protection Regulation (GDPR)</w:t>
        </w:r>
      </w:hyperlink>
      <w:r w:rsidRPr="00F309EA">
        <w:rPr>
          <w:rStyle w:val="normaltextrun"/>
          <w:rFonts w:ascii="Arial" w:eastAsiaTheme="minorEastAsia" w:hAnsi="Arial" w:cs="Arial"/>
        </w:rPr>
        <w:t xml:space="preserve"> in the European Union</w:t>
      </w:r>
      <w:r w:rsidR="08E024F5" w:rsidRPr="00F309EA">
        <w:rPr>
          <w:rStyle w:val="normaltextrun"/>
          <w:rFonts w:ascii="Arial" w:eastAsiaTheme="minorEastAsia" w:hAnsi="Arial" w:cs="Arial"/>
        </w:rPr>
        <w:t>,</w:t>
      </w:r>
    </w:p>
    <w:p w14:paraId="2D471ECC" w14:textId="47011FC4" w:rsidR="007F4BE9" w:rsidRPr="00F309EA" w:rsidRDefault="005E0EBD" w:rsidP="23A3FAD7">
      <w:pPr>
        <w:pStyle w:val="paragraph"/>
        <w:numPr>
          <w:ilvl w:val="0"/>
          <w:numId w:val="1"/>
        </w:numPr>
        <w:spacing w:before="0" w:after="0"/>
        <w:textAlignment w:val="baseline"/>
        <w:rPr>
          <w:rStyle w:val="normaltextrun"/>
          <w:rFonts w:ascii="Arial" w:eastAsiaTheme="minorEastAsia" w:hAnsi="Arial" w:cs="Arial"/>
        </w:rPr>
      </w:pPr>
      <w:hyperlink r:id="rId10" w:tgtFrame="_blank" w:history="1">
        <w:r w:rsidRPr="00F309EA">
          <w:rPr>
            <w:rStyle w:val="normaltextrun"/>
            <w:rFonts w:ascii="Arial" w:eastAsiaTheme="minorEastAsia" w:hAnsi="Arial" w:cs="Arial"/>
            <w:color w:val="467886"/>
            <w:u w:val="single"/>
          </w:rPr>
          <w:t>Personal Data Protection Act (PDPA)</w:t>
        </w:r>
      </w:hyperlink>
      <w:r w:rsidRPr="00F309EA">
        <w:rPr>
          <w:rStyle w:val="normaltextrun"/>
          <w:rFonts w:ascii="Arial" w:eastAsiaTheme="minorEastAsia" w:hAnsi="Arial" w:cs="Arial"/>
        </w:rPr>
        <w:t xml:space="preserve"> in Singapore, or </w:t>
      </w:r>
    </w:p>
    <w:p w14:paraId="123E421B" w14:textId="212F5F81" w:rsidR="007F4BE9" w:rsidRPr="00F309EA" w:rsidRDefault="005E0EBD" w:rsidP="23A3FAD7">
      <w:pPr>
        <w:pStyle w:val="paragraph"/>
        <w:numPr>
          <w:ilvl w:val="0"/>
          <w:numId w:val="1"/>
        </w:numPr>
        <w:spacing w:before="0" w:after="0"/>
        <w:textAlignment w:val="baseline"/>
        <w:rPr>
          <w:rStyle w:val="normaltextrun"/>
          <w:rFonts w:ascii="Arial" w:eastAsiaTheme="minorEastAsia" w:hAnsi="Arial" w:cs="Arial"/>
        </w:rPr>
      </w:pPr>
      <w:r w:rsidRPr="00F309EA">
        <w:rPr>
          <w:rStyle w:val="normaltextrun"/>
          <w:rFonts w:ascii="Arial" w:eastAsiaTheme="minorEastAsia" w:hAnsi="Arial" w:cs="Arial"/>
        </w:rPr>
        <w:t xml:space="preserve">Russian </w:t>
      </w:r>
      <w:hyperlink r:id="rId11" w:tgtFrame="_blank" w:history="1">
        <w:r w:rsidRPr="00F309EA">
          <w:rPr>
            <w:rStyle w:val="normaltextrun"/>
            <w:rFonts w:ascii="Arial" w:eastAsiaTheme="minorEastAsia" w:hAnsi="Arial" w:cs="Arial"/>
            <w:color w:val="467886"/>
            <w:u w:val="single"/>
          </w:rPr>
          <w:t>Federal Law on Personal Data (152-FZ)</w:t>
        </w:r>
      </w:hyperlink>
      <w:r w:rsidRPr="00F309EA">
        <w:rPr>
          <w:rStyle w:val="normaltextrun"/>
          <w:rFonts w:ascii="Arial" w:eastAsiaTheme="minorEastAsia" w:hAnsi="Arial" w:cs="Arial"/>
        </w:rPr>
        <w:t xml:space="preserve">. </w:t>
      </w:r>
    </w:p>
    <w:p w14:paraId="534B0FB5" w14:textId="18701B05" w:rsidR="007F4BE9" w:rsidRPr="00F309EA" w:rsidRDefault="005E0EBD" w:rsidP="23A3FAD7">
      <w:pPr>
        <w:pStyle w:val="paragraph"/>
        <w:spacing w:before="0" w:after="0"/>
        <w:textAlignment w:val="baseline"/>
        <w:rPr>
          <w:rStyle w:val="normaltextrun"/>
          <w:rFonts w:ascii="Arial" w:eastAsiaTheme="minorEastAsia" w:hAnsi="Arial" w:cs="Arial"/>
        </w:rPr>
      </w:pPr>
      <w:r w:rsidRPr="00F309EA">
        <w:rPr>
          <w:rStyle w:val="normaltextrun"/>
          <w:rFonts w:ascii="Arial" w:eastAsiaTheme="minorEastAsia" w:hAnsi="Arial" w:cs="Arial"/>
        </w:rPr>
        <w:t xml:space="preserve">The PATRIOT Act's provisions may conflict with such </w:t>
      </w:r>
      <w:r w:rsidR="4EA88DAA" w:rsidRPr="00F309EA">
        <w:rPr>
          <w:rStyle w:val="normaltextrun"/>
          <w:rFonts w:ascii="Arial" w:eastAsiaTheme="minorEastAsia" w:hAnsi="Arial" w:cs="Arial"/>
        </w:rPr>
        <w:t>legislation</w:t>
      </w:r>
      <w:r w:rsidR="00093C2C" w:rsidRPr="00F309EA">
        <w:rPr>
          <w:rStyle w:val="normaltextrun"/>
          <w:rFonts w:ascii="Arial" w:eastAsiaTheme="minorEastAsia" w:hAnsi="Arial" w:cs="Arial"/>
        </w:rPr>
        <w:t>.</w:t>
      </w:r>
      <w:r w:rsidR="00093C2C" w:rsidRPr="00F309EA">
        <w:rPr>
          <w:rStyle w:val="FootnoteReference"/>
          <w:rFonts w:ascii="Arial" w:eastAsiaTheme="minorEastAsia" w:hAnsi="Arial" w:cs="Arial"/>
        </w:rPr>
        <w:footnoteReference w:id="3"/>
      </w:r>
    </w:p>
    <w:p w14:paraId="4F74FA5B" w14:textId="5FE17FA0" w:rsidR="006C5A16" w:rsidRPr="00F309EA" w:rsidRDefault="005E0EBD" w:rsidP="23A3FAD7">
      <w:pPr>
        <w:pStyle w:val="paragraph"/>
        <w:spacing w:before="0" w:after="0"/>
        <w:textAlignment w:val="baseline"/>
        <w:rPr>
          <w:rStyle w:val="normaltextrun"/>
          <w:rFonts w:ascii="Arial" w:eastAsiaTheme="minorEastAsia" w:hAnsi="Arial" w:cs="Arial"/>
        </w:rPr>
      </w:pPr>
      <w:r w:rsidRPr="00F309EA">
        <w:rPr>
          <w:rStyle w:val="normaltextrun"/>
          <w:rFonts w:ascii="Arial" w:eastAsiaTheme="minorEastAsia" w:hAnsi="Arial" w:cs="Arial"/>
        </w:rPr>
        <w:t xml:space="preserve">Additionally, the Act raises ethical concerns about the balance between national security and individual privacy. Public awareness of these issues grew significantly after Edward Snowden's 2013 revelations about the extent of US government surveillance, particularly the bulk data collection under </w:t>
      </w:r>
      <w:r w:rsidR="32622315" w:rsidRPr="00F309EA">
        <w:rPr>
          <w:rStyle w:val="normaltextrun"/>
          <w:rFonts w:ascii="Arial" w:eastAsiaTheme="minorEastAsia" w:hAnsi="Arial" w:cs="Arial"/>
        </w:rPr>
        <w:t>s</w:t>
      </w:r>
      <w:r w:rsidRPr="00F309EA">
        <w:rPr>
          <w:rStyle w:val="normaltextrun"/>
          <w:rFonts w:ascii="Arial" w:eastAsiaTheme="minorEastAsia" w:hAnsi="Arial" w:cs="Arial"/>
        </w:rPr>
        <w:t>ection 215. Snowden's disclosure further turned the public eye to such surveillance powers, eventually followed by legal reforms</w:t>
      </w:r>
      <w:r w:rsidR="2FDFB892" w:rsidRPr="00F309EA">
        <w:rPr>
          <w:rStyle w:val="normaltextrun"/>
          <w:rFonts w:ascii="Arial" w:eastAsiaTheme="minorEastAsia" w:hAnsi="Arial" w:cs="Arial"/>
        </w:rPr>
        <w:t xml:space="preserve"> (</w:t>
      </w:r>
      <w:r w:rsidRPr="00F309EA">
        <w:rPr>
          <w:rStyle w:val="normaltextrun"/>
          <w:rFonts w:ascii="Arial" w:eastAsiaTheme="minorEastAsia" w:hAnsi="Arial" w:cs="Arial"/>
        </w:rPr>
        <w:t xml:space="preserve">the </w:t>
      </w:r>
      <w:hyperlink r:id="rId12" w:tgtFrame="_blank" w:history="1">
        <w:r w:rsidRPr="00F309EA">
          <w:rPr>
            <w:rStyle w:val="normaltextrun"/>
            <w:rFonts w:ascii="Arial" w:eastAsiaTheme="minorEastAsia" w:hAnsi="Arial" w:cs="Arial"/>
            <w:color w:val="467886"/>
            <w:u w:val="single"/>
          </w:rPr>
          <w:t>USA FREEDOM Act</w:t>
        </w:r>
      </w:hyperlink>
      <w:r w:rsidRPr="00F309EA">
        <w:rPr>
          <w:rStyle w:val="normaltextrun"/>
          <w:rFonts w:ascii="Arial" w:eastAsiaTheme="minorEastAsia" w:hAnsi="Arial" w:cs="Arial"/>
        </w:rPr>
        <w:t xml:space="preserve"> of 2015</w:t>
      </w:r>
      <w:r w:rsidR="70CF964B" w:rsidRPr="00F309EA">
        <w:rPr>
          <w:rStyle w:val="normaltextrun"/>
          <w:rFonts w:ascii="Arial" w:eastAsiaTheme="minorEastAsia" w:hAnsi="Arial" w:cs="Arial"/>
        </w:rPr>
        <w:t>, which</w:t>
      </w:r>
      <w:r w:rsidRPr="00F309EA">
        <w:rPr>
          <w:rStyle w:val="normaltextrun"/>
          <w:rFonts w:ascii="Arial" w:eastAsiaTheme="minorEastAsia" w:hAnsi="Arial" w:cs="Arial"/>
        </w:rPr>
        <w:t xml:space="preserve"> tried to limit some of the more controversial practices</w:t>
      </w:r>
      <w:r w:rsidR="22525FCA" w:rsidRPr="00F309EA">
        <w:rPr>
          <w:rStyle w:val="normaltextrun"/>
          <w:rFonts w:ascii="Arial" w:eastAsiaTheme="minorEastAsia" w:hAnsi="Arial" w:cs="Arial"/>
        </w:rPr>
        <w:t>)</w:t>
      </w:r>
      <w:r w:rsidRPr="00F309EA">
        <w:rPr>
          <w:rStyle w:val="normaltextrun"/>
          <w:rFonts w:ascii="Arial" w:eastAsiaTheme="minorEastAsia" w:hAnsi="Arial" w:cs="Arial"/>
        </w:rPr>
        <w:t>. While the USA FREEDOM Act curtails bulk data collection, many of the core provisions affecting cloud hosting, such as access to information stored by US-based providers, remain largely intact. This underlines ongoing ethical concerns of trading off national security against personal privacy, especially to the disadvantage of non-US citizens who are using US-based cloud services</w:t>
      </w:r>
      <w:r w:rsidR="006C5A16" w:rsidRPr="00F309EA">
        <w:rPr>
          <w:rStyle w:val="normaltextrun"/>
          <w:rFonts w:ascii="Arial" w:eastAsiaTheme="minorEastAsia" w:hAnsi="Arial" w:cs="Arial"/>
        </w:rPr>
        <w:t>.</w:t>
      </w:r>
      <w:r w:rsidR="006C5A16" w:rsidRPr="00F309EA">
        <w:rPr>
          <w:rStyle w:val="FootnoteReference"/>
          <w:rFonts w:ascii="Arial" w:eastAsiaTheme="minorEastAsia" w:hAnsi="Arial" w:cs="Arial"/>
        </w:rPr>
        <w:footnoteReference w:id="4"/>
      </w:r>
      <w:r w:rsidRPr="00F309EA">
        <w:rPr>
          <w:rStyle w:val="normaltextrun"/>
          <w:rFonts w:ascii="Arial" w:eastAsiaTheme="minorEastAsia" w:hAnsi="Arial" w:cs="Arial"/>
        </w:rPr>
        <w:t xml:space="preserve"> </w:t>
      </w:r>
    </w:p>
    <w:p w14:paraId="0CC5F01B" w14:textId="1779B3EC" w:rsidR="00973E56" w:rsidRPr="00F309EA" w:rsidRDefault="00973E56" w:rsidP="23A3FAD7">
      <w:pPr>
        <w:pStyle w:val="paragraph"/>
        <w:spacing w:before="0" w:beforeAutospacing="0" w:after="0" w:afterAutospacing="0"/>
        <w:textAlignment w:val="baseline"/>
        <w:rPr>
          <w:rFonts w:ascii="Arial" w:eastAsiaTheme="minorEastAsia" w:hAnsi="Arial" w:cs="Arial"/>
          <w:sz w:val="18"/>
          <w:szCs w:val="18"/>
        </w:rPr>
      </w:pPr>
    </w:p>
    <w:sectPr w:rsidR="00973E56" w:rsidRPr="00F309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0B8FF" w14:textId="77777777" w:rsidR="00A3029D" w:rsidRDefault="00A3029D" w:rsidP="00A3029D">
      <w:pPr>
        <w:spacing w:after="0" w:line="240" w:lineRule="auto"/>
      </w:pPr>
      <w:r>
        <w:separator/>
      </w:r>
    </w:p>
  </w:endnote>
  <w:endnote w:type="continuationSeparator" w:id="0">
    <w:p w14:paraId="4002D8F8" w14:textId="77777777" w:rsidR="00A3029D" w:rsidRDefault="00A3029D" w:rsidP="00A30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A469E" w14:textId="77777777" w:rsidR="00A3029D" w:rsidRDefault="00A3029D" w:rsidP="00A3029D">
      <w:pPr>
        <w:spacing w:after="0" w:line="240" w:lineRule="auto"/>
      </w:pPr>
      <w:r>
        <w:separator/>
      </w:r>
    </w:p>
  </w:footnote>
  <w:footnote w:type="continuationSeparator" w:id="0">
    <w:p w14:paraId="6EDEB386" w14:textId="77777777" w:rsidR="00A3029D" w:rsidRDefault="00A3029D" w:rsidP="00A3029D">
      <w:pPr>
        <w:spacing w:after="0" w:line="240" w:lineRule="auto"/>
      </w:pPr>
      <w:r>
        <w:continuationSeparator/>
      </w:r>
    </w:p>
  </w:footnote>
  <w:footnote w:id="1">
    <w:p w14:paraId="04F98D5F" w14:textId="2AA2C797" w:rsidR="00A3029D" w:rsidRPr="00A3029D" w:rsidRDefault="00A3029D">
      <w:pPr>
        <w:pStyle w:val="FootnoteText"/>
        <w:rPr>
          <w:lang w:val="en-US"/>
        </w:rPr>
      </w:pPr>
      <w:r>
        <w:rPr>
          <w:rStyle w:val="FootnoteReference"/>
        </w:rPr>
        <w:footnoteRef/>
      </w:r>
      <w:r>
        <w:t xml:space="preserve"> </w:t>
      </w:r>
      <w:r w:rsidR="006C5A16">
        <w:rPr>
          <w:rStyle w:val="normaltextrun"/>
          <w:rFonts w:eastAsiaTheme="majorEastAsia"/>
        </w:rPr>
        <w:t>Rackow, S. H., "How the USA Patriot Act Will Permit Governmental Infringement upon the Privacy of Americans in the Name of Intelligence Investigations," University of Pennsylvania Law Review, vol. 150, no. 5 (2002), p. 1651</w:t>
      </w:r>
    </w:p>
  </w:footnote>
  <w:footnote w:id="2">
    <w:p w14:paraId="24695C35" w14:textId="2DB0FDB0" w:rsidR="00A3029D" w:rsidRPr="00A3029D" w:rsidRDefault="00A3029D">
      <w:pPr>
        <w:pStyle w:val="FootnoteText"/>
        <w:rPr>
          <w:lang w:val="en-US"/>
        </w:rPr>
      </w:pPr>
      <w:r>
        <w:rPr>
          <w:rStyle w:val="FootnoteReference"/>
        </w:rPr>
        <w:footnoteRef/>
      </w:r>
      <w:r>
        <w:t xml:space="preserve"> </w:t>
      </w:r>
      <w:r w:rsidR="006C5A16">
        <w:rPr>
          <w:rStyle w:val="normaltextrun"/>
          <w:rFonts w:eastAsiaTheme="majorEastAsia"/>
        </w:rPr>
        <w:t xml:space="preserve">David Bender, ‘Privacy and Security Issues in Cloud Computing’ (2012) 29 The Computer &amp; Internet Lawyer </w:t>
      </w:r>
      <w:hyperlink r:id="rId1" w:tgtFrame="_blank" w:history="1">
        <w:r w:rsidR="006C5A16">
          <w:rPr>
            <w:rStyle w:val="normaltextrun"/>
            <w:rFonts w:eastAsiaTheme="majorEastAsia"/>
            <w:color w:val="467886"/>
            <w:u w:val="single"/>
          </w:rPr>
          <w:t>http://link.gale.com/apps/doc/A303642866/AONE?u=anon~5970f3a4&amp;sid=googleScholar&amp;xid=49d89645</w:t>
        </w:r>
      </w:hyperlink>
      <w:r w:rsidR="006C5A16">
        <w:rPr>
          <w:rStyle w:val="eop"/>
          <w:rFonts w:eastAsiaTheme="majorEastAsia"/>
        </w:rPr>
        <w:t> </w:t>
      </w:r>
    </w:p>
  </w:footnote>
  <w:footnote w:id="3">
    <w:p w14:paraId="3D51A0DF" w14:textId="77777777" w:rsidR="00093C2C" w:rsidRPr="001104CD" w:rsidRDefault="00093C2C" w:rsidP="00093C2C">
      <w:pPr>
        <w:pStyle w:val="FootnoteText"/>
        <w:rPr>
          <w:lang w:val="en-US"/>
        </w:rPr>
      </w:pPr>
      <w:r>
        <w:rPr>
          <w:rStyle w:val="FootnoteReference"/>
        </w:rPr>
        <w:footnoteRef/>
      </w:r>
      <w:r>
        <w:t xml:space="preserve"> </w:t>
      </w:r>
      <w:r>
        <w:rPr>
          <w:rStyle w:val="normaltextrun"/>
          <w:rFonts w:eastAsiaTheme="majorEastAsia"/>
        </w:rPr>
        <w:t xml:space="preserve">Aaronson, S., Data Is Disruptive: Hinrich Foundation White Paper (2021) </w:t>
      </w:r>
      <w:hyperlink r:id="rId2" w:tgtFrame="_blank" w:history="1">
        <w:r>
          <w:rPr>
            <w:rStyle w:val="normaltextrun"/>
            <w:rFonts w:eastAsiaTheme="majorEastAsia"/>
            <w:color w:val="467886"/>
            <w:u w:val="single"/>
          </w:rPr>
          <w:t>https://www.wita.org/wp-content/uploads/2021/08/Data-is-disruptive-Hinrich-Foundation-white-paper-Susan-Aaronson-August-2021.pdf</w:t>
        </w:r>
      </w:hyperlink>
      <w:r>
        <w:rPr>
          <w:rStyle w:val="eop"/>
          <w:rFonts w:eastAsiaTheme="majorEastAsia"/>
        </w:rPr>
        <w:t> </w:t>
      </w:r>
    </w:p>
  </w:footnote>
  <w:footnote w:id="4">
    <w:p w14:paraId="75AFF1E9" w14:textId="44275EA4" w:rsidR="006C5A16" w:rsidRPr="006C5A16" w:rsidRDefault="006C5A16">
      <w:pPr>
        <w:pStyle w:val="FootnoteText"/>
        <w:rPr>
          <w:lang w:val="en-US"/>
        </w:rPr>
      </w:pPr>
      <w:r>
        <w:rPr>
          <w:rStyle w:val="FootnoteReference"/>
        </w:rPr>
        <w:footnoteRef/>
      </w:r>
      <w:r>
        <w:t xml:space="preserve"> </w:t>
      </w:r>
      <w:r>
        <w:rPr>
          <w:rStyle w:val="normaltextrun"/>
          <w:rFonts w:eastAsiaTheme="majorEastAsia"/>
        </w:rPr>
        <w:t xml:space="preserve">The Snowden Effect Six Years On (2019) </w:t>
      </w:r>
      <w:hyperlink r:id="rId3" w:tgtFrame="_blank" w:history="1">
        <w:r>
          <w:rPr>
            <w:rStyle w:val="normaltextrun"/>
            <w:rFonts w:eastAsiaTheme="majorEastAsia"/>
            <w:color w:val="467886"/>
            <w:u w:val="single"/>
          </w:rPr>
          <w:t>https://www.justsecurity.org/64464/the-snowden-effect-six-years-on/</w:t>
        </w:r>
      </w:hyperlink>
      <w:r>
        <w:rPr>
          <w:rStyle w:val="eop"/>
          <w:rFonts w:eastAsiaTheme="majorEastAsia"/>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568F"/>
    <w:multiLevelType w:val="multilevel"/>
    <w:tmpl w:val="CF9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401C76"/>
    <w:multiLevelType w:val="hybridMultilevel"/>
    <w:tmpl w:val="AAA8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884F4C"/>
    <w:multiLevelType w:val="hybridMultilevel"/>
    <w:tmpl w:val="959AB586"/>
    <w:lvl w:ilvl="0" w:tplc="E8EE7B20">
      <w:start w:val="1"/>
      <w:numFmt w:val="bullet"/>
      <w:lvlText w:val="•"/>
      <w:lvlJc w:val="left"/>
      <w:pPr>
        <w:ind w:left="720" w:hanging="360"/>
      </w:pPr>
      <w:rPr>
        <w:rFonts w:ascii="Symbol" w:eastAsia="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AA58C1"/>
    <w:multiLevelType w:val="hybridMultilevel"/>
    <w:tmpl w:val="A9FCD286"/>
    <w:lvl w:ilvl="0" w:tplc="F2C2B204">
      <w:start w:val="1"/>
      <w:numFmt w:val="bullet"/>
      <w:lvlText w:val=""/>
      <w:lvlJc w:val="left"/>
      <w:pPr>
        <w:ind w:left="720" w:hanging="360"/>
      </w:pPr>
      <w:rPr>
        <w:rFonts w:ascii="Symbol" w:hAnsi="Symbol" w:hint="default"/>
      </w:rPr>
    </w:lvl>
    <w:lvl w:ilvl="1" w:tplc="C624EF28">
      <w:start w:val="1"/>
      <w:numFmt w:val="bullet"/>
      <w:lvlText w:val="o"/>
      <w:lvlJc w:val="left"/>
      <w:pPr>
        <w:ind w:left="1440" w:hanging="360"/>
      </w:pPr>
      <w:rPr>
        <w:rFonts w:ascii="Courier New" w:hAnsi="Courier New" w:hint="default"/>
      </w:rPr>
    </w:lvl>
    <w:lvl w:ilvl="2" w:tplc="72025A60">
      <w:start w:val="1"/>
      <w:numFmt w:val="bullet"/>
      <w:lvlText w:val=""/>
      <w:lvlJc w:val="left"/>
      <w:pPr>
        <w:ind w:left="2160" w:hanging="360"/>
      </w:pPr>
      <w:rPr>
        <w:rFonts w:ascii="Wingdings" w:hAnsi="Wingdings" w:hint="default"/>
      </w:rPr>
    </w:lvl>
    <w:lvl w:ilvl="3" w:tplc="8440F49A">
      <w:start w:val="1"/>
      <w:numFmt w:val="bullet"/>
      <w:lvlText w:val=""/>
      <w:lvlJc w:val="left"/>
      <w:pPr>
        <w:ind w:left="2880" w:hanging="360"/>
      </w:pPr>
      <w:rPr>
        <w:rFonts w:ascii="Symbol" w:hAnsi="Symbol" w:hint="default"/>
      </w:rPr>
    </w:lvl>
    <w:lvl w:ilvl="4" w:tplc="3F9ED990">
      <w:start w:val="1"/>
      <w:numFmt w:val="bullet"/>
      <w:lvlText w:val="o"/>
      <w:lvlJc w:val="left"/>
      <w:pPr>
        <w:ind w:left="3600" w:hanging="360"/>
      </w:pPr>
      <w:rPr>
        <w:rFonts w:ascii="Courier New" w:hAnsi="Courier New" w:hint="default"/>
      </w:rPr>
    </w:lvl>
    <w:lvl w:ilvl="5" w:tplc="214004EE">
      <w:start w:val="1"/>
      <w:numFmt w:val="bullet"/>
      <w:lvlText w:val=""/>
      <w:lvlJc w:val="left"/>
      <w:pPr>
        <w:ind w:left="4320" w:hanging="360"/>
      </w:pPr>
      <w:rPr>
        <w:rFonts w:ascii="Wingdings" w:hAnsi="Wingdings" w:hint="default"/>
      </w:rPr>
    </w:lvl>
    <w:lvl w:ilvl="6" w:tplc="5C94166A">
      <w:start w:val="1"/>
      <w:numFmt w:val="bullet"/>
      <w:lvlText w:val=""/>
      <w:lvlJc w:val="left"/>
      <w:pPr>
        <w:ind w:left="5040" w:hanging="360"/>
      </w:pPr>
      <w:rPr>
        <w:rFonts w:ascii="Symbol" w:hAnsi="Symbol" w:hint="default"/>
      </w:rPr>
    </w:lvl>
    <w:lvl w:ilvl="7" w:tplc="526C4BAE">
      <w:start w:val="1"/>
      <w:numFmt w:val="bullet"/>
      <w:lvlText w:val="o"/>
      <w:lvlJc w:val="left"/>
      <w:pPr>
        <w:ind w:left="5760" w:hanging="360"/>
      </w:pPr>
      <w:rPr>
        <w:rFonts w:ascii="Courier New" w:hAnsi="Courier New" w:hint="default"/>
      </w:rPr>
    </w:lvl>
    <w:lvl w:ilvl="8" w:tplc="C23CFC70">
      <w:start w:val="1"/>
      <w:numFmt w:val="bullet"/>
      <w:lvlText w:val=""/>
      <w:lvlJc w:val="left"/>
      <w:pPr>
        <w:ind w:left="6480" w:hanging="360"/>
      </w:pPr>
      <w:rPr>
        <w:rFonts w:ascii="Wingdings" w:hAnsi="Wingdings" w:hint="default"/>
      </w:rPr>
    </w:lvl>
  </w:abstractNum>
  <w:abstractNum w:abstractNumId="4" w15:restartNumberingAfterBreak="0">
    <w:nsid w:val="588649E7"/>
    <w:multiLevelType w:val="multilevel"/>
    <w:tmpl w:val="C39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358242">
    <w:abstractNumId w:val="3"/>
  </w:num>
  <w:num w:numId="2" w16cid:durableId="466894186">
    <w:abstractNumId w:val="1"/>
  </w:num>
  <w:num w:numId="3" w16cid:durableId="2056612081">
    <w:abstractNumId w:val="2"/>
  </w:num>
  <w:num w:numId="4" w16cid:durableId="1636449730">
    <w:abstractNumId w:val="4"/>
  </w:num>
  <w:num w:numId="5" w16cid:durableId="9702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A"/>
    <w:rsid w:val="000122D3"/>
    <w:rsid w:val="000209E0"/>
    <w:rsid w:val="0002467D"/>
    <w:rsid w:val="00026834"/>
    <w:rsid w:val="000307B2"/>
    <w:rsid w:val="000549E1"/>
    <w:rsid w:val="0005660B"/>
    <w:rsid w:val="00093C2C"/>
    <w:rsid w:val="000B53ED"/>
    <w:rsid w:val="000C3F80"/>
    <w:rsid w:val="000E17D0"/>
    <w:rsid w:val="001104CD"/>
    <w:rsid w:val="001214CF"/>
    <w:rsid w:val="00154E93"/>
    <w:rsid w:val="001955E5"/>
    <w:rsid w:val="001B7796"/>
    <w:rsid w:val="00212F18"/>
    <w:rsid w:val="0021618A"/>
    <w:rsid w:val="00257D78"/>
    <w:rsid w:val="002606AA"/>
    <w:rsid w:val="002B6A5E"/>
    <w:rsid w:val="002D4836"/>
    <w:rsid w:val="00316753"/>
    <w:rsid w:val="00337259"/>
    <w:rsid w:val="003B2F7B"/>
    <w:rsid w:val="00467250"/>
    <w:rsid w:val="004A7B15"/>
    <w:rsid w:val="005D22F2"/>
    <w:rsid w:val="005D3988"/>
    <w:rsid w:val="005E0EBD"/>
    <w:rsid w:val="00626486"/>
    <w:rsid w:val="00643F15"/>
    <w:rsid w:val="006C5A16"/>
    <w:rsid w:val="006D0B9E"/>
    <w:rsid w:val="00707E3F"/>
    <w:rsid w:val="007F0775"/>
    <w:rsid w:val="007F4BE9"/>
    <w:rsid w:val="0089748E"/>
    <w:rsid w:val="008A4468"/>
    <w:rsid w:val="008B21B7"/>
    <w:rsid w:val="008E321D"/>
    <w:rsid w:val="008E7F70"/>
    <w:rsid w:val="00900D97"/>
    <w:rsid w:val="0096121C"/>
    <w:rsid w:val="009730E8"/>
    <w:rsid w:val="00973E56"/>
    <w:rsid w:val="009C0047"/>
    <w:rsid w:val="009D6153"/>
    <w:rsid w:val="009E7F5F"/>
    <w:rsid w:val="00A12966"/>
    <w:rsid w:val="00A2393B"/>
    <w:rsid w:val="00A3029D"/>
    <w:rsid w:val="00A52867"/>
    <w:rsid w:val="00AA4740"/>
    <w:rsid w:val="00AC201B"/>
    <w:rsid w:val="00B12979"/>
    <w:rsid w:val="00B40EA6"/>
    <w:rsid w:val="00B92F31"/>
    <w:rsid w:val="00BD7526"/>
    <w:rsid w:val="00C43DD7"/>
    <w:rsid w:val="00C65529"/>
    <w:rsid w:val="00DF3813"/>
    <w:rsid w:val="00ED3984"/>
    <w:rsid w:val="00F162F3"/>
    <w:rsid w:val="00F309EA"/>
    <w:rsid w:val="00F31719"/>
    <w:rsid w:val="00F35B5D"/>
    <w:rsid w:val="00F605D2"/>
    <w:rsid w:val="00FB252D"/>
    <w:rsid w:val="00FC2C82"/>
    <w:rsid w:val="08E024F5"/>
    <w:rsid w:val="0B8706AA"/>
    <w:rsid w:val="0EF9659E"/>
    <w:rsid w:val="1004688A"/>
    <w:rsid w:val="123139A8"/>
    <w:rsid w:val="13BB95E9"/>
    <w:rsid w:val="19FD99FA"/>
    <w:rsid w:val="21485BF3"/>
    <w:rsid w:val="2166B588"/>
    <w:rsid w:val="22525FCA"/>
    <w:rsid w:val="23A3FAD7"/>
    <w:rsid w:val="2C1086B3"/>
    <w:rsid w:val="2FDFB892"/>
    <w:rsid w:val="3122EB3E"/>
    <w:rsid w:val="32556CC8"/>
    <w:rsid w:val="32622315"/>
    <w:rsid w:val="39F75CF7"/>
    <w:rsid w:val="3AFAA621"/>
    <w:rsid w:val="3C925FA5"/>
    <w:rsid w:val="43DA97D2"/>
    <w:rsid w:val="4EA88DAA"/>
    <w:rsid w:val="50B17BD6"/>
    <w:rsid w:val="56206BB8"/>
    <w:rsid w:val="70CF964B"/>
    <w:rsid w:val="74EAD83F"/>
    <w:rsid w:val="78802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6BF3"/>
  <w15:chartTrackingRefBased/>
  <w15:docId w15:val="{BB2352BF-DEAE-489F-88C9-2FB895C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AA"/>
    <w:rPr>
      <w:rFonts w:eastAsiaTheme="majorEastAsia" w:cstheme="majorBidi"/>
      <w:color w:val="272727" w:themeColor="text1" w:themeTint="D8"/>
    </w:rPr>
  </w:style>
  <w:style w:type="paragraph" w:styleId="Title">
    <w:name w:val="Title"/>
    <w:basedOn w:val="Normal"/>
    <w:next w:val="Normal"/>
    <w:link w:val="TitleChar"/>
    <w:uiPriority w:val="10"/>
    <w:qFormat/>
    <w:rsid w:val="0026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AA"/>
    <w:pPr>
      <w:spacing w:before="160"/>
      <w:jc w:val="center"/>
    </w:pPr>
    <w:rPr>
      <w:i/>
      <w:iCs/>
      <w:color w:val="404040" w:themeColor="text1" w:themeTint="BF"/>
    </w:rPr>
  </w:style>
  <w:style w:type="character" w:customStyle="1" w:styleId="QuoteChar">
    <w:name w:val="Quote Char"/>
    <w:basedOn w:val="DefaultParagraphFont"/>
    <w:link w:val="Quote"/>
    <w:uiPriority w:val="29"/>
    <w:rsid w:val="002606AA"/>
    <w:rPr>
      <w:i/>
      <w:iCs/>
      <w:color w:val="404040" w:themeColor="text1" w:themeTint="BF"/>
    </w:rPr>
  </w:style>
  <w:style w:type="paragraph" w:styleId="ListParagraph">
    <w:name w:val="List Paragraph"/>
    <w:basedOn w:val="Normal"/>
    <w:uiPriority w:val="34"/>
    <w:qFormat/>
    <w:rsid w:val="002606AA"/>
    <w:pPr>
      <w:ind w:left="720"/>
      <w:contextualSpacing/>
    </w:pPr>
  </w:style>
  <w:style w:type="character" w:styleId="IntenseEmphasis">
    <w:name w:val="Intense Emphasis"/>
    <w:basedOn w:val="DefaultParagraphFont"/>
    <w:uiPriority w:val="21"/>
    <w:qFormat/>
    <w:rsid w:val="002606AA"/>
    <w:rPr>
      <w:i/>
      <w:iCs/>
      <w:color w:val="2F5496" w:themeColor="accent1" w:themeShade="BF"/>
    </w:rPr>
  </w:style>
  <w:style w:type="paragraph" w:styleId="IntenseQuote">
    <w:name w:val="Intense Quote"/>
    <w:basedOn w:val="Normal"/>
    <w:next w:val="Normal"/>
    <w:link w:val="IntenseQuoteChar"/>
    <w:uiPriority w:val="30"/>
    <w:qFormat/>
    <w:rsid w:val="00260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AA"/>
    <w:rPr>
      <w:i/>
      <w:iCs/>
      <w:color w:val="2F5496" w:themeColor="accent1" w:themeShade="BF"/>
    </w:rPr>
  </w:style>
  <w:style w:type="character" w:styleId="IntenseReference">
    <w:name w:val="Intense Reference"/>
    <w:basedOn w:val="DefaultParagraphFont"/>
    <w:uiPriority w:val="32"/>
    <w:qFormat/>
    <w:rsid w:val="002606AA"/>
    <w:rPr>
      <w:b/>
      <w:bCs/>
      <w:smallCaps/>
      <w:color w:val="2F5496" w:themeColor="accent1" w:themeShade="BF"/>
      <w:spacing w:val="5"/>
    </w:rPr>
  </w:style>
  <w:style w:type="table" w:styleId="TableGrid">
    <w:name w:val="Table Grid"/>
    <w:basedOn w:val="TableNormal"/>
    <w:uiPriority w:val="39"/>
    <w:rsid w:val="0026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988"/>
    <w:rPr>
      <w:color w:val="0563C1" w:themeColor="hyperlink"/>
      <w:u w:val="single"/>
    </w:rPr>
  </w:style>
  <w:style w:type="character" w:styleId="UnresolvedMention">
    <w:name w:val="Unresolved Mention"/>
    <w:basedOn w:val="DefaultParagraphFont"/>
    <w:uiPriority w:val="99"/>
    <w:semiHidden/>
    <w:unhideWhenUsed/>
    <w:rsid w:val="005D3988"/>
    <w:rPr>
      <w:color w:val="605E5C"/>
      <w:shd w:val="clear" w:color="auto" w:fill="E1DFDD"/>
    </w:rPr>
  </w:style>
  <w:style w:type="character" w:styleId="FollowedHyperlink">
    <w:name w:val="FollowedHyperlink"/>
    <w:basedOn w:val="DefaultParagraphFont"/>
    <w:uiPriority w:val="99"/>
    <w:semiHidden/>
    <w:unhideWhenUsed/>
    <w:rsid w:val="000209E0"/>
    <w:rPr>
      <w:color w:val="954F72" w:themeColor="followedHyperlink"/>
      <w:u w:val="single"/>
    </w:rPr>
  </w:style>
  <w:style w:type="paragraph" w:customStyle="1" w:styleId="Default">
    <w:name w:val="Default"/>
    <w:rsid w:val="0096121C"/>
    <w:pPr>
      <w:autoSpaceDE w:val="0"/>
      <w:autoSpaceDN w:val="0"/>
      <w:adjustRightInd w:val="0"/>
      <w:spacing w:after="0" w:line="240" w:lineRule="auto"/>
    </w:pPr>
    <w:rPr>
      <w:rFonts w:ascii="Calibri" w:hAnsi="Calibri" w:cs="Calibri"/>
      <w:color w:val="000000"/>
      <w:kern w:val="0"/>
      <w:sz w:val="24"/>
      <w:szCs w:val="24"/>
      <w:lang w:val="en-GB"/>
    </w:rPr>
  </w:style>
  <w:style w:type="paragraph" w:customStyle="1" w:styleId="paragraph">
    <w:name w:val="paragraph"/>
    <w:basedOn w:val="Normal"/>
    <w:rsid w:val="005E0E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5E0EBD"/>
  </w:style>
  <w:style w:type="character" w:customStyle="1" w:styleId="eop">
    <w:name w:val="eop"/>
    <w:basedOn w:val="DefaultParagraphFont"/>
    <w:rsid w:val="005E0EBD"/>
  </w:style>
  <w:style w:type="character" w:customStyle="1" w:styleId="scxw135690525">
    <w:name w:val="scxw135690525"/>
    <w:basedOn w:val="DefaultParagraphFont"/>
    <w:rsid w:val="005E0EBD"/>
  </w:style>
  <w:style w:type="paragraph" w:styleId="FootnoteText">
    <w:name w:val="footnote text"/>
    <w:basedOn w:val="Normal"/>
    <w:link w:val="FootnoteTextChar"/>
    <w:uiPriority w:val="99"/>
    <w:semiHidden/>
    <w:unhideWhenUsed/>
    <w:rsid w:val="00A302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029D"/>
    <w:rPr>
      <w:sz w:val="20"/>
      <w:szCs w:val="20"/>
    </w:rPr>
  </w:style>
  <w:style w:type="character" w:styleId="FootnoteReference">
    <w:name w:val="footnote reference"/>
    <w:basedOn w:val="DefaultParagraphFont"/>
    <w:uiPriority w:val="99"/>
    <w:semiHidden/>
    <w:unhideWhenUsed/>
    <w:rsid w:val="00A302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1589">
      <w:bodyDiv w:val="1"/>
      <w:marLeft w:val="0"/>
      <w:marRight w:val="0"/>
      <w:marTop w:val="0"/>
      <w:marBottom w:val="0"/>
      <w:divBdr>
        <w:top w:val="none" w:sz="0" w:space="0" w:color="auto"/>
        <w:left w:val="none" w:sz="0" w:space="0" w:color="auto"/>
        <w:bottom w:val="none" w:sz="0" w:space="0" w:color="auto"/>
        <w:right w:val="none" w:sz="0" w:space="0" w:color="auto"/>
      </w:divBdr>
    </w:div>
    <w:div w:id="1436901116">
      <w:bodyDiv w:val="1"/>
      <w:marLeft w:val="0"/>
      <w:marRight w:val="0"/>
      <w:marTop w:val="0"/>
      <w:marBottom w:val="0"/>
      <w:divBdr>
        <w:top w:val="none" w:sz="0" w:space="0" w:color="auto"/>
        <w:left w:val="none" w:sz="0" w:space="0" w:color="auto"/>
        <w:bottom w:val="none" w:sz="0" w:space="0" w:color="auto"/>
        <w:right w:val="none" w:sz="0" w:space="0" w:color="auto"/>
      </w:divBdr>
    </w:div>
    <w:div w:id="1502313859">
      <w:bodyDiv w:val="1"/>
      <w:marLeft w:val="0"/>
      <w:marRight w:val="0"/>
      <w:marTop w:val="0"/>
      <w:marBottom w:val="0"/>
      <w:divBdr>
        <w:top w:val="none" w:sz="0" w:space="0" w:color="auto"/>
        <w:left w:val="none" w:sz="0" w:space="0" w:color="auto"/>
        <w:bottom w:val="none" w:sz="0" w:space="0" w:color="auto"/>
        <w:right w:val="none" w:sz="0" w:space="0" w:color="auto"/>
      </w:divBdr>
      <w:divsChild>
        <w:div w:id="1042248709">
          <w:marLeft w:val="0"/>
          <w:marRight w:val="0"/>
          <w:marTop w:val="0"/>
          <w:marBottom w:val="0"/>
          <w:divBdr>
            <w:top w:val="none" w:sz="0" w:space="0" w:color="auto"/>
            <w:left w:val="none" w:sz="0" w:space="0" w:color="auto"/>
            <w:bottom w:val="none" w:sz="0" w:space="0" w:color="auto"/>
            <w:right w:val="none" w:sz="0" w:space="0" w:color="auto"/>
          </w:divBdr>
          <w:divsChild>
            <w:div w:id="27221917">
              <w:marLeft w:val="0"/>
              <w:marRight w:val="0"/>
              <w:marTop w:val="0"/>
              <w:marBottom w:val="0"/>
              <w:divBdr>
                <w:top w:val="none" w:sz="0" w:space="0" w:color="auto"/>
                <w:left w:val="none" w:sz="0" w:space="0" w:color="auto"/>
                <w:bottom w:val="none" w:sz="0" w:space="0" w:color="auto"/>
                <w:right w:val="none" w:sz="0" w:space="0" w:color="auto"/>
              </w:divBdr>
            </w:div>
            <w:div w:id="1093428307">
              <w:marLeft w:val="0"/>
              <w:marRight w:val="0"/>
              <w:marTop w:val="0"/>
              <w:marBottom w:val="0"/>
              <w:divBdr>
                <w:top w:val="none" w:sz="0" w:space="0" w:color="auto"/>
                <w:left w:val="none" w:sz="0" w:space="0" w:color="auto"/>
                <w:bottom w:val="none" w:sz="0" w:space="0" w:color="auto"/>
                <w:right w:val="none" w:sz="0" w:space="0" w:color="auto"/>
              </w:divBdr>
            </w:div>
            <w:div w:id="2056347353">
              <w:marLeft w:val="0"/>
              <w:marRight w:val="0"/>
              <w:marTop w:val="0"/>
              <w:marBottom w:val="0"/>
              <w:divBdr>
                <w:top w:val="none" w:sz="0" w:space="0" w:color="auto"/>
                <w:left w:val="none" w:sz="0" w:space="0" w:color="auto"/>
                <w:bottom w:val="none" w:sz="0" w:space="0" w:color="auto"/>
                <w:right w:val="none" w:sz="0" w:space="0" w:color="auto"/>
              </w:divBdr>
            </w:div>
            <w:div w:id="1517184889">
              <w:marLeft w:val="0"/>
              <w:marRight w:val="0"/>
              <w:marTop w:val="0"/>
              <w:marBottom w:val="0"/>
              <w:divBdr>
                <w:top w:val="none" w:sz="0" w:space="0" w:color="auto"/>
                <w:left w:val="none" w:sz="0" w:space="0" w:color="auto"/>
                <w:bottom w:val="none" w:sz="0" w:space="0" w:color="auto"/>
                <w:right w:val="none" w:sz="0" w:space="0" w:color="auto"/>
              </w:divBdr>
            </w:div>
            <w:div w:id="675763900">
              <w:marLeft w:val="0"/>
              <w:marRight w:val="0"/>
              <w:marTop w:val="0"/>
              <w:marBottom w:val="0"/>
              <w:divBdr>
                <w:top w:val="none" w:sz="0" w:space="0" w:color="auto"/>
                <w:left w:val="none" w:sz="0" w:space="0" w:color="auto"/>
                <w:bottom w:val="none" w:sz="0" w:space="0" w:color="auto"/>
                <w:right w:val="none" w:sz="0" w:space="0" w:color="auto"/>
              </w:divBdr>
            </w:div>
            <w:div w:id="124593088">
              <w:marLeft w:val="0"/>
              <w:marRight w:val="0"/>
              <w:marTop w:val="0"/>
              <w:marBottom w:val="0"/>
              <w:divBdr>
                <w:top w:val="none" w:sz="0" w:space="0" w:color="auto"/>
                <w:left w:val="none" w:sz="0" w:space="0" w:color="auto"/>
                <w:bottom w:val="none" w:sz="0" w:space="0" w:color="auto"/>
                <w:right w:val="none" w:sz="0" w:space="0" w:color="auto"/>
              </w:divBdr>
            </w:div>
            <w:div w:id="128480630">
              <w:marLeft w:val="0"/>
              <w:marRight w:val="0"/>
              <w:marTop w:val="0"/>
              <w:marBottom w:val="0"/>
              <w:divBdr>
                <w:top w:val="none" w:sz="0" w:space="0" w:color="auto"/>
                <w:left w:val="none" w:sz="0" w:space="0" w:color="auto"/>
                <w:bottom w:val="none" w:sz="0" w:space="0" w:color="auto"/>
                <w:right w:val="none" w:sz="0" w:space="0" w:color="auto"/>
              </w:divBdr>
            </w:div>
            <w:div w:id="2000035242">
              <w:marLeft w:val="0"/>
              <w:marRight w:val="0"/>
              <w:marTop w:val="0"/>
              <w:marBottom w:val="0"/>
              <w:divBdr>
                <w:top w:val="none" w:sz="0" w:space="0" w:color="auto"/>
                <w:left w:val="none" w:sz="0" w:space="0" w:color="auto"/>
                <w:bottom w:val="none" w:sz="0" w:space="0" w:color="auto"/>
                <w:right w:val="none" w:sz="0" w:space="0" w:color="auto"/>
              </w:divBdr>
            </w:div>
            <w:div w:id="1737312470">
              <w:marLeft w:val="0"/>
              <w:marRight w:val="0"/>
              <w:marTop w:val="0"/>
              <w:marBottom w:val="0"/>
              <w:divBdr>
                <w:top w:val="none" w:sz="0" w:space="0" w:color="auto"/>
                <w:left w:val="none" w:sz="0" w:space="0" w:color="auto"/>
                <w:bottom w:val="none" w:sz="0" w:space="0" w:color="auto"/>
                <w:right w:val="none" w:sz="0" w:space="0" w:color="auto"/>
              </w:divBdr>
            </w:div>
            <w:div w:id="1407343290">
              <w:marLeft w:val="0"/>
              <w:marRight w:val="0"/>
              <w:marTop w:val="0"/>
              <w:marBottom w:val="0"/>
              <w:divBdr>
                <w:top w:val="none" w:sz="0" w:space="0" w:color="auto"/>
                <w:left w:val="none" w:sz="0" w:space="0" w:color="auto"/>
                <w:bottom w:val="none" w:sz="0" w:space="0" w:color="auto"/>
                <w:right w:val="none" w:sz="0" w:space="0" w:color="auto"/>
              </w:divBdr>
            </w:div>
            <w:div w:id="674264712">
              <w:marLeft w:val="0"/>
              <w:marRight w:val="0"/>
              <w:marTop w:val="0"/>
              <w:marBottom w:val="0"/>
              <w:divBdr>
                <w:top w:val="none" w:sz="0" w:space="0" w:color="auto"/>
                <w:left w:val="none" w:sz="0" w:space="0" w:color="auto"/>
                <w:bottom w:val="none" w:sz="0" w:space="0" w:color="auto"/>
                <w:right w:val="none" w:sz="0" w:space="0" w:color="auto"/>
              </w:divBdr>
            </w:div>
            <w:div w:id="1894584193">
              <w:marLeft w:val="0"/>
              <w:marRight w:val="0"/>
              <w:marTop w:val="0"/>
              <w:marBottom w:val="0"/>
              <w:divBdr>
                <w:top w:val="none" w:sz="0" w:space="0" w:color="auto"/>
                <w:left w:val="none" w:sz="0" w:space="0" w:color="auto"/>
                <w:bottom w:val="none" w:sz="0" w:space="0" w:color="auto"/>
                <w:right w:val="none" w:sz="0" w:space="0" w:color="auto"/>
              </w:divBdr>
            </w:div>
            <w:div w:id="1686905880">
              <w:marLeft w:val="0"/>
              <w:marRight w:val="0"/>
              <w:marTop w:val="0"/>
              <w:marBottom w:val="0"/>
              <w:divBdr>
                <w:top w:val="none" w:sz="0" w:space="0" w:color="auto"/>
                <w:left w:val="none" w:sz="0" w:space="0" w:color="auto"/>
                <w:bottom w:val="none" w:sz="0" w:space="0" w:color="auto"/>
                <w:right w:val="none" w:sz="0" w:space="0" w:color="auto"/>
              </w:divBdr>
            </w:div>
            <w:div w:id="1061906467">
              <w:marLeft w:val="0"/>
              <w:marRight w:val="0"/>
              <w:marTop w:val="0"/>
              <w:marBottom w:val="0"/>
              <w:divBdr>
                <w:top w:val="none" w:sz="0" w:space="0" w:color="auto"/>
                <w:left w:val="none" w:sz="0" w:space="0" w:color="auto"/>
                <w:bottom w:val="none" w:sz="0" w:space="0" w:color="auto"/>
                <w:right w:val="none" w:sz="0" w:space="0" w:color="auto"/>
              </w:divBdr>
            </w:div>
            <w:div w:id="569923179">
              <w:marLeft w:val="0"/>
              <w:marRight w:val="0"/>
              <w:marTop w:val="0"/>
              <w:marBottom w:val="0"/>
              <w:divBdr>
                <w:top w:val="none" w:sz="0" w:space="0" w:color="auto"/>
                <w:left w:val="none" w:sz="0" w:space="0" w:color="auto"/>
                <w:bottom w:val="none" w:sz="0" w:space="0" w:color="auto"/>
                <w:right w:val="none" w:sz="0" w:space="0" w:color="auto"/>
              </w:divBdr>
            </w:div>
            <w:div w:id="1449087647">
              <w:marLeft w:val="0"/>
              <w:marRight w:val="0"/>
              <w:marTop w:val="0"/>
              <w:marBottom w:val="0"/>
              <w:divBdr>
                <w:top w:val="none" w:sz="0" w:space="0" w:color="auto"/>
                <w:left w:val="none" w:sz="0" w:space="0" w:color="auto"/>
                <w:bottom w:val="none" w:sz="0" w:space="0" w:color="auto"/>
                <w:right w:val="none" w:sz="0" w:space="0" w:color="auto"/>
              </w:divBdr>
            </w:div>
            <w:div w:id="1039286402">
              <w:marLeft w:val="0"/>
              <w:marRight w:val="0"/>
              <w:marTop w:val="0"/>
              <w:marBottom w:val="0"/>
              <w:divBdr>
                <w:top w:val="none" w:sz="0" w:space="0" w:color="auto"/>
                <w:left w:val="none" w:sz="0" w:space="0" w:color="auto"/>
                <w:bottom w:val="none" w:sz="0" w:space="0" w:color="auto"/>
                <w:right w:val="none" w:sz="0" w:space="0" w:color="auto"/>
              </w:divBdr>
            </w:div>
            <w:div w:id="1679844404">
              <w:marLeft w:val="0"/>
              <w:marRight w:val="0"/>
              <w:marTop w:val="0"/>
              <w:marBottom w:val="0"/>
              <w:divBdr>
                <w:top w:val="none" w:sz="0" w:space="0" w:color="auto"/>
                <w:left w:val="none" w:sz="0" w:space="0" w:color="auto"/>
                <w:bottom w:val="none" w:sz="0" w:space="0" w:color="auto"/>
                <w:right w:val="none" w:sz="0" w:space="0" w:color="auto"/>
              </w:divBdr>
            </w:div>
            <w:div w:id="1030688173">
              <w:marLeft w:val="0"/>
              <w:marRight w:val="0"/>
              <w:marTop w:val="0"/>
              <w:marBottom w:val="0"/>
              <w:divBdr>
                <w:top w:val="none" w:sz="0" w:space="0" w:color="auto"/>
                <w:left w:val="none" w:sz="0" w:space="0" w:color="auto"/>
                <w:bottom w:val="none" w:sz="0" w:space="0" w:color="auto"/>
                <w:right w:val="none" w:sz="0" w:space="0" w:color="auto"/>
              </w:divBdr>
            </w:div>
            <w:div w:id="802381962">
              <w:marLeft w:val="0"/>
              <w:marRight w:val="0"/>
              <w:marTop w:val="0"/>
              <w:marBottom w:val="0"/>
              <w:divBdr>
                <w:top w:val="none" w:sz="0" w:space="0" w:color="auto"/>
                <w:left w:val="none" w:sz="0" w:space="0" w:color="auto"/>
                <w:bottom w:val="none" w:sz="0" w:space="0" w:color="auto"/>
                <w:right w:val="none" w:sz="0" w:space="0" w:color="auto"/>
              </w:divBdr>
            </w:div>
          </w:divsChild>
        </w:div>
        <w:div w:id="284433022">
          <w:marLeft w:val="0"/>
          <w:marRight w:val="0"/>
          <w:marTop w:val="0"/>
          <w:marBottom w:val="0"/>
          <w:divBdr>
            <w:top w:val="none" w:sz="0" w:space="0" w:color="auto"/>
            <w:left w:val="none" w:sz="0" w:space="0" w:color="auto"/>
            <w:bottom w:val="none" w:sz="0" w:space="0" w:color="auto"/>
            <w:right w:val="none" w:sz="0" w:space="0" w:color="auto"/>
          </w:divBdr>
        </w:div>
        <w:div w:id="1775049148">
          <w:marLeft w:val="0"/>
          <w:marRight w:val="0"/>
          <w:marTop w:val="0"/>
          <w:marBottom w:val="0"/>
          <w:divBdr>
            <w:top w:val="none" w:sz="0" w:space="0" w:color="auto"/>
            <w:left w:val="none" w:sz="0" w:space="0" w:color="auto"/>
            <w:bottom w:val="none" w:sz="0" w:space="0" w:color="auto"/>
            <w:right w:val="none" w:sz="0" w:space="0" w:color="auto"/>
          </w:divBdr>
        </w:div>
        <w:div w:id="1467973172">
          <w:marLeft w:val="0"/>
          <w:marRight w:val="0"/>
          <w:marTop w:val="0"/>
          <w:marBottom w:val="0"/>
          <w:divBdr>
            <w:top w:val="none" w:sz="0" w:space="0" w:color="auto"/>
            <w:left w:val="none" w:sz="0" w:space="0" w:color="auto"/>
            <w:bottom w:val="none" w:sz="0" w:space="0" w:color="auto"/>
            <w:right w:val="none" w:sz="0" w:space="0" w:color="auto"/>
          </w:divBdr>
        </w:div>
        <w:div w:id="926377727">
          <w:marLeft w:val="0"/>
          <w:marRight w:val="0"/>
          <w:marTop w:val="0"/>
          <w:marBottom w:val="0"/>
          <w:divBdr>
            <w:top w:val="none" w:sz="0" w:space="0" w:color="auto"/>
            <w:left w:val="none" w:sz="0" w:space="0" w:color="auto"/>
            <w:bottom w:val="none" w:sz="0" w:space="0" w:color="auto"/>
            <w:right w:val="none" w:sz="0" w:space="0" w:color="auto"/>
          </w:divBdr>
        </w:div>
        <w:div w:id="1710062412">
          <w:marLeft w:val="0"/>
          <w:marRight w:val="0"/>
          <w:marTop w:val="0"/>
          <w:marBottom w:val="0"/>
          <w:divBdr>
            <w:top w:val="none" w:sz="0" w:space="0" w:color="auto"/>
            <w:left w:val="none" w:sz="0" w:space="0" w:color="auto"/>
            <w:bottom w:val="none" w:sz="0" w:space="0" w:color="auto"/>
            <w:right w:val="none" w:sz="0" w:space="0" w:color="auto"/>
          </w:divBdr>
        </w:div>
        <w:div w:id="1011877140">
          <w:marLeft w:val="0"/>
          <w:marRight w:val="0"/>
          <w:marTop w:val="0"/>
          <w:marBottom w:val="0"/>
          <w:divBdr>
            <w:top w:val="none" w:sz="0" w:space="0" w:color="auto"/>
            <w:left w:val="none" w:sz="0" w:space="0" w:color="auto"/>
            <w:bottom w:val="none" w:sz="0" w:space="0" w:color="auto"/>
            <w:right w:val="none" w:sz="0" w:space="0" w:color="auto"/>
          </w:divBdr>
        </w:div>
        <w:div w:id="1669362184">
          <w:marLeft w:val="0"/>
          <w:marRight w:val="0"/>
          <w:marTop w:val="0"/>
          <w:marBottom w:val="0"/>
          <w:divBdr>
            <w:top w:val="none" w:sz="0" w:space="0" w:color="auto"/>
            <w:left w:val="none" w:sz="0" w:space="0" w:color="auto"/>
            <w:bottom w:val="none" w:sz="0" w:space="0" w:color="auto"/>
            <w:right w:val="none" w:sz="0" w:space="0" w:color="auto"/>
          </w:divBdr>
        </w:div>
        <w:div w:id="1407455309">
          <w:marLeft w:val="0"/>
          <w:marRight w:val="0"/>
          <w:marTop w:val="0"/>
          <w:marBottom w:val="0"/>
          <w:divBdr>
            <w:top w:val="none" w:sz="0" w:space="0" w:color="auto"/>
            <w:left w:val="none" w:sz="0" w:space="0" w:color="auto"/>
            <w:bottom w:val="none" w:sz="0" w:space="0" w:color="auto"/>
            <w:right w:val="none" w:sz="0" w:space="0" w:color="auto"/>
          </w:divBdr>
        </w:div>
        <w:div w:id="1835680228">
          <w:marLeft w:val="0"/>
          <w:marRight w:val="0"/>
          <w:marTop w:val="0"/>
          <w:marBottom w:val="0"/>
          <w:divBdr>
            <w:top w:val="none" w:sz="0" w:space="0" w:color="auto"/>
            <w:left w:val="none" w:sz="0" w:space="0" w:color="auto"/>
            <w:bottom w:val="none" w:sz="0" w:space="0" w:color="auto"/>
            <w:right w:val="none" w:sz="0" w:space="0" w:color="auto"/>
          </w:divBdr>
        </w:div>
        <w:div w:id="1676377399">
          <w:marLeft w:val="0"/>
          <w:marRight w:val="0"/>
          <w:marTop w:val="0"/>
          <w:marBottom w:val="0"/>
          <w:divBdr>
            <w:top w:val="none" w:sz="0" w:space="0" w:color="auto"/>
            <w:left w:val="none" w:sz="0" w:space="0" w:color="auto"/>
            <w:bottom w:val="none" w:sz="0" w:space="0" w:color="auto"/>
            <w:right w:val="none" w:sz="0" w:space="0" w:color="auto"/>
          </w:divBdr>
        </w:div>
        <w:div w:id="1698431176">
          <w:marLeft w:val="0"/>
          <w:marRight w:val="0"/>
          <w:marTop w:val="0"/>
          <w:marBottom w:val="0"/>
          <w:divBdr>
            <w:top w:val="none" w:sz="0" w:space="0" w:color="auto"/>
            <w:left w:val="none" w:sz="0" w:space="0" w:color="auto"/>
            <w:bottom w:val="none" w:sz="0" w:space="0" w:color="auto"/>
            <w:right w:val="none" w:sz="0" w:space="0" w:color="auto"/>
          </w:divBdr>
        </w:div>
        <w:div w:id="312493345">
          <w:marLeft w:val="0"/>
          <w:marRight w:val="0"/>
          <w:marTop w:val="0"/>
          <w:marBottom w:val="0"/>
          <w:divBdr>
            <w:top w:val="none" w:sz="0" w:space="0" w:color="auto"/>
            <w:left w:val="none" w:sz="0" w:space="0" w:color="auto"/>
            <w:bottom w:val="none" w:sz="0" w:space="0" w:color="auto"/>
            <w:right w:val="none" w:sz="0" w:space="0" w:color="auto"/>
          </w:divBdr>
        </w:div>
        <w:div w:id="266542343">
          <w:marLeft w:val="0"/>
          <w:marRight w:val="0"/>
          <w:marTop w:val="0"/>
          <w:marBottom w:val="0"/>
          <w:divBdr>
            <w:top w:val="none" w:sz="0" w:space="0" w:color="auto"/>
            <w:left w:val="none" w:sz="0" w:space="0" w:color="auto"/>
            <w:bottom w:val="none" w:sz="0" w:space="0" w:color="auto"/>
            <w:right w:val="none" w:sz="0" w:space="0" w:color="auto"/>
          </w:divBdr>
        </w:div>
        <w:div w:id="884949215">
          <w:marLeft w:val="0"/>
          <w:marRight w:val="0"/>
          <w:marTop w:val="0"/>
          <w:marBottom w:val="0"/>
          <w:divBdr>
            <w:top w:val="none" w:sz="0" w:space="0" w:color="auto"/>
            <w:left w:val="none" w:sz="0" w:space="0" w:color="auto"/>
            <w:bottom w:val="none" w:sz="0" w:space="0" w:color="auto"/>
            <w:right w:val="none" w:sz="0" w:space="0" w:color="auto"/>
          </w:divBdr>
        </w:div>
        <w:div w:id="905603190">
          <w:marLeft w:val="0"/>
          <w:marRight w:val="0"/>
          <w:marTop w:val="0"/>
          <w:marBottom w:val="0"/>
          <w:divBdr>
            <w:top w:val="none" w:sz="0" w:space="0" w:color="auto"/>
            <w:left w:val="none" w:sz="0" w:space="0" w:color="auto"/>
            <w:bottom w:val="none" w:sz="0" w:space="0" w:color="auto"/>
            <w:right w:val="none" w:sz="0" w:space="0" w:color="auto"/>
          </w:divBdr>
        </w:div>
        <w:div w:id="487333106">
          <w:marLeft w:val="0"/>
          <w:marRight w:val="0"/>
          <w:marTop w:val="0"/>
          <w:marBottom w:val="0"/>
          <w:divBdr>
            <w:top w:val="none" w:sz="0" w:space="0" w:color="auto"/>
            <w:left w:val="none" w:sz="0" w:space="0" w:color="auto"/>
            <w:bottom w:val="none" w:sz="0" w:space="0" w:color="auto"/>
            <w:right w:val="none" w:sz="0" w:space="0" w:color="auto"/>
          </w:divBdr>
        </w:div>
        <w:div w:id="182985867">
          <w:marLeft w:val="0"/>
          <w:marRight w:val="0"/>
          <w:marTop w:val="0"/>
          <w:marBottom w:val="0"/>
          <w:divBdr>
            <w:top w:val="none" w:sz="0" w:space="0" w:color="auto"/>
            <w:left w:val="none" w:sz="0" w:space="0" w:color="auto"/>
            <w:bottom w:val="none" w:sz="0" w:space="0" w:color="auto"/>
            <w:right w:val="none" w:sz="0" w:space="0" w:color="auto"/>
          </w:divBdr>
        </w:div>
        <w:div w:id="1832795315">
          <w:marLeft w:val="0"/>
          <w:marRight w:val="0"/>
          <w:marTop w:val="0"/>
          <w:marBottom w:val="0"/>
          <w:divBdr>
            <w:top w:val="none" w:sz="0" w:space="0" w:color="auto"/>
            <w:left w:val="none" w:sz="0" w:space="0" w:color="auto"/>
            <w:bottom w:val="none" w:sz="0" w:space="0" w:color="auto"/>
            <w:right w:val="none" w:sz="0" w:space="0" w:color="auto"/>
          </w:divBdr>
        </w:div>
        <w:div w:id="653265710">
          <w:marLeft w:val="0"/>
          <w:marRight w:val="0"/>
          <w:marTop w:val="0"/>
          <w:marBottom w:val="0"/>
          <w:divBdr>
            <w:top w:val="none" w:sz="0" w:space="0" w:color="auto"/>
            <w:left w:val="none" w:sz="0" w:space="0" w:color="auto"/>
            <w:bottom w:val="none" w:sz="0" w:space="0" w:color="auto"/>
            <w:right w:val="none" w:sz="0" w:space="0" w:color="auto"/>
          </w:divBdr>
        </w:div>
        <w:div w:id="16541953">
          <w:marLeft w:val="0"/>
          <w:marRight w:val="0"/>
          <w:marTop w:val="0"/>
          <w:marBottom w:val="0"/>
          <w:divBdr>
            <w:top w:val="none" w:sz="0" w:space="0" w:color="auto"/>
            <w:left w:val="none" w:sz="0" w:space="0" w:color="auto"/>
            <w:bottom w:val="none" w:sz="0" w:space="0" w:color="auto"/>
            <w:right w:val="none" w:sz="0" w:space="0" w:color="auto"/>
          </w:divBdr>
        </w:div>
        <w:div w:id="87700025">
          <w:marLeft w:val="0"/>
          <w:marRight w:val="0"/>
          <w:marTop w:val="0"/>
          <w:marBottom w:val="0"/>
          <w:divBdr>
            <w:top w:val="none" w:sz="0" w:space="0" w:color="auto"/>
            <w:left w:val="none" w:sz="0" w:space="0" w:color="auto"/>
            <w:bottom w:val="none" w:sz="0" w:space="0" w:color="auto"/>
            <w:right w:val="none" w:sz="0" w:space="0" w:color="auto"/>
          </w:divBdr>
        </w:div>
        <w:div w:id="1053188631">
          <w:marLeft w:val="0"/>
          <w:marRight w:val="0"/>
          <w:marTop w:val="0"/>
          <w:marBottom w:val="0"/>
          <w:divBdr>
            <w:top w:val="none" w:sz="0" w:space="0" w:color="auto"/>
            <w:left w:val="none" w:sz="0" w:space="0" w:color="auto"/>
            <w:bottom w:val="none" w:sz="0" w:space="0" w:color="auto"/>
            <w:right w:val="none" w:sz="0" w:space="0" w:color="auto"/>
          </w:divBdr>
        </w:div>
        <w:div w:id="606893620">
          <w:marLeft w:val="0"/>
          <w:marRight w:val="0"/>
          <w:marTop w:val="0"/>
          <w:marBottom w:val="0"/>
          <w:divBdr>
            <w:top w:val="none" w:sz="0" w:space="0" w:color="auto"/>
            <w:left w:val="none" w:sz="0" w:space="0" w:color="auto"/>
            <w:bottom w:val="none" w:sz="0" w:space="0" w:color="auto"/>
            <w:right w:val="none" w:sz="0" w:space="0" w:color="auto"/>
          </w:divBdr>
        </w:div>
        <w:div w:id="1133326219">
          <w:marLeft w:val="0"/>
          <w:marRight w:val="0"/>
          <w:marTop w:val="0"/>
          <w:marBottom w:val="0"/>
          <w:divBdr>
            <w:top w:val="none" w:sz="0" w:space="0" w:color="auto"/>
            <w:left w:val="none" w:sz="0" w:space="0" w:color="auto"/>
            <w:bottom w:val="none" w:sz="0" w:space="0" w:color="auto"/>
            <w:right w:val="none" w:sz="0" w:space="0" w:color="auto"/>
          </w:divBdr>
        </w:div>
        <w:div w:id="85271484">
          <w:marLeft w:val="0"/>
          <w:marRight w:val="0"/>
          <w:marTop w:val="0"/>
          <w:marBottom w:val="0"/>
          <w:divBdr>
            <w:top w:val="none" w:sz="0" w:space="0" w:color="auto"/>
            <w:left w:val="none" w:sz="0" w:space="0" w:color="auto"/>
            <w:bottom w:val="none" w:sz="0" w:space="0" w:color="auto"/>
            <w:right w:val="none" w:sz="0" w:space="0" w:color="auto"/>
          </w:divBdr>
        </w:div>
        <w:div w:id="136145382">
          <w:marLeft w:val="0"/>
          <w:marRight w:val="0"/>
          <w:marTop w:val="0"/>
          <w:marBottom w:val="0"/>
          <w:divBdr>
            <w:top w:val="none" w:sz="0" w:space="0" w:color="auto"/>
            <w:left w:val="none" w:sz="0" w:space="0" w:color="auto"/>
            <w:bottom w:val="none" w:sz="0" w:space="0" w:color="auto"/>
            <w:right w:val="none" w:sz="0" w:space="0" w:color="auto"/>
          </w:divBdr>
        </w:div>
        <w:div w:id="1161702986">
          <w:marLeft w:val="0"/>
          <w:marRight w:val="0"/>
          <w:marTop w:val="0"/>
          <w:marBottom w:val="0"/>
          <w:divBdr>
            <w:top w:val="none" w:sz="0" w:space="0" w:color="auto"/>
            <w:left w:val="none" w:sz="0" w:space="0" w:color="auto"/>
            <w:bottom w:val="none" w:sz="0" w:space="0" w:color="auto"/>
            <w:right w:val="none" w:sz="0" w:space="0" w:color="auto"/>
          </w:divBdr>
        </w:div>
        <w:div w:id="1603105735">
          <w:marLeft w:val="0"/>
          <w:marRight w:val="0"/>
          <w:marTop w:val="0"/>
          <w:marBottom w:val="0"/>
          <w:divBdr>
            <w:top w:val="none" w:sz="0" w:space="0" w:color="auto"/>
            <w:left w:val="none" w:sz="0" w:space="0" w:color="auto"/>
            <w:bottom w:val="none" w:sz="0" w:space="0" w:color="auto"/>
            <w:right w:val="none" w:sz="0" w:space="0" w:color="auto"/>
          </w:divBdr>
        </w:div>
        <w:div w:id="949975384">
          <w:marLeft w:val="0"/>
          <w:marRight w:val="0"/>
          <w:marTop w:val="0"/>
          <w:marBottom w:val="0"/>
          <w:divBdr>
            <w:top w:val="none" w:sz="0" w:space="0" w:color="auto"/>
            <w:left w:val="none" w:sz="0" w:space="0" w:color="auto"/>
            <w:bottom w:val="none" w:sz="0" w:space="0" w:color="auto"/>
            <w:right w:val="none" w:sz="0" w:space="0" w:color="auto"/>
          </w:divBdr>
        </w:div>
        <w:div w:id="1074157997">
          <w:marLeft w:val="0"/>
          <w:marRight w:val="0"/>
          <w:marTop w:val="0"/>
          <w:marBottom w:val="0"/>
          <w:divBdr>
            <w:top w:val="none" w:sz="0" w:space="0" w:color="auto"/>
            <w:left w:val="none" w:sz="0" w:space="0" w:color="auto"/>
            <w:bottom w:val="none" w:sz="0" w:space="0" w:color="auto"/>
            <w:right w:val="none" w:sz="0" w:space="0" w:color="auto"/>
          </w:divBdr>
        </w:div>
      </w:divsChild>
    </w:div>
    <w:div w:id="1686402217">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 w:id="20178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info.gov/content/pkg/PLAW-107publ56/pdf/PLAW-107publ56.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gress.gov/114/plaws/publ23/PLAW-114publ23.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tant.ru/document/cons_doc_LAW_61801/" TargetMode="External"/><Relationship Id="rId5" Type="http://schemas.openxmlformats.org/officeDocument/2006/relationships/webSettings" Target="webSettings.xml"/><Relationship Id="rId10" Type="http://schemas.openxmlformats.org/officeDocument/2006/relationships/hyperlink" Target="https://www.pdpc.gov.sg/overview-of-pdpa/the-legislation/personal-data-protection-act" TargetMode="External"/><Relationship Id="rId4" Type="http://schemas.openxmlformats.org/officeDocument/2006/relationships/settings" Target="settings.xml"/><Relationship Id="rId9" Type="http://schemas.openxmlformats.org/officeDocument/2006/relationships/hyperlink" Target="https://gdpr-info.eu/"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security.org/64464/the-snowden-effect-six-years-on/" TargetMode="External"/><Relationship Id="rId2" Type="http://schemas.openxmlformats.org/officeDocument/2006/relationships/hyperlink" Target="https://www.wita.org/wp-content/uploads/2021/08/Data-is-disruptive-Hinrich-Foundation-white-paper-Susan-Aaronson-August-2021.pdf" TargetMode="External"/><Relationship Id="rId1" Type="http://schemas.openxmlformats.org/officeDocument/2006/relationships/hyperlink" Target="http://link.gale.com/apps/doc/A303642866/AONE?u=anon~5970f3a4&amp;sid=googleScholar&amp;xid=49d89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16FE1-CE0E-4F7B-83B1-2C792308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2</cp:revision>
  <dcterms:created xsi:type="dcterms:W3CDTF">2025-01-07T04:45:00Z</dcterms:created>
  <dcterms:modified xsi:type="dcterms:W3CDTF">2025-01-14T02:25:00Z</dcterms:modified>
</cp:coreProperties>
</file>