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4F17E" w14:textId="4F047D43" w:rsidR="4CE9FAF3" w:rsidRPr="001F79B8" w:rsidRDefault="00113315" w:rsidP="00BE3BDA">
      <w:pPr>
        <w:spacing w:before="100" w:beforeAutospacing="1" w:after="0" w:line="240" w:lineRule="auto"/>
        <w:rPr>
          <w:rFonts w:ascii="Arial" w:hAnsi="Arial" w:cs="Arial"/>
          <w:color w:val="FF0000"/>
          <w:lang w:val="en-US"/>
        </w:rPr>
      </w:pPr>
      <w:r w:rsidRPr="001F79B8">
        <w:rPr>
          <w:rFonts w:ascii="Arial" w:hAnsi="Arial" w:cs="Arial"/>
          <w:b/>
          <w:bCs/>
          <w:lang w:val="en-US"/>
        </w:rPr>
        <w:t xml:space="preserve">6 </w:t>
      </w:r>
      <w:r w:rsidR="00B516F2" w:rsidRPr="001F79B8">
        <w:rPr>
          <w:rFonts w:ascii="Arial" w:hAnsi="Arial" w:cs="Arial"/>
          <w:b/>
          <w:bCs/>
          <w:lang w:val="en-US"/>
        </w:rPr>
        <w:t>(a)</w:t>
      </w:r>
      <w:r w:rsidR="007371AF" w:rsidRPr="001F79B8">
        <w:rPr>
          <w:rFonts w:ascii="Arial" w:hAnsi="Arial" w:cs="Arial"/>
          <w:b/>
          <w:bCs/>
          <w:lang w:val="en-US"/>
        </w:rPr>
        <w:t xml:space="preserve"> </w:t>
      </w:r>
      <w:r w:rsidR="004B07CB" w:rsidRPr="001F79B8">
        <w:rPr>
          <w:rFonts w:ascii="Arial" w:hAnsi="Arial" w:cs="Arial"/>
          <w:b/>
          <w:bCs/>
          <w:lang w:val="en-US"/>
        </w:rPr>
        <w:t>Cyber security and data breaches in Australia</w:t>
      </w:r>
      <w:r w:rsidR="007371AF" w:rsidRPr="001F79B8">
        <w:rPr>
          <w:rFonts w:ascii="Arial" w:hAnsi="Arial" w:cs="Arial"/>
          <w:b/>
          <w:bCs/>
          <w:lang w:val="en-US"/>
        </w:rPr>
        <w:t xml:space="preserve"> </w:t>
      </w:r>
    </w:p>
    <w:p w14:paraId="3A7FB7EE" w14:textId="432BE0E3" w:rsidR="4CE9FAF3" w:rsidRPr="001F79B8" w:rsidRDefault="2C4F2FE6" w:rsidP="00BE3BDA">
      <w:pPr>
        <w:spacing w:before="100" w:beforeAutospacing="1" w:after="0" w:line="240" w:lineRule="auto"/>
        <w:rPr>
          <w:rFonts w:ascii="Arial" w:hAnsi="Arial" w:cs="Arial"/>
          <w:lang w:val="en-US"/>
        </w:rPr>
      </w:pPr>
      <w:r w:rsidRPr="001F79B8">
        <w:rPr>
          <w:rFonts w:ascii="Arial" w:hAnsi="Arial" w:cs="Arial"/>
          <w:lang w:val="en-US"/>
        </w:rPr>
        <w:t>Recently, t</w:t>
      </w:r>
      <w:r w:rsidR="0023248C" w:rsidRPr="001F79B8">
        <w:rPr>
          <w:rFonts w:ascii="Arial" w:hAnsi="Arial" w:cs="Arial"/>
          <w:lang w:val="en-US"/>
        </w:rPr>
        <w:t>here ha</w:t>
      </w:r>
      <w:r w:rsidR="7C9B5DC6" w:rsidRPr="001F79B8">
        <w:rPr>
          <w:rFonts w:ascii="Arial" w:hAnsi="Arial" w:cs="Arial"/>
          <w:lang w:val="en-US"/>
        </w:rPr>
        <w:t xml:space="preserve">s </w:t>
      </w:r>
      <w:r w:rsidR="0023248C" w:rsidRPr="001F79B8">
        <w:rPr>
          <w:rFonts w:ascii="Arial" w:hAnsi="Arial" w:cs="Arial"/>
          <w:lang w:val="en-US"/>
        </w:rPr>
        <w:t xml:space="preserve">been recent reforms in the law and a strategy implemented by the Australian Government to </w:t>
      </w:r>
      <w:r w:rsidR="00F2166F" w:rsidRPr="001F79B8">
        <w:rPr>
          <w:rFonts w:ascii="Arial" w:hAnsi="Arial" w:cs="Arial"/>
          <w:lang w:val="en-US"/>
        </w:rPr>
        <w:t>improve</w:t>
      </w:r>
      <w:r w:rsidR="0023248C" w:rsidRPr="001F79B8">
        <w:rPr>
          <w:rFonts w:ascii="Arial" w:hAnsi="Arial" w:cs="Arial"/>
          <w:lang w:val="en-US"/>
        </w:rPr>
        <w:t xml:space="preserve"> cyber security with the aim of </w:t>
      </w:r>
      <w:proofErr w:type="spellStart"/>
      <w:r w:rsidR="0023248C" w:rsidRPr="001F79B8">
        <w:rPr>
          <w:rFonts w:ascii="Arial" w:hAnsi="Arial" w:cs="Arial"/>
          <w:lang w:val="en-US"/>
        </w:rPr>
        <w:t>minimi</w:t>
      </w:r>
      <w:r w:rsidR="001F1894" w:rsidRPr="001F79B8">
        <w:rPr>
          <w:rFonts w:ascii="Arial" w:hAnsi="Arial" w:cs="Arial"/>
          <w:lang w:val="en-US"/>
        </w:rPr>
        <w:t>s</w:t>
      </w:r>
      <w:r w:rsidR="0023248C" w:rsidRPr="001F79B8">
        <w:rPr>
          <w:rFonts w:ascii="Arial" w:hAnsi="Arial" w:cs="Arial"/>
          <w:lang w:val="en-US"/>
        </w:rPr>
        <w:t>ing</w:t>
      </w:r>
      <w:proofErr w:type="spellEnd"/>
      <w:r w:rsidR="0023248C" w:rsidRPr="001F79B8">
        <w:rPr>
          <w:rFonts w:ascii="Arial" w:hAnsi="Arial" w:cs="Arial"/>
          <w:lang w:val="en-US"/>
        </w:rPr>
        <w:t xml:space="preserve"> the </w:t>
      </w:r>
      <w:r w:rsidR="003E0FA8" w:rsidRPr="001F79B8">
        <w:rPr>
          <w:rFonts w:ascii="Arial" w:hAnsi="Arial" w:cs="Arial"/>
          <w:lang w:val="en-US"/>
        </w:rPr>
        <w:t>number</w:t>
      </w:r>
      <w:r w:rsidR="0023248C" w:rsidRPr="001F79B8">
        <w:rPr>
          <w:rFonts w:ascii="Arial" w:hAnsi="Arial" w:cs="Arial"/>
          <w:lang w:val="en-US"/>
        </w:rPr>
        <w:t xml:space="preserve"> of breaches. </w:t>
      </w:r>
      <w:r w:rsidR="3C1BFEFD" w:rsidRPr="001F79B8">
        <w:rPr>
          <w:rFonts w:ascii="Arial" w:hAnsi="Arial" w:cs="Arial"/>
          <w:lang w:val="en-US"/>
        </w:rPr>
        <w:t>In addition to leaking Australian’s personal information, c</w:t>
      </w:r>
      <w:r w:rsidR="003E0FA8" w:rsidRPr="001F79B8">
        <w:rPr>
          <w:rFonts w:ascii="Arial" w:hAnsi="Arial" w:cs="Arial"/>
          <w:lang w:val="en-US"/>
        </w:rPr>
        <w:t xml:space="preserve">ybercrime is having significant economic impacts </w:t>
      </w:r>
      <w:r w:rsidR="00E0229D" w:rsidRPr="001F79B8">
        <w:rPr>
          <w:rFonts w:ascii="Arial" w:hAnsi="Arial" w:cs="Arial"/>
          <w:lang w:val="en-US"/>
        </w:rPr>
        <w:t>with the cost on Australian businesses increasing by approximately 14</w:t>
      </w:r>
      <w:r w:rsidR="6910A4F8" w:rsidRPr="001F79B8">
        <w:rPr>
          <w:rFonts w:ascii="Arial" w:hAnsi="Arial" w:cs="Arial"/>
          <w:lang w:val="en-US"/>
        </w:rPr>
        <w:t>%</w:t>
      </w:r>
      <w:r w:rsidR="00E0229D" w:rsidRPr="001F79B8">
        <w:rPr>
          <w:rFonts w:ascii="Arial" w:hAnsi="Arial" w:cs="Arial"/>
          <w:lang w:val="en-US"/>
        </w:rPr>
        <w:t xml:space="preserve"> per annum</w:t>
      </w:r>
      <w:r w:rsidR="00B516F2" w:rsidRPr="001F79B8">
        <w:rPr>
          <w:rFonts w:ascii="Arial" w:hAnsi="Arial" w:cs="Arial"/>
          <w:lang w:val="en-US"/>
        </w:rPr>
        <w:t>.</w:t>
      </w:r>
      <w:r w:rsidR="00E0229D" w:rsidRPr="001F79B8">
        <w:rPr>
          <w:rStyle w:val="FootnoteReference"/>
          <w:rFonts w:ascii="Arial" w:hAnsi="Arial" w:cs="Arial"/>
          <w:lang w:val="en-US"/>
        </w:rPr>
        <w:footnoteReference w:id="1"/>
      </w:r>
      <w:r w:rsidR="00F71C9C" w:rsidRPr="001F79B8">
        <w:rPr>
          <w:rFonts w:ascii="Arial" w:hAnsi="Arial" w:cs="Arial"/>
          <w:lang w:val="en-US"/>
        </w:rPr>
        <w:t xml:space="preserve"> </w:t>
      </w:r>
    </w:p>
    <w:p w14:paraId="647BE41B" w14:textId="7AF120EA" w:rsidR="009C0D46" w:rsidRPr="001F79B8" w:rsidRDefault="00113315" w:rsidP="00E50B19">
      <w:pPr>
        <w:spacing w:before="100" w:beforeAutospacing="1" w:after="0" w:line="240" w:lineRule="auto"/>
        <w:rPr>
          <w:rFonts w:ascii="Arial" w:hAnsi="Arial" w:cs="Arial"/>
          <w:b/>
          <w:bCs/>
          <w:lang w:val="en-US"/>
        </w:rPr>
      </w:pPr>
      <w:r w:rsidRPr="001F79B8">
        <w:rPr>
          <w:rFonts w:ascii="Arial" w:hAnsi="Arial" w:cs="Arial"/>
          <w:b/>
          <w:bCs/>
          <w:lang w:val="en-US"/>
        </w:rPr>
        <w:t>6(b)</w:t>
      </w:r>
      <w:r w:rsidR="00B15ECE" w:rsidRPr="001F79B8">
        <w:rPr>
          <w:rFonts w:ascii="Arial" w:hAnsi="Arial" w:cs="Arial"/>
          <w:b/>
          <w:bCs/>
          <w:lang w:val="en-US"/>
        </w:rPr>
        <w:t xml:space="preserve"> Mandatory data breach requirements</w:t>
      </w:r>
    </w:p>
    <w:p w14:paraId="0586CF13" w14:textId="5E172A52" w:rsidR="4CE9FAF3" w:rsidRPr="001F79B8" w:rsidRDefault="00091E53" w:rsidP="00471144">
      <w:pPr>
        <w:spacing w:before="100" w:beforeAutospacing="1" w:after="0" w:line="240" w:lineRule="auto"/>
        <w:rPr>
          <w:rFonts w:ascii="Arial" w:hAnsi="Arial" w:cs="Arial"/>
        </w:rPr>
      </w:pPr>
      <w:r w:rsidRPr="001F79B8">
        <w:rPr>
          <w:rFonts w:ascii="Arial" w:hAnsi="Arial" w:cs="Arial"/>
        </w:rPr>
        <w:t>National m</w:t>
      </w:r>
      <w:r w:rsidR="009C0D46" w:rsidRPr="001F79B8">
        <w:rPr>
          <w:rFonts w:ascii="Arial" w:hAnsi="Arial" w:cs="Arial"/>
        </w:rPr>
        <w:t>andatory data breach requirements were first introduced in Australia in early 2017</w:t>
      </w:r>
      <w:r w:rsidR="00E50B19" w:rsidRPr="001F79B8">
        <w:rPr>
          <w:rFonts w:ascii="Arial" w:hAnsi="Arial" w:cs="Arial"/>
        </w:rPr>
        <w:t xml:space="preserve"> </w:t>
      </w:r>
      <w:r w:rsidR="009C0D46" w:rsidRPr="001F79B8">
        <w:rPr>
          <w:rFonts w:ascii="Arial" w:hAnsi="Arial" w:cs="Arial"/>
        </w:rPr>
        <w:t>as an amendment to the </w:t>
      </w:r>
      <w:r w:rsidR="009C0D46" w:rsidRPr="001F79B8">
        <w:rPr>
          <w:rFonts w:ascii="Arial" w:hAnsi="Arial" w:cs="Arial"/>
          <w:i/>
          <w:iCs/>
        </w:rPr>
        <w:t>Privacy Act</w:t>
      </w:r>
      <w:r w:rsidR="5D459E59" w:rsidRPr="001F79B8">
        <w:rPr>
          <w:rFonts w:ascii="Arial" w:hAnsi="Arial" w:cs="Arial"/>
          <w:i/>
          <w:iCs/>
        </w:rPr>
        <w:t xml:space="preserve"> 1988 </w:t>
      </w:r>
      <w:r w:rsidR="5D459E59" w:rsidRPr="001F79B8">
        <w:rPr>
          <w:rFonts w:ascii="Arial" w:hAnsi="Arial" w:cs="Arial"/>
        </w:rPr>
        <w:t>(</w:t>
      </w:r>
      <w:proofErr w:type="spellStart"/>
      <w:r w:rsidR="5D459E59" w:rsidRPr="001F79B8">
        <w:rPr>
          <w:rFonts w:ascii="Arial" w:hAnsi="Arial" w:cs="Arial"/>
        </w:rPr>
        <w:t>Cth</w:t>
      </w:r>
      <w:proofErr w:type="spellEnd"/>
      <w:r w:rsidR="5D459E59" w:rsidRPr="001F79B8">
        <w:rPr>
          <w:rFonts w:ascii="Arial" w:hAnsi="Arial" w:cs="Arial"/>
        </w:rPr>
        <w:t>)</w:t>
      </w:r>
      <w:r w:rsidR="009C0D46" w:rsidRPr="001F79B8">
        <w:rPr>
          <w:rFonts w:ascii="Arial" w:hAnsi="Arial" w:cs="Arial"/>
        </w:rPr>
        <w:t>. The amendments contain a notification scheme for certain types of data breaches involving unauthorised access</w:t>
      </w:r>
      <w:r w:rsidR="310F5124" w:rsidRPr="001F79B8">
        <w:rPr>
          <w:rFonts w:ascii="Arial" w:hAnsi="Arial" w:cs="Arial"/>
        </w:rPr>
        <w:t xml:space="preserve"> and </w:t>
      </w:r>
      <w:r w:rsidR="009C0D46" w:rsidRPr="001F79B8">
        <w:rPr>
          <w:rFonts w:ascii="Arial" w:hAnsi="Arial" w:cs="Arial"/>
        </w:rPr>
        <w:t>disclosure of personal information likely to lead to serious harm to individuals</w:t>
      </w:r>
      <w:r w:rsidR="003F422D" w:rsidRPr="001F79B8">
        <w:rPr>
          <w:rFonts w:ascii="Arial" w:hAnsi="Arial" w:cs="Arial"/>
        </w:rPr>
        <w:t>.</w:t>
      </w:r>
    </w:p>
    <w:p w14:paraId="6592CDC3" w14:textId="0C818CC2" w:rsidR="4CE9FAF3" w:rsidRPr="001F79B8" w:rsidRDefault="009C0D46" w:rsidP="00471144">
      <w:pPr>
        <w:spacing w:before="100" w:beforeAutospacing="1" w:after="0" w:line="240" w:lineRule="auto"/>
        <w:rPr>
          <w:rFonts w:ascii="Arial" w:hAnsi="Arial" w:cs="Arial"/>
        </w:rPr>
      </w:pPr>
      <w:r w:rsidRPr="001F79B8">
        <w:rPr>
          <w:rFonts w:ascii="Arial" w:hAnsi="Arial" w:cs="Arial"/>
        </w:rPr>
        <w:t xml:space="preserve">The requirements are binding on APP entities, credit reporting bodies, credit providers, tax file number recipients and </w:t>
      </w:r>
      <w:r w:rsidR="5552E547" w:rsidRPr="001F79B8">
        <w:rPr>
          <w:rFonts w:ascii="Arial" w:hAnsi="Arial" w:cs="Arial"/>
        </w:rPr>
        <w:t>i</w:t>
      </w:r>
      <w:r w:rsidRPr="001F79B8">
        <w:rPr>
          <w:rFonts w:ascii="Arial" w:hAnsi="Arial" w:cs="Arial"/>
        </w:rPr>
        <w:t xml:space="preserve">nternet </w:t>
      </w:r>
      <w:r w:rsidR="22E0246B" w:rsidRPr="001F79B8">
        <w:rPr>
          <w:rFonts w:ascii="Arial" w:hAnsi="Arial" w:cs="Arial"/>
        </w:rPr>
        <w:t>s</w:t>
      </w:r>
      <w:r w:rsidRPr="001F79B8">
        <w:rPr>
          <w:rFonts w:ascii="Arial" w:hAnsi="Arial" w:cs="Arial"/>
        </w:rPr>
        <w:t xml:space="preserve">ervice </w:t>
      </w:r>
      <w:r w:rsidR="34BEE96C" w:rsidRPr="001F79B8">
        <w:rPr>
          <w:rFonts w:ascii="Arial" w:hAnsi="Arial" w:cs="Arial"/>
        </w:rPr>
        <w:t>p</w:t>
      </w:r>
      <w:r w:rsidRPr="001F79B8">
        <w:rPr>
          <w:rFonts w:ascii="Arial" w:hAnsi="Arial" w:cs="Arial"/>
        </w:rPr>
        <w:t>roviders.</w:t>
      </w:r>
    </w:p>
    <w:p w14:paraId="6C5E890A" w14:textId="09704CE4" w:rsidR="4CE9FAF3" w:rsidRPr="001F79B8" w:rsidRDefault="0019782D" w:rsidP="00AE1F65">
      <w:pPr>
        <w:spacing w:before="100" w:beforeAutospacing="1" w:after="0" w:line="240" w:lineRule="auto"/>
        <w:rPr>
          <w:rFonts w:ascii="Arial" w:hAnsi="Arial" w:cs="Arial"/>
        </w:rPr>
      </w:pPr>
      <w:r w:rsidRPr="001F79B8">
        <w:rPr>
          <w:rFonts w:ascii="Arial" w:hAnsi="Arial" w:cs="Arial"/>
        </w:rPr>
        <w:t>If an entity becomes aware of a data breach, it must inform the O</w:t>
      </w:r>
      <w:r w:rsidR="6FFB21E5" w:rsidRPr="001F79B8">
        <w:rPr>
          <w:rFonts w:ascii="Arial" w:hAnsi="Arial" w:cs="Arial"/>
        </w:rPr>
        <w:t xml:space="preserve">ffice of the Australian Information Commissioner </w:t>
      </w:r>
      <w:r w:rsidR="6EE1041E" w:rsidRPr="001F79B8">
        <w:rPr>
          <w:rFonts w:ascii="Arial" w:hAnsi="Arial" w:cs="Arial"/>
        </w:rPr>
        <w:t>(</w:t>
      </w:r>
      <w:r w:rsidR="6EE1041E" w:rsidRPr="001F79B8">
        <w:rPr>
          <w:rFonts w:ascii="Arial" w:hAnsi="Arial" w:cs="Arial"/>
          <w:b/>
          <w:bCs/>
        </w:rPr>
        <w:t>OAIC</w:t>
      </w:r>
      <w:r w:rsidR="6EE1041E" w:rsidRPr="001F79B8">
        <w:rPr>
          <w:rFonts w:ascii="Arial" w:hAnsi="Arial" w:cs="Arial"/>
        </w:rPr>
        <w:t xml:space="preserve">) </w:t>
      </w:r>
      <w:r w:rsidRPr="001F79B8">
        <w:rPr>
          <w:rFonts w:ascii="Arial" w:hAnsi="Arial" w:cs="Arial"/>
        </w:rPr>
        <w:t>and the individuals whose data is affected</w:t>
      </w:r>
      <w:r w:rsidR="15F484BF" w:rsidRPr="001F79B8">
        <w:rPr>
          <w:rFonts w:ascii="Arial" w:hAnsi="Arial" w:cs="Arial"/>
        </w:rPr>
        <w:t xml:space="preserve"> </w:t>
      </w:r>
      <w:r w:rsidRPr="001F79B8">
        <w:rPr>
          <w:rFonts w:ascii="Arial" w:hAnsi="Arial" w:cs="Arial"/>
        </w:rPr>
        <w:t>when the data breach is likely to result in serious harm to the individuals involved. If directly contacting the affected individuals is not practical, the entity may publish a statement on their website and take reasonable steps to publicise the contents of the statement. If the data breach affects one or more entities, an entity is not required to complete these steps if another entity has already done so.</w:t>
      </w:r>
    </w:p>
    <w:p w14:paraId="05BFCC22" w14:textId="4263F5C2" w:rsidR="4CE9FAF3" w:rsidRPr="001F79B8" w:rsidRDefault="009C0D46" w:rsidP="4CE9FAF3">
      <w:pPr>
        <w:spacing w:beforeAutospacing="1" w:after="0" w:line="240" w:lineRule="auto"/>
        <w:rPr>
          <w:rFonts w:ascii="Arial" w:hAnsi="Arial" w:cs="Arial"/>
          <w:b/>
          <w:bCs/>
          <w:lang w:val="en-US"/>
        </w:rPr>
      </w:pPr>
      <w:r w:rsidRPr="001F79B8">
        <w:rPr>
          <w:rFonts w:ascii="Arial" w:hAnsi="Arial" w:cs="Arial"/>
          <w:b/>
          <w:bCs/>
          <w:lang w:val="en-US"/>
        </w:rPr>
        <w:t>6(c)</w:t>
      </w:r>
      <w:r w:rsidR="2BBC746E" w:rsidRPr="001F79B8">
        <w:rPr>
          <w:rFonts w:ascii="Arial" w:hAnsi="Arial" w:cs="Arial"/>
          <w:b/>
          <w:bCs/>
          <w:lang w:val="en-US"/>
        </w:rPr>
        <w:t xml:space="preserve"> </w:t>
      </w:r>
      <w:r w:rsidR="00113315" w:rsidRPr="001F79B8">
        <w:rPr>
          <w:rFonts w:ascii="Arial" w:hAnsi="Arial" w:cs="Arial"/>
          <w:b/>
          <w:bCs/>
          <w:lang w:val="en-US"/>
        </w:rPr>
        <w:t>Mandatory Notification of Data Breach Scheme (NSW)</w:t>
      </w:r>
    </w:p>
    <w:p w14:paraId="74A1D317" w14:textId="77777777" w:rsidR="00113315" w:rsidRPr="001F79B8" w:rsidRDefault="00113315" w:rsidP="00E50B19">
      <w:pPr>
        <w:pStyle w:val="ListParagraph"/>
        <w:numPr>
          <w:ilvl w:val="0"/>
          <w:numId w:val="10"/>
        </w:numPr>
        <w:spacing w:before="100" w:beforeAutospacing="1" w:after="0" w:line="240" w:lineRule="auto"/>
        <w:rPr>
          <w:rFonts w:ascii="Arial" w:hAnsi="Arial" w:cs="Arial"/>
          <w:b/>
          <w:bCs/>
          <w:lang w:val="en-US"/>
        </w:rPr>
      </w:pPr>
      <w:r w:rsidRPr="001F79B8">
        <w:rPr>
          <w:rFonts w:ascii="Arial" w:hAnsi="Arial" w:cs="Arial"/>
          <w:b/>
          <w:bCs/>
          <w:lang w:val="en-US"/>
        </w:rPr>
        <w:t>Inception</w:t>
      </w:r>
    </w:p>
    <w:p w14:paraId="4D7E215A" w14:textId="6DE2B48B" w:rsidR="4CE9FAF3" w:rsidRPr="001F79B8" w:rsidRDefault="4CE9FAF3" w:rsidP="4CE9FAF3">
      <w:pPr>
        <w:pStyle w:val="ListParagraph"/>
        <w:spacing w:beforeAutospacing="1" w:after="0" w:line="240" w:lineRule="auto"/>
        <w:ind w:left="1080"/>
        <w:rPr>
          <w:rFonts w:ascii="Arial" w:hAnsi="Arial" w:cs="Arial"/>
          <w:b/>
          <w:bCs/>
          <w:lang w:val="en-US"/>
        </w:rPr>
      </w:pPr>
    </w:p>
    <w:p w14:paraId="5850B4EE" w14:textId="76B45623" w:rsidR="00113315" w:rsidRPr="001F79B8" w:rsidRDefault="00113315" w:rsidP="4CE9FAF3">
      <w:pPr>
        <w:spacing w:before="100" w:beforeAutospacing="1" w:after="0" w:line="240" w:lineRule="auto"/>
        <w:rPr>
          <w:rFonts w:ascii="Arial" w:hAnsi="Arial" w:cs="Arial"/>
          <w:lang w:val="en-US"/>
        </w:rPr>
      </w:pPr>
      <w:r w:rsidRPr="001F79B8">
        <w:rPr>
          <w:rFonts w:ascii="Arial" w:hAnsi="Arial" w:cs="Arial"/>
          <w:lang w:val="en-US"/>
        </w:rPr>
        <w:t xml:space="preserve">On 16 November 2022, the </w:t>
      </w:r>
      <w:r w:rsidRPr="001F79B8">
        <w:rPr>
          <w:rFonts w:ascii="Arial" w:hAnsi="Arial" w:cs="Arial"/>
          <w:i/>
          <w:iCs/>
          <w:lang w:val="en-US"/>
        </w:rPr>
        <w:t>Privacy and Personal Information Protection Amendment Bill</w:t>
      </w:r>
      <w:r w:rsidR="6043B780" w:rsidRPr="001F79B8">
        <w:rPr>
          <w:rFonts w:ascii="Arial" w:hAnsi="Arial" w:cs="Arial"/>
          <w:i/>
          <w:iCs/>
          <w:lang w:val="en-US"/>
        </w:rPr>
        <w:t xml:space="preserve"> </w:t>
      </w:r>
      <w:r w:rsidR="6043B780" w:rsidRPr="001F79B8">
        <w:rPr>
          <w:rFonts w:ascii="Arial" w:hAnsi="Arial" w:cs="Arial"/>
          <w:lang w:val="en-US"/>
        </w:rPr>
        <w:t>(NSW)</w:t>
      </w:r>
      <w:r w:rsidRPr="001F79B8">
        <w:rPr>
          <w:rFonts w:ascii="Arial" w:hAnsi="Arial" w:cs="Arial"/>
          <w:i/>
          <w:iCs/>
          <w:lang w:val="en-US"/>
        </w:rPr>
        <w:t xml:space="preserve"> </w:t>
      </w:r>
      <w:r w:rsidRPr="001F79B8">
        <w:rPr>
          <w:rFonts w:ascii="Arial" w:hAnsi="Arial" w:cs="Arial"/>
          <w:lang w:val="en-US"/>
        </w:rPr>
        <w:t>passed both houses of NSW Parliament with agreement being reached on 28 November 2022. The Bill came into effect on 28 November 2023 with key changes including:</w:t>
      </w:r>
    </w:p>
    <w:p w14:paraId="2B39E35B" w14:textId="0896FBDA" w:rsidR="00113315" w:rsidRPr="001F79B8" w:rsidRDefault="00113315" w:rsidP="4CE9FAF3">
      <w:pPr>
        <w:pStyle w:val="ListParagraph"/>
        <w:numPr>
          <w:ilvl w:val="0"/>
          <w:numId w:val="7"/>
        </w:numPr>
        <w:spacing w:before="100" w:beforeAutospacing="1" w:after="0" w:line="240" w:lineRule="auto"/>
        <w:rPr>
          <w:rFonts w:ascii="Arial" w:hAnsi="Arial" w:cs="Arial"/>
          <w:lang w:val="en-US"/>
        </w:rPr>
      </w:pPr>
      <w:r w:rsidRPr="001F79B8">
        <w:rPr>
          <w:rFonts w:ascii="Arial" w:hAnsi="Arial" w:cs="Arial"/>
          <w:lang w:val="en-US"/>
        </w:rPr>
        <w:t>The introduction of the Mandatory Notification of Data Breaches scheme (</w:t>
      </w:r>
      <w:r w:rsidRPr="001F79B8">
        <w:rPr>
          <w:rFonts w:ascii="Arial" w:hAnsi="Arial" w:cs="Arial"/>
          <w:b/>
          <w:bCs/>
          <w:lang w:val="en-US"/>
        </w:rPr>
        <w:t>MNDB</w:t>
      </w:r>
      <w:r w:rsidR="07187DB3" w:rsidRPr="001F79B8">
        <w:rPr>
          <w:rFonts w:ascii="Arial" w:hAnsi="Arial" w:cs="Arial"/>
          <w:b/>
          <w:bCs/>
          <w:lang w:val="en-US"/>
        </w:rPr>
        <w:t xml:space="preserve"> scheme</w:t>
      </w:r>
      <w:r w:rsidRPr="001F79B8">
        <w:rPr>
          <w:rFonts w:ascii="Arial" w:hAnsi="Arial" w:cs="Arial"/>
          <w:lang w:val="en-US"/>
        </w:rPr>
        <w:t>). This includes notification requirements and relevant assessment being undertaken to assess the seriousness of harm suffered due to the breach occurring.</w:t>
      </w:r>
    </w:p>
    <w:p w14:paraId="66D3EC2E" w14:textId="24215FE8" w:rsidR="00113315" w:rsidRPr="001F79B8" w:rsidRDefault="00113315" w:rsidP="4CE9FAF3">
      <w:pPr>
        <w:pStyle w:val="ListParagraph"/>
        <w:numPr>
          <w:ilvl w:val="0"/>
          <w:numId w:val="7"/>
        </w:numPr>
        <w:spacing w:before="100" w:beforeAutospacing="1" w:after="0" w:line="240" w:lineRule="auto"/>
        <w:rPr>
          <w:rFonts w:ascii="Arial" w:hAnsi="Arial" w:cs="Arial"/>
          <w:lang w:val="en-US"/>
        </w:rPr>
      </w:pPr>
      <w:r w:rsidRPr="001F79B8">
        <w:rPr>
          <w:rFonts w:ascii="Arial" w:hAnsi="Arial" w:cs="Arial"/>
          <w:lang w:val="en-US"/>
        </w:rPr>
        <w:t xml:space="preserve">Application of the </w:t>
      </w:r>
      <w:r w:rsidRPr="001F79B8">
        <w:rPr>
          <w:rFonts w:ascii="Arial" w:hAnsi="Arial" w:cs="Arial"/>
          <w:i/>
          <w:iCs/>
          <w:lang w:val="en-US"/>
        </w:rPr>
        <w:t>Privacy and Personal Information Protection Act 1998</w:t>
      </w:r>
      <w:r w:rsidR="225DBA31" w:rsidRPr="001F79B8">
        <w:rPr>
          <w:rFonts w:ascii="Arial" w:hAnsi="Arial" w:cs="Arial"/>
          <w:i/>
          <w:iCs/>
          <w:lang w:val="en-US"/>
        </w:rPr>
        <w:t xml:space="preserve"> </w:t>
      </w:r>
      <w:r w:rsidR="225DBA31" w:rsidRPr="001F79B8">
        <w:rPr>
          <w:rFonts w:ascii="Arial" w:hAnsi="Arial" w:cs="Arial"/>
          <w:lang w:val="en-US"/>
        </w:rPr>
        <w:t>(NSW)</w:t>
      </w:r>
      <w:r w:rsidRPr="001F79B8">
        <w:rPr>
          <w:rFonts w:ascii="Arial" w:hAnsi="Arial" w:cs="Arial"/>
          <w:i/>
          <w:iCs/>
          <w:lang w:val="en-US"/>
        </w:rPr>
        <w:t xml:space="preserve"> </w:t>
      </w:r>
      <w:r w:rsidRPr="001F79B8">
        <w:rPr>
          <w:rFonts w:ascii="Arial" w:hAnsi="Arial" w:cs="Arial"/>
          <w:lang w:val="en-US"/>
        </w:rPr>
        <w:t>(</w:t>
      </w:r>
      <w:r w:rsidRPr="001F79B8">
        <w:rPr>
          <w:rFonts w:ascii="Arial" w:hAnsi="Arial" w:cs="Arial"/>
          <w:b/>
          <w:bCs/>
          <w:lang w:val="en-US"/>
        </w:rPr>
        <w:t>PPIP Act</w:t>
      </w:r>
      <w:r w:rsidRPr="001F79B8">
        <w:rPr>
          <w:rFonts w:ascii="Arial" w:hAnsi="Arial" w:cs="Arial"/>
          <w:lang w:val="en-US"/>
        </w:rPr>
        <w:t xml:space="preserve">) to all NSW state-owned corporations that are not covered under the </w:t>
      </w:r>
      <w:r w:rsidRPr="001F79B8">
        <w:rPr>
          <w:rFonts w:ascii="Arial" w:hAnsi="Arial" w:cs="Arial"/>
          <w:i/>
          <w:iCs/>
          <w:lang w:val="en-US"/>
        </w:rPr>
        <w:t>Privacy Act 1988</w:t>
      </w:r>
      <w:r w:rsidR="508ED2B3" w:rsidRPr="001F79B8">
        <w:rPr>
          <w:rFonts w:ascii="Arial" w:hAnsi="Arial" w:cs="Arial"/>
          <w:i/>
          <w:iCs/>
          <w:lang w:val="en-US"/>
        </w:rPr>
        <w:t xml:space="preserve"> </w:t>
      </w:r>
      <w:r w:rsidR="508ED2B3" w:rsidRPr="001F79B8">
        <w:rPr>
          <w:rFonts w:ascii="Arial" w:hAnsi="Arial" w:cs="Arial"/>
          <w:lang w:val="en-US"/>
        </w:rPr>
        <w:t>(</w:t>
      </w:r>
      <w:proofErr w:type="spellStart"/>
      <w:r w:rsidR="508ED2B3" w:rsidRPr="001F79B8">
        <w:rPr>
          <w:rFonts w:ascii="Arial" w:hAnsi="Arial" w:cs="Arial"/>
          <w:lang w:val="en-US"/>
        </w:rPr>
        <w:t>Cth</w:t>
      </w:r>
      <w:proofErr w:type="spellEnd"/>
      <w:r w:rsidR="508ED2B3" w:rsidRPr="001F79B8">
        <w:rPr>
          <w:rFonts w:ascii="Arial" w:hAnsi="Arial" w:cs="Arial"/>
          <w:lang w:val="en-US"/>
        </w:rPr>
        <w:t>)</w:t>
      </w:r>
      <w:r w:rsidRPr="001F79B8">
        <w:rPr>
          <w:rFonts w:ascii="Arial" w:hAnsi="Arial" w:cs="Arial"/>
          <w:lang w:val="en-US"/>
        </w:rPr>
        <w:t>.</w:t>
      </w:r>
    </w:p>
    <w:p w14:paraId="6B187D8B" w14:textId="364E5267" w:rsidR="00113315" w:rsidRPr="001F79B8" w:rsidRDefault="00113315" w:rsidP="4CE9FAF3">
      <w:pPr>
        <w:pStyle w:val="ListParagraph"/>
        <w:numPr>
          <w:ilvl w:val="0"/>
          <w:numId w:val="7"/>
        </w:numPr>
        <w:spacing w:before="100" w:beforeAutospacing="1" w:after="0" w:line="240" w:lineRule="auto"/>
        <w:rPr>
          <w:rFonts w:ascii="Arial" w:hAnsi="Arial" w:cs="Arial"/>
          <w:lang w:val="en-US"/>
        </w:rPr>
      </w:pPr>
      <w:r w:rsidRPr="001F79B8">
        <w:rPr>
          <w:rFonts w:ascii="Arial" w:hAnsi="Arial" w:cs="Arial"/>
          <w:lang w:val="en-US"/>
        </w:rPr>
        <w:t xml:space="preserve">Unifying public sector agencies by repealing s117C of the </w:t>
      </w:r>
      <w:r w:rsidRPr="001F79B8">
        <w:rPr>
          <w:rFonts w:ascii="Arial" w:hAnsi="Arial" w:cs="Arial"/>
          <w:i/>
          <w:iCs/>
          <w:lang w:val="en-US"/>
        </w:rPr>
        <w:t>Fines Act 1996</w:t>
      </w:r>
      <w:r w:rsidRPr="001F79B8">
        <w:rPr>
          <w:rFonts w:ascii="Arial" w:hAnsi="Arial" w:cs="Arial"/>
          <w:lang w:val="en-US"/>
        </w:rPr>
        <w:t xml:space="preserve"> </w:t>
      </w:r>
      <w:r w:rsidR="5C8C15AC" w:rsidRPr="001F79B8">
        <w:rPr>
          <w:rFonts w:ascii="Arial" w:hAnsi="Arial" w:cs="Arial"/>
          <w:lang w:val="en-US"/>
        </w:rPr>
        <w:t xml:space="preserve">(NSW) </w:t>
      </w:r>
      <w:r w:rsidRPr="001F79B8">
        <w:rPr>
          <w:rFonts w:ascii="Arial" w:hAnsi="Arial" w:cs="Arial"/>
          <w:lang w:val="en-US"/>
        </w:rPr>
        <w:t>to ensure all are covered under the MNDB</w:t>
      </w:r>
      <w:r w:rsidR="7665F426" w:rsidRPr="001F79B8">
        <w:rPr>
          <w:rFonts w:ascii="Arial" w:hAnsi="Arial" w:cs="Arial"/>
          <w:lang w:val="en-US"/>
        </w:rPr>
        <w:t xml:space="preserve"> scheme</w:t>
      </w:r>
      <w:r w:rsidRPr="001F79B8">
        <w:rPr>
          <w:rFonts w:ascii="Arial" w:hAnsi="Arial" w:cs="Arial"/>
          <w:lang w:val="en-US"/>
        </w:rPr>
        <w:t>.</w:t>
      </w:r>
    </w:p>
    <w:p w14:paraId="252C5296" w14:textId="420675C2" w:rsidR="4CE9FAF3" w:rsidRPr="001F79B8" w:rsidRDefault="4CE9FAF3" w:rsidP="4CE9FAF3">
      <w:pPr>
        <w:pStyle w:val="ListParagraph"/>
        <w:spacing w:beforeAutospacing="1" w:after="0" w:line="240" w:lineRule="auto"/>
        <w:rPr>
          <w:rFonts w:ascii="Arial" w:hAnsi="Arial" w:cs="Arial"/>
          <w:lang w:val="en-US"/>
        </w:rPr>
      </w:pPr>
    </w:p>
    <w:p w14:paraId="69BA6A5B" w14:textId="041DB494" w:rsidR="00113315" w:rsidRPr="001F79B8" w:rsidRDefault="00113315" w:rsidP="4CE9FAF3">
      <w:pPr>
        <w:spacing w:before="100" w:beforeAutospacing="1" w:after="0" w:line="240" w:lineRule="auto"/>
        <w:rPr>
          <w:rFonts w:ascii="Arial" w:hAnsi="Arial" w:cs="Arial"/>
          <w:lang w:val="en-US"/>
        </w:rPr>
      </w:pPr>
      <w:r w:rsidRPr="001F79B8">
        <w:rPr>
          <w:rFonts w:ascii="Arial" w:hAnsi="Arial" w:cs="Arial"/>
          <w:lang w:val="en-US"/>
        </w:rPr>
        <w:t xml:space="preserve">These key changes ensure a comprehensive framework for handling data breaches exists for both private </w:t>
      </w:r>
      <w:proofErr w:type="spellStart"/>
      <w:r w:rsidRPr="001F79B8">
        <w:rPr>
          <w:rFonts w:ascii="Arial" w:hAnsi="Arial" w:cs="Arial"/>
          <w:lang w:val="en-US"/>
        </w:rPr>
        <w:t>organisations</w:t>
      </w:r>
      <w:proofErr w:type="spellEnd"/>
      <w:r w:rsidRPr="001F79B8">
        <w:rPr>
          <w:rFonts w:ascii="Arial" w:hAnsi="Arial" w:cs="Arial"/>
          <w:lang w:val="en-US"/>
        </w:rPr>
        <w:t xml:space="preserve"> and federal bodies</w:t>
      </w:r>
      <w:r w:rsidR="1ABE245E" w:rsidRPr="001F79B8">
        <w:rPr>
          <w:rFonts w:ascii="Arial" w:hAnsi="Arial" w:cs="Arial"/>
          <w:lang w:val="en-US"/>
        </w:rPr>
        <w:t>,</w:t>
      </w:r>
      <w:r w:rsidRPr="001F79B8">
        <w:rPr>
          <w:rFonts w:ascii="Arial" w:hAnsi="Arial" w:cs="Arial"/>
          <w:lang w:val="en-US"/>
        </w:rPr>
        <w:t xml:space="preserve"> as well as state-owned corporations in NSW.</w:t>
      </w:r>
    </w:p>
    <w:p w14:paraId="10444E70" w14:textId="701B1FFA" w:rsidR="4CE9FAF3" w:rsidRPr="001F79B8" w:rsidRDefault="4CE9FAF3" w:rsidP="4CE9FAF3">
      <w:pPr>
        <w:spacing w:beforeAutospacing="1" w:after="0" w:line="240" w:lineRule="auto"/>
        <w:rPr>
          <w:rFonts w:ascii="Arial" w:hAnsi="Arial" w:cs="Arial"/>
          <w:lang w:val="en-US"/>
        </w:rPr>
      </w:pPr>
    </w:p>
    <w:p w14:paraId="2F8F1035" w14:textId="423E10EE" w:rsidR="00113315" w:rsidRPr="001F79B8" w:rsidRDefault="00113315" w:rsidP="4CE9FAF3">
      <w:pPr>
        <w:pStyle w:val="ListParagraph"/>
        <w:numPr>
          <w:ilvl w:val="0"/>
          <w:numId w:val="10"/>
        </w:numPr>
        <w:spacing w:before="100" w:beforeAutospacing="1" w:after="0" w:line="240" w:lineRule="auto"/>
        <w:rPr>
          <w:rFonts w:ascii="Arial" w:hAnsi="Arial" w:cs="Arial"/>
          <w:b/>
          <w:bCs/>
          <w:lang w:val="en-US"/>
        </w:rPr>
      </w:pPr>
      <w:r w:rsidRPr="001F79B8">
        <w:rPr>
          <w:rFonts w:ascii="Arial" w:hAnsi="Arial" w:cs="Arial"/>
          <w:b/>
          <w:bCs/>
          <w:lang w:val="en-US"/>
        </w:rPr>
        <w:t>Examples of Breaches</w:t>
      </w:r>
    </w:p>
    <w:p w14:paraId="7760D6EF" w14:textId="78520F16" w:rsidR="4CE9FAF3" w:rsidRPr="001F79B8" w:rsidRDefault="4CE9FAF3" w:rsidP="4CE9FAF3">
      <w:pPr>
        <w:pStyle w:val="ListParagraph"/>
        <w:spacing w:beforeAutospacing="1" w:after="0" w:line="240" w:lineRule="auto"/>
        <w:ind w:left="1080"/>
        <w:rPr>
          <w:rFonts w:ascii="Arial" w:hAnsi="Arial" w:cs="Arial"/>
          <w:b/>
          <w:bCs/>
          <w:lang w:val="en-US"/>
        </w:rPr>
      </w:pPr>
    </w:p>
    <w:p w14:paraId="1E6D915B" w14:textId="66A89A57" w:rsidR="00113315" w:rsidRPr="001F79B8" w:rsidRDefault="00113315" w:rsidP="4CE9FAF3">
      <w:pPr>
        <w:spacing w:before="100" w:beforeAutospacing="1" w:after="0" w:line="240" w:lineRule="auto"/>
        <w:rPr>
          <w:rFonts w:ascii="Arial" w:hAnsi="Arial" w:cs="Arial"/>
          <w:lang w:val="en-US"/>
        </w:rPr>
      </w:pPr>
      <w:r w:rsidRPr="001F79B8">
        <w:rPr>
          <w:rFonts w:ascii="Arial" w:hAnsi="Arial" w:cs="Arial"/>
          <w:lang w:val="en-US"/>
        </w:rPr>
        <w:t>The Information and Privacy Commission (</w:t>
      </w:r>
      <w:r w:rsidRPr="001F79B8">
        <w:rPr>
          <w:rFonts w:ascii="Arial" w:hAnsi="Arial" w:cs="Arial"/>
          <w:b/>
          <w:bCs/>
          <w:lang w:val="en-US"/>
        </w:rPr>
        <w:t>IPC</w:t>
      </w:r>
      <w:r w:rsidRPr="001F79B8">
        <w:rPr>
          <w:rFonts w:ascii="Arial" w:hAnsi="Arial" w:cs="Arial"/>
          <w:lang w:val="en-US"/>
        </w:rPr>
        <w:t>) is the regulator within NSW for t</w:t>
      </w:r>
      <w:r w:rsidR="308D7CE6" w:rsidRPr="001F79B8">
        <w:rPr>
          <w:rFonts w:ascii="Arial" w:hAnsi="Arial" w:cs="Arial"/>
          <w:lang w:val="en-US"/>
        </w:rPr>
        <w:t>he MNDB scheme</w:t>
      </w:r>
      <w:r w:rsidRPr="001F79B8">
        <w:rPr>
          <w:rFonts w:ascii="Arial" w:hAnsi="Arial" w:cs="Arial"/>
          <w:lang w:val="en-US"/>
        </w:rPr>
        <w:t xml:space="preserve"> and they identify 3 areas to which public sector agencies (including NSW Police and local </w:t>
      </w:r>
      <w:r w:rsidR="0B187431" w:rsidRPr="001F79B8">
        <w:rPr>
          <w:rFonts w:ascii="Arial" w:hAnsi="Arial" w:cs="Arial"/>
          <w:lang w:val="en-US"/>
        </w:rPr>
        <w:t>c</w:t>
      </w:r>
      <w:r w:rsidRPr="001F79B8">
        <w:rPr>
          <w:rFonts w:ascii="Arial" w:hAnsi="Arial" w:cs="Arial"/>
          <w:lang w:val="en-US"/>
        </w:rPr>
        <w:t>ouncils) experience data breaches. They include:</w:t>
      </w:r>
    </w:p>
    <w:p w14:paraId="6C6E0A33" w14:textId="6818CF46" w:rsidR="00113315" w:rsidRPr="001F79B8" w:rsidRDefault="00113315" w:rsidP="4CE9FAF3">
      <w:pPr>
        <w:pStyle w:val="ListParagraph"/>
        <w:numPr>
          <w:ilvl w:val="0"/>
          <w:numId w:val="9"/>
        </w:numPr>
        <w:spacing w:before="100" w:beforeAutospacing="1" w:after="0" w:line="240" w:lineRule="auto"/>
        <w:rPr>
          <w:rFonts w:ascii="Arial" w:hAnsi="Arial" w:cs="Arial"/>
          <w:lang w:val="en-US"/>
        </w:rPr>
      </w:pPr>
      <w:r w:rsidRPr="001F79B8">
        <w:rPr>
          <w:rFonts w:ascii="Arial" w:hAnsi="Arial" w:cs="Arial"/>
          <w:lang w:val="en-US"/>
        </w:rPr>
        <w:t xml:space="preserve">Human </w:t>
      </w:r>
      <w:r w:rsidR="173F34D4" w:rsidRPr="001F79B8">
        <w:rPr>
          <w:rFonts w:ascii="Arial" w:hAnsi="Arial" w:cs="Arial"/>
          <w:lang w:val="en-US"/>
        </w:rPr>
        <w:t>e</w:t>
      </w:r>
      <w:r w:rsidRPr="001F79B8">
        <w:rPr>
          <w:rFonts w:ascii="Arial" w:hAnsi="Arial" w:cs="Arial"/>
          <w:lang w:val="en-US"/>
        </w:rPr>
        <w:t>rror – for example a letter or email is sent to the incorrect recipient or an employee loses their laptop in a public space.</w:t>
      </w:r>
    </w:p>
    <w:p w14:paraId="548A44EE" w14:textId="28DF6963" w:rsidR="00113315" w:rsidRPr="001F79B8" w:rsidRDefault="00113315" w:rsidP="4CE9FAF3">
      <w:pPr>
        <w:pStyle w:val="ListParagraph"/>
        <w:numPr>
          <w:ilvl w:val="0"/>
          <w:numId w:val="9"/>
        </w:numPr>
        <w:spacing w:before="100" w:beforeAutospacing="1" w:after="0" w:line="240" w:lineRule="auto"/>
        <w:rPr>
          <w:rFonts w:ascii="Arial" w:hAnsi="Arial" w:cs="Arial"/>
          <w:lang w:val="en-US"/>
        </w:rPr>
      </w:pPr>
      <w:r w:rsidRPr="001F79B8">
        <w:rPr>
          <w:rFonts w:ascii="Arial" w:hAnsi="Arial" w:cs="Arial"/>
          <w:lang w:val="en-US"/>
        </w:rPr>
        <w:t xml:space="preserve">System </w:t>
      </w:r>
      <w:r w:rsidR="0DDF5C6F" w:rsidRPr="001F79B8">
        <w:rPr>
          <w:rFonts w:ascii="Arial" w:hAnsi="Arial" w:cs="Arial"/>
          <w:lang w:val="en-US"/>
        </w:rPr>
        <w:t>f</w:t>
      </w:r>
      <w:r w:rsidRPr="001F79B8">
        <w:rPr>
          <w:rFonts w:ascii="Arial" w:hAnsi="Arial" w:cs="Arial"/>
          <w:lang w:val="en-US"/>
        </w:rPr>
        <w:t xml:space="preserve">ailure – for example no authentication is needed </w:t>
      </w:r>
      <w:r w:rsidR="7FF467D9" w:rsidRPr="001F79B8">
        <w:rPr>
          <w:rFonts w:ascii="Arial" w:hAnsi="Arial" w:cs="Arial"/>
          <w:lang w:val="en-US"/>
        </w:rPr>
        <w:t>for</w:t>
      </w:r>
      <w:r w:rsidRPr="001F79B8">
        <w:rPr>
          <w:rFonts w:ascii="Arial" w:hAnsi="Arial" w:cs="Arial"/>
          <w:lang w:val="en-US"/>
        </w:rPr>
        <w:t xml:space="preserve"> systems containing confidential information or system automates workflows and redirects them to other users.</w:t>
      </w:r>
    </w:p>
    <w:p w14:paraId="578348C8" w14:textId="4760B938" w:rsidR="00113315" w:rsidRPr="001F79B8" w:rsidRDefault="00113315" w:rsidP="4CE9FAF3">
      <w:pPr>
        <w:pStyle w:val="ListParagraph"/>
        <w:numPr>
          <w:ilvl w:val="0"/>
          <w:numId w:val="9"/>
        </w:numPr>
        <w:spacing w:before="100" w:beforeAutospacing="1" w:after="0" w:line="240" w:lineRule="auto"/>
        <w:rPr>
          <w:rFonts w:ascii="Arial" w:hAnsi="Arial" w:cs="Arial"/>
          <w:lang w:val="en-US"/>
        </w:rPr>
      </w:pPr>
      <w:r w:rsidRPr="001F79B8">
        <w:rPr>
          <w:rFonts w:ascii="Arial" w:hAnsi="Arial" w:cs="Arial"/>
          <w:lang w:val="en-US"/>
        </w:rPr>
        <w:t xml:space="preserve">Malicious or </w:t>
      </w:r>
      <w:r w:rsidR="52B6B62E" w:rsidRPr="001F79B8">
        <w:rPr>
          <w:rFonts w:ascii="Arial" w:hAnsi="Arial" w:cs="Arial"/>
          <w:lang w:val="en-US"/>
        </w:rPr>
        <w:t>c</w:t>
      </w:r>
      <w:r w:rsidRPr="001F79B8">
        <w:rPr>
          <w:rFonts w:ascii="Arial" w:hAnsi="Arial" w:cs="Arial"/>
          <w:lang w:val="en-US"/>
        </w:rPr>
        <w:t xml:space="preserve">riminal </w:t>
      </w:r>
      <w:r w:rsidR="60722620" w:rsidRPr="001F79B8">
        <w:rPr>
          <w:rFonts w:ascii="Arial" w:hAnsi="Arial" w:cs="Arial"/>
          <w:lang w:val="en-US"/>
        </w:rPr>
        <w:t>a</w:t>
      </w:r>
      <w:r w:rsidRPr="001F79B8">
        <w:rPr>
          <w:rFonts w:ascii="Arial" w:hAnsi="Arial" w:cs="Arial"/>
          <w:lang w:val="en-US"/>
        </w:rPr>
        <w:t>ttack – for example malware, hacking</w:t>
      </w:r>
      <w:r w:rsidR="16047516" w:rsidRPr="001F79B8">
        <w:rPr>
          <w:rFonts w:ascii="Arial" w:hAnsi="Arial" w:cs="Arial"/>
          <w:lang w:val="en-US"/>
        </w:rPr>
        <w:t xml:space="preserve"> and </w:t>
      </w:r>
      <w:r w:rsidRPr="001F79B8">
        <w:rPr>
          <w:rFonts w:ascii="Arial" w:hAnsi="Arial" w:cs="Arial"/>
          <w:lang w:val="en-US"/>
        </w:rPr>
        <w:t>phishing</w:t>
      </w:r>
      <w:r w:rsidR="5F199289" w:rsidRPr="001F79B8">
        <w:rPr>
          <w:rFonts w:ascii="Arial" w:hAnsi="Arial" w:cs="Arial"/>
          <w:lang w:val="en-US"/>
        </w:rPr>
        <w:t>.</w:t>
      </w:r>
      <w:r w:rsidRPr="001F79B8">
        <w:rPr>
          <w:rFonts w:ascii="Arial" w:hAnsi="Arial" w:cs="Arial"/>
        </w:rPr>
        <w:br/>
      </w:r>
    </w:p>
    <w:p w14:paraId="628C1731" w14:textId="3020D8D7" w:rsidR="00113315" w:rsidRPr="001F79B8" w:rsidRDefault="00113315" w:rsidP="4CE9FAF3">
      <w:pPr>
        <w:spacing w:beforeAutospacing="1" w:after="0" w:line="240" w:lineRule="auto"/>
        <w:rPr>
          <w:rFonts w:ascii="Arial" w:hAnsi="Arial" w:cs="Arial"/>
          <w:lang w:val="en-US"/>
        </w:rPr>
      </w:pPr>
      <w:r w:rsidRPr="001F79B8">
        <w:rPr>
          <w:rFonts w:ascii="Arial" w:hAnsi="Arial" w:cs="Arial"/>
          <w:lang w:val="en-US"/>
        </w:rPr>
        <w:t xml:space="preserve">Due to the MNDB </w:t>
      </w:r>
      <w:r w:rsidR="3E5EC222" w:rsidRPr="001F79B8">
        <w:rPr>
          <w:rFonts w:ascii="Arial" w:hAnsi="Arial" w:cs="Arial"/>
          <w:lang w:val="en-US"/>
        </w:rPr>
        <w:t>s</w:t>
      </w:r>
      <w:r w:rsidRPr="001F79B8">
        <w:rPr>
          <w:rFonts w:ascii="Arial" w:hAnsi="Arial" w:cs="Arial"/>
          <w:lang w:val="en-US"/>
        </w:rPr>
        <w:t>cheme only being introduced 10 months ago, there are very few reported cases of eligible breaches and no annual data reportable by the IPC in terms of trends, recommendations or themes within the sector. Comparatively, the O</w:t>
      </w:r>
      <w:r w:rsidR="5E4F9A31" w:rsidRPr="001F79B8">
        <w:rPr>
          <w:rFonts w:ascii="Arial" w:hAnsi="Arial" w:cs="Arial"/>
          <w:lang w:val="en-US"/>
        </w:rPr>
        <w:t>AI</w:t>
      </w:r>
      <w:r w:rsidRPr="001F79B8">
        <w:rPr>
          <w:rFonts w:ascii="Arial" w:hAnsi="Arial" w:cs="Arial"/>
          <w:lang w:val="en-US"/>
        </w:rPr>
        <w:t xml:space="preserve">C reported 67% of data breaches were criminal/malicious attacks for the last reported period (July-December 2023). Health service providers were the highest reporter of breaches with 104 being recorded, compared to the </w:t>
      </w:r>
      <w:r w:rsidR="6FDAEC81" w:rsidRPr="001F79B8">
        <w:rPr>
          <w:rFonts w:ascii="Arial" w:hAnsi="Arial" w:cs="Arial"/>
          <w:lang w:val="en-US"/>
        </w:rPr>
        <w:t>f</w:t>
      </w:r>
      <w:r w:rsidRPr="001F79B8">
        <w:rPr>
          <w:rFonts w:ascii="Arial" w:hAnsi="Arial" w:cs="Arial"/>
          <w:lang w:val="en-US"/>
        </w:rPr>
        <w:t>inance industry w</w:t>
      </w:r>
      <w:r w:rsidR="1D9BE164" w:rsidRPr="001F79B8">
        <w:rPr>
          <w:rFonts w:ascii="Arial" w:hAnsi="Arial" w:cs="Arial"/>
          <w:lang w:val="en-US"/>
        </w:rPr>
        <w:t>hich was the next highest reporter</w:t>
      </w:r>
      <w:r w:rsidRPr="001F79B8">
        <w:rPr>
          <w:rFonts w:ascii="Arial" w:hAnsi="Arial" w:cs="Arial"/>
          <w:lang w:val="en-US"/>
        </w:rPr>
        <w:t xml:space="preserve"> with 49 breaches. Such data will assist state agencies in management processes and sector trends to safeguard against breaches.</w:t>
      </w:r>
    </w:p>
    <w:p w14:paraId="33629A47" w14:textId="77777777" w:rsidR="00113315" w:rsidRPr="001F79B8" w:rsidRDefault="00113315" w:rsidP="00E50B19">
      <w:pPr>
        <w:spacing w:before="100" w:beforeAutospacing="1" w:after="0" w:line="240" w:lineRule="auto"/>
        <w:rPr>
          <w:rFonts w:ascii="Arial" w:hAnsi="Arial" w:cs="Arial"/>
          <w:lang w:val="en-US"/>
        </w:rPr>
      </w:pPr>
    </w:p>
    <w:p w14:paraId="68C569B6" w14:textId="77777777" w:rsidR="00113315" w:rsidRPr="001F79B8" w:rsidRDefault="00113315" w:rsidP="4CE9FAF3">
      <w:pPr>
        <w:pStyle w:val="ListParagraph"/>
        <w:numPr>
          <w:ilvl w:val="0"/>
          <w:numId w:val="10"/>
        </w:numPr>
        <w:spacing w:before="100" w:beforeAutospacing="1" w:after="0" w:line="240" w:lineRule="auto"/>
        <w:rPr>
          <w:rFonts w:ascii="Arial" w:hAnsi="Arial" w:cs="Arial"/>
          <w:b/>
          <w:bCs/>
          <w:lang w:val="en-US"/>
        </w:rPr>
      </w:pPr>
      <w:r w:rsidRPr="001F79B8">
        <w:rPr>
          <w:rFonts w:ascii="Arial" w:hAnsi="Arial" w:cs="Arial"/>
          <w:b/>
          <w:bCs/>
          <w:lang w:val="en-US"/>
        </w:rPr>
        <w:t>3-tier process in determining eligible breaches</w:t>
      </w:r>
    </w:p>
    <w:p w14:paraId="3240F3D5" w14:textId="331B2615" w:rsidR="4CE9FAF3" w:rsidRPr="001F79B8" w:rsidRDefault="4CE9FAF3" w:rsidP="4CE9FAF3">
      <w:pPr>
        <w:pStyle w:val="ListParagraph"/>
        <w:spacing w:beforeAutospacing="1" w:after="0" w:line="240" w:lineRule="auto"/>
        <w:ind w:left="1080"/>
        <w:rPr>
          <w:rFonts w:ascii="Arial" w:hAnsi="Arial" w:cs="Arial"/>
          <w:b/>
          <w:bCs/>
          <w:lang w:val="en-US"/>
        </w:rPr>
      </w:pPr>
    </w:p>
    <w:p w14:paraId="787555BD" w14:textId="7685E280" w:rsidR="00113315" w:rsidRPr="001F79B8" w:rsidRDefault="00113315" w:rsidP="4CE9FAF3">
      <w:pPr>
        <w:spacing w:before="100" w:beforeAutospacing="1" w:after="0" w:line="240" w:lineRule="auto"/>
        <w:rPr>
          <w:rFonts w:ascii="Arial" w:hAnsi="Arial" w:cs="Arial"/>
          <w:lang w:val="en-US"/>
        </w:rPr>
      </w:pPr>
      <w:r w:rsidRPr="001F79B8">
        <w:rPr>
          <w:rFonts w:ascii="Arial" w:hAnsi="Arial" w:cs="Arial"/>
          <w:lang w:val="en-US"/>
        </w:rPr>
        <w:t xml:space="preserve">Not every data breach that occurs falls under the MNDB </w:t>
      </w:r>
      <w:r w:rsidR="1E8695F7" w:rsidRPr="001F79B8">
        <w:rPr>
          <w:rFonts w:ascii="Arial" w:hAnsi="Arial" w:cs="Arial"/>
          <w:lang w:val="en-US"/>
        </w:rPr>
        <w:t>s</w:t>
      </w:r>
      <w:r w:rsidRPr="001F79B8">
        <w:rPr>
          <w:rFonts w:ascii="Arial" w:hAnsi="Arial" w:cs="Arial"/>
          <w:lang w:val="en-US"/>
        </w:rPr>
        <w:t>cheme</w:t>
      </w:r>
      <w:r w:rsidR="14276D83" w:rsidRPr="001F79B8">
        <w:rPr>
          <w:rFonts w:ascii="Arial" w:hAnsi="Arial" w:cs="Arial"/>
          <w:lang w:val="en-US"/>
        </w:rPr>
        <w:t>, as</w:t>
      </w:r>
      <w:r w:rsidRPr="001F79B8">
        <w:rPr>
          <w:rFonts w:ascii="Arial" w:hAnsi="Arial" w:cs="Arial"/>
          <w:lang w:val="en-US"/>
        </w:rPr>
        <w:t xml:space="preserve"> s</w:t>
      </w:r>
      <w:r w:rsidR="7CF19932" w:rsidRPr="001F79B8">
        <w:rPr>
          <w:rFonts w:ascii="Arial" w:hAnsi="Arial" w:cs="Arial"/>
          <w:lang w:val="en-US"/>
        </w:rPr>
        <w:t xml:space="preserve"> </w:t>
      </w:r>
      <w:r w:rsidRPr="001F79B8">
        <w:rPr>
          <w:rFonts w:ascii="Arial" w:hAnsi="Arial" w:cs="Arial"/>
          <w:lang w:val="en-US"/>
        </w:rPr>
        <w:t xml:space="preserve">59L(2) of PPIP Act provides that only eligible breaches are captured under this scheme. </w:t>
      </w:r>
      <w:r w:rsidR="08D3125B" w:rsidRPr="001F79B8">
        <w:rPr>
          <w:rFonts w:ascii="Arial" w:hAnsi="Arial" w:cs="Arial"/>
          <w:lang w:val="en-US"/>
        </w:rPr>
        <w:t>To</w:t>
      </w:r>
      <w:r w:rsidRPr="001F79B8">
        <w:rPr>
          <w:rFonts w:ascii="Arial" w:hAnsi="Arial" w:cs="Arial"/>
          <w:lang w:val="en-US"/>
        </w:rPr>
        <w:t xml:space="preserve"> determine an eligible breach, regard must be given to s</w:t>
      </w:r>
      <w:r w:rsidR="0064F8B0" w:rsidRPr="001F79B8">
        <w:rPr>
          <w:rFonts w:ascii="Arial" w:hAnsi="Arial" w:cs="Arial"/>
          <w:lang w:val="en-US"/>
        </w:rPr>
        <w:t xml:space="preserve"> </w:t>
      </w:r>
      <w:r w:rsidRPr="001F79B8">
        <w:rPr>
          <w:rFonts w:ascii="Arial" w:hAnsi="Arial" w:cs="Arial"/>
          <w:lang w:val="en-US"/>
        </w:rPr>
        <w:t>59D(1) in that:</w:t>
      </w:r>
    </w:p>
    <w:p w14:paraId="48671FB5" w14:textId="4DC70CBC" w:rsidR="00113315" w:rsidRPr="001F79B8" w:rsidRDefault="00113315" w:rsidP="4CE9FAF3">
      <w:pPr>
        <w:pStyle w:val="ListParagraph"/>
        <w:numPr>
          <w:ilvl w:val="0"/>
          <w:numId w:val="8"/>
        </w:numPr>
        <w:spacing w:before="100" w:beforeAutospacing="1" w:after="0" w:line="240" w:lineRule="auto"/>
        <w:rPr>
          <w:rFonts w:ascii="Arial" w:hAnsi="Arial" w:cs="Arial"/>
          <w:lang w:val="en-US"/>
        </w:rPr>
      </w:pPr>
      <w:r w:rsidRPr="001F79B8">
        <w:rPr>
          <w:rFonts w:ascii="Arial" w:hAnsi="Arial" w:cs="Arial"/>
          <w:lang w:val="en-US"/>
        </w:rPr>
        <w:t xml:space="preserve">Information held by a public sector agency has been unlawfully accessed, disclosed or lost (either internally or externally); </w:t>
      </w:r>
    </w:p>
    <w:p w14:paraId="373839E5" w14:textId="52C3B71E" w:rsidR="00113315" w:rsidRPr="001F79B8" w:rsidRDefault="00113315" w:rsidP="4CE9FAF3">
      <w:pPr>
        <w:pStyle w:val="ListParagraph"/>
        <w:numPr>
          <w:ilvl w:val="0"/>
          <w:numId w:val="8"/>
        </w:numPr>
        <w:spacing w:before="100" w:beforeAutospacing="1" w:after="0" w:line="240" w:lineRule="auto"/>
        <w:rPr>
          <w:rFonts w:ascii="Arial" w:hAnsi="Arial" w:cs="Arial"/>
          <w:lang w:val="en-US"/>
        </w:rPr>
      </w:pPr>
      <w:r w:rsidRPr="001F79B8">
        <w:rPr>
          <w:rFonts w:ascii="Arial" w:hAnsi="Arial" w:cs="Arial"/>
          <w:lang w:val="en-US"/>
        </w:rPr>
        <w:t>That information was/is considered personal information (s</w:t>
      </w:r>
      <w:r w:rsidR="52718BB9" w:rsidRPr="001F79B8">
        <w:rPr>
          <w:rFonts w:ascii="Arial" w:hAnsi="Arial" w:cs="Arial"/>
          <w:lang w:val="en-US"/>
        </w:rPr>
        <w:t xml:space="preserve"> </w:t>
      </w:r>
      <w:r w:rsidRPr="001F79B8">
        <w:rPr>
          <w:rFonts w:ascii="Arial" w:hAnsi="Arial" w:cs="Arial"/>
          <w:lang w:val="en-US"/>
        </w:rPr>
        <w:t>59</w:t>
      </w:r>
      <w:r w:rsidR="1B7A0250" w:rsidRPr="001F79B8">
        <w:rPr>
          <w:rFonts w:ascii="Arial" w:hAnsi="Arial" w:cs="Arial"/>
          <w:lang w:val="en-US"/>
        </w:rPr>
        <w:t>B)</w:t>
      </w:r>
      <w:r w:rsidRPr="001F79B8">
        <w:rPr>
          <w:rFonts w:ascii="Arial" w:hAnsi="Arial" w:cs="Arial"/>
          <w:lang w:val="en-US"/>
        </w:rPr>
        <w:t>; and</w:t>
      </w:r>
    </w:p>
    <w:p w14:paraId="38FA6259" w14:textId="58C966DC" w:rsidR="00113315" w:rsidRPr="001F79B8" w:rsidRDefault="00113315" w:rsidP="4CE9FAF3">
      <w:pPr>
        <w:pStyle w:val="ListParagraph"/>
        <w:numPr>
          <w:ilvl w:val="0"/>
          <w:numId w:val="8"/>
        </w:numPr>
        <w:spacing w:before="100" w:beforeAutospacing="1" w:after="0" w:line="240" w:lineRule="auto"/>
        <w:rPr>
          <w:rFonts w:ascii="Arial" w:hAnsi="Arial" w:cs="Arial"/>
          <w:lang w:val="en-US"/>
        </w:rPr>
      </w:pPr>
      <w:r w:rsidRPr="001F79B8">
        <w:rPr>
          <w:rFonts w:ascii="Arial" w:hAnsi="Arial" w:cs="Arial"/>
          <w:lang w:val="en-US"/>
        </w:rPr>
        <w:t>The data breach would likely result in serious harm for the individual to whom the information relates (s59D(1)(a) and s59D(1)(b)(ii))</w:t>
      </w:r>
      <w:r w:rsidR="6D40BDC8" w:rsidRPr="001F79B8">
        <w:rPr>
          <w:rFonts w:ascii="Arial" w:hAnsi="Arial" w:cs="Arial"/>
          <w:lang w:val="en-US"/>
        </w:rPr>
        <w:t>.</w:t>
      </w:r>
    </w:p>
    <w:p w14:paraId="0311E98D" w14:textId="0E610E19" w:rsidR="00113315" w:rsidRPr="001F79B8" w:rsidRDefault="00113315" w:rsidP="4CE9FAF3">
      <w:pPr>
        <w:pStyle w:val="ListParagraph"/>
        <w:spacing w:before="100" w:beforeAutospacing="1" w:after="0" w:line="240" w:lineRule="auto"/>
        <w:rPr>
          <w:rFonts w:ascii="Arial" w:hAnsi="Arial" w:cs="Arial"/>
          <w:lang w:val="en-US"/>
        </w:rPr>
      </w:pPr>
      <w:r w:rsidRPr="001F79B8">
        <w:rPr>
          <w:rFonts w:ascii="Arial" w:hAnsi="Arial" w:cs="Arial"/>
          <w:lang w:val="en-US"/>
        </w:rPr>
        <w:t xml:space="preserve"> </w:t>
      </w:r>
    </w:p>
    <w:p w14:paraId="2FCEBCB9" w14:textId="10726167" w:rsidR="4CE9FAF3" w:rsidRPr="001F79B8" w:rsidRDefault="00113315" w:rsidP="00977377">
      <w:pPr>
        <w:spacing w:before="100" w:beforeAutospacing="1" w:after="0" w:line="240" w:lineRule="auto"/>
        <w:rPr>
          <w:rFonts w:ascii="Arial" w:hAnsi="Arial" w:cs="Arial"/>
          <w:lang w:val="en-US"/>
        </w:rPr>
      </w:pPr>
      <w:r w:rsidRPr="001F79B8">
        <w:rPr>
          <w:rFonts w:ascii="Arial" w:hAnsi="Arial" w:cs="Arial"/>
          <w:lang w:val="en-US"/>
        </w:rPr>
        <w:t>An agency</w:t>
      </w:r>
      <w:r w:rsidR="743035A8" w:rsidRPr="001F79B8">
        <w:rPr>
          <w:rFonts w:ascii="Arial" w:hAnsi="Arial" w:cs="Arial"/>
          <w:lang w:val="en-US"/>
        </w:rPr>
        <w:t xml:space="preserve"> that</w:t>
      </w:r>
      <w:r w:rsidRPr="001F79B8">
        <w:rPr>
          <w:rFonts w:ascii="Arial" w:hAnsi="Arial" w:cs="Arial"/>
          <w:lang w:val="en-US"/>
        </w:rPr>
        <w:t xml:space="preserve"> has a suspected eligible data breach reported to it has 30 days to conduct an assessment to determine if an eligible breach occurred. This is achieved by having an assessor appointed (s</w:t>
      </w:r>
      <w:r w:rsidR="740415A8" w:rsidRPr="001F79B8">
        <w:rPr>
          <w:rFonts w:ascii="Arial" w:hAnsi="Arial" w:cs="Arial"/>
          <w:lang w:val="en-US"/>
        </w:rPr>
        <w:t xml:space="preserve"> </w:t>
      </w:r>
      <w:r w:rsidRPr="001F79B8">
        <w:rPr>
          <w:rFonts w:ascii="Arial" w:hAnsi="Arial" w:cs="Arial"/>
          <w:lang w:val="en-US"/>
        </w:rPr>
        <w:t>59G) and relevant factors being considered (s</w:t>
      </w:r>
      <w:r w:rsidR="2F3B38A4" w:rsidRPr="001F79B8">
        <w:rPr>
          <w:rFonts w:ascii="Arial" w:hAnsi="Arial" w:cs="Arial"/>
          <w:lang w:val="en-US"/>
        </w:rPr>
        <w:t xml:space="preserve"> </w:t>
      </w:r>
      <w:r w:rsidRPr="001F79B8">
        <w:rPr>
          <w:rFonts w:ascii="Arial" w:hAnsi="Arial" w:cs="Arial"/>
          <w:lang w:val="en-US"/>
        </w:rPr>
        <w:t>59H) such as to who</w:t>
      </w:r>
      <w:r w:rsidR="54E2FD09" w:rsidRPr="001F79B8">
        <w:rPr>
          <w:rFonts w:ascii="Arial" w:hAnsi="Arial" w:cs="Arial"/>
          <w:lang w:val="en-US"/>
        </w:rPr>
        <w:t>m</w:t>
      </w:r>
      <w:r w:rsidRPr="001F79B8">
        <w:rPr>
          <w:rFonts w:ascii="Arial" w:hAnsi="Arial" w:cs="Arial"/>
          <w:lang w:val="en-US"/>
        </w:rPr>
        <w:t xml:space="preserve"> the information</w:t>
      </w:r>
      <w:r w:rsidR="7864ED5A" w:rsidRPr="001F79B8">
        <w:rPr>
          <w:rFonts w:ascii="Arial" w:hAnsi="Arial" w:cs="Arial"/>
          <w:lang w:val="en-US"/>
        </w:rPr>
        <w:t xml:space="preserve"> was</w:t>
      </w:r>
      <w:r w:rsidRPr="001F79B8">
        <w:rPr>
          <w:rFonts w:ascii="Arial" w:hAnsi="Arial" w:cs="Arial"/>
          <w:lang w:val="en-US"/>
        </w:rPr>
        <w:t xml:space="preserve"> released and how long</w:t>
      </w:r>
      <w:r w:rsidR="5535CDCE" w:rsidRPr="001F79B8">
        <w:rPr>
          <w:rFonts w:ascii="Arial" w:hAnsi="Arial" w:cs="Arial"/>
          <w:lang w:val="en-US"/>
        </w:rPr>
        <w:t xml:space="preserve"> they have had access to it. </w:t>
      </w:r>
    </w:p>
    <w:p w14:paraId="7429E345" w14:textId="622937CD" w:rsidR="00113315" w:rsidRPr="001F79B8" w:rsidRDefault="00113315" w:rsidP="4CE9FAF3">
      <w:pPr>
        <w:spacing w:before="100" w:beforeAutospacing="1" w:after="0" w:line="240" w:lineRule="auto"/>
        <w:rPr>
          <w:rFonts w:ascii="Arial" w:hAnsi="Arial" w:cs="Arial"/>
          <w:lang w:val="en-US"/>
        </w:rPr>
      </w:pPr>
      <w:r w:rsidRPr="001F79B8">
        <w:rPr>
          <w:rFonts w:ascii="Arial" w:hAnsi="Arial" w:cs="Arial"/>
          <w:lang w:val="en-US"/>
        </w:rPr>
        <w:t>If an eligible breach has occurred, agencies must notify the Information Commissioner immediately (s</w:t>
      </w:r>
      <w:r w:rsidR="5C242272" w:rsidRPr="001F79B8">
        <w:rPr>
          <w:rFonts w:ascii="Arial" w:hAnsi="Arial" w:cs="Arial"/>
          <w:lang w:val="en-US"/>
        </w:rPr>
        <w:t xml:space="preserve"> </w:t>
      </w:r>
      <w:r w:rsidRPr="001F79B8">
        <w:rPr>
          <w:rFonts w:ascii="Arial" w:hAnsi="Arial" w:cs="Arial"/>
          <w:lang w:val="en-US"/>
        </w:rPr>
        <w:t>59M) and the individual concerned (as soon as reasonably practical (s</w:t>
      </w:r>
      <w:r w:rsidR="1AD97657" w:rsidRPr="001F79B8">
        <w:rPr>
          <w:rFonts w:ascii="Arial" w:hAnsi="Arial" w:cs="Arial"/>
          <w:lang w:val="en-US"/>
        </w:rPr>
        <w:t xml:space="preserve"> </w:t>
      </w:r>
      <w:r w:rsidRPr="001F79B8">
        <w:rPr>
          <w:rFonts w:ascii="Arial" w:hAnsi="Arial" w:cs="Arial"/>
          <w:lang w:val="en-US"/>
        </w:rPr>
        <w:t xml:space="preserve">59N)). Penalties could </w:t>
      </w:r>
      <w:r w:rsidR="1A3A3E92" w:rsidRPr="001F79B8">
        <w:rPr>
          <w:rFonts w:ascii="Arial" w:hAnsi="Arial" w:cs="Arial"/>
          <w:lang w:val="en-US"/>
        </w:rPr>
        <w:t>be up</w:t>
      </w:r>
      <w:r w:rsidRPr="001F79B8">
        <w:rPr>
          <w:rFonts w:ascii="Arial" w:hAnsi="Arial" w:cs="Arial"/>
          <w:lang w:val="en-US"/>
        </w:rPr>
        <w:t xml:space="preserve"> to $40,000 if the matter is decided in the NSW Civil and Administrative Tribunal. </w:t>
      </w:r>
    </w:p>
    <w:p w14:paraId="0600BC84" w14:textId="77777777" w:rsidR="00113315" w:rsidRPr="001F79B8" w:rsidRDefault="00113315" w:rsidP="00E50B19">
      <w:pPr>
        <w:spacing w:before="100" w:beforeAutospacing="1" w:after="0" w:line="240" w:lineRule="auto"/>
        <w:rPr>
          <w:rFonts w:ascii="Arial" w:hAnsi="Arial" w:cs="Arial"/>
          <w:lang w:val="en-US"/>
        </w:rPr>
      </w:pPr>
    </w:p>
    <w:p w14:paraId="654CBD89" w14:textId="51F4B201" w:rsidR="00113315" w:rsidRPr="001F79B8" w:rsidRDefault="00A86AB0" w:rsidP="00E50B19">
      <w:pPr>
        <w:pStyle w:val="ListParagraph"/>
        <w:numPr>
          <w:ilvl w:val="0"/>
          <w:numId w:val="10"/>
        </w:numPr>
        <w:spacing w:before="100" w:beforeAutospacing="1" w:after="0" w:line="240" w:lineRule="auto"/>
        <w:rPr>
          <w:rFonts w:ascii="Arial" w:hAnsi="Arial" w:cs="Arial"/>
          <w:b/>
          <w:bCs/>
          <w:lang w:val="en-US"/>
        </w:rPr>
      </w:pPr>
      <w:r w:rsidRPr="001F79B8">
        <w:rPr>
          <w:rFonts w:ascii="Arial" w:hAnsi="Arial" w:cs="Arial"/>
          <w:b/>
          <w:bCs/>
          <w:lang w:val="en-US"/>
        </w:rPr>
        <w:lastRenderedPageBreak/>
        <w:t xml:space="preserve">Who has responsibility under the NSW scheme? </w:t>
      </w:r>
    </w:p>
    <w:p w14:paraId="7EB0CC0B" w14:textId="08EE7C72" w:rsidR="4CE9FAF3" w:rsidRPr="001F79B8" w:rsidRDefault="4CE9FAF3" w:rsidP="4CE9FAF3">
      <w:pPr>
        <w:pStyle w:val="ListParagraph"/>
        <w:spacing w:beforeAutospacing="1" w:after="0" w:line="240" w:lineRule="auto"/>
        <w:ind w:left="1080"/>
        <w:rPr>
          <w:rFonts w:ascii="Arial" w:hAnsi="Arial" w:cs="Arial"/>
          <w:b/>
          <w:bCs/>
          <w:lang w:val="en-US"/>
        </w:rPr>
      </w:pPr>
    </w:p>
    <w:p w14:paraId="18ED7614" w14:textId="48623D99" w:rsidR="4CE9FAF3" w:rsidRPr="001F79B8" w:rsidRDefault="00113315" w:rsidP="00977377">
      <w:pPr>
        <w:spacing w:before="100" w:beforeAutospacing="1" w:after="0" w:line="240" w:lineRule="auto"/>
        <w:rPr>
          <w:rFonts w:ascii="Arial" w:hAnsi="Arial" w:cs="Arial"/>
          <w:lang w:val="en-US"/>
        </w:rPr>
      </w:pPr>
      <w:r w:rsidRPr="001F79B8">
        <w:rPr>
          <w:rFonts w:ascii="Arial" w:hAnsi="Arial" w:cs="Arial"/>
          <w:lang w:val="en-US"/>
        </w:rPr>
        <w:t>Agencies that hold personal information have a legislative responsibility to protect that information in accordance with the Information Protection Principles (</w:t>
      </w:r>
      <w:r w:rsidRPr="001F79B8">
        <w:rPr>
          <w:rFonts w:ascii="Arial" w:hAnsi="Arial" w:cs="Arial"/>
          <w:b/>
          <w:bCs/>
          <w:lang w:val="en-US"/>
        </w:rPr>
        <w:t>IPPs</w:t>
      </w:r>
      <w:r w:rsidRPr="001F79B8">
        <w:rPr>
          <w:rFonts w:ascii="Arial" w:hAnsi="Arial" w:cs="Arial"/>
          <w:lang w:val="en-US"/>
        </w:rPr>
        <w:t>) in Part 2 of the PPIP Act. As such, when an eligible breach occurs, all reasonable efforts must be made to contain the breach and mitigate the harm suffered.</w:t>
      </w:r>
    </w:p>
    <w:p w14:paraId="4B64E7D1" w14:textId="0B626017" w:rsidR="4CE9FAF3" w:rsidRPr="001F79B8" w:rsidRDefault="00113315" w:rsidP="00F526EC">
      <w:pPr>
        <w:spacing w:before="100" w:beforeAutospacing="1" w:after="0" w:line="240" w:lineRule="auto"/>
        <w:rPr>
          <w:rFonts w:ascii="Arial" w:hAnsi="Arial" w:cs="Arial"/>
          <w:lang w:val="en-US"/>
        </w:rPr>
      </w:pPr>
      <w:r w:rsidRPr="001F79B8">
        <w:rPr>
          <w:rFonts w:ascii="Arial" w:hAnsi="Arial" w:cs="Arial"/>
          <w:lang w:val="en-US"/>
        </w:rPr>
        <w:t xml:space="preserve">Agencies are required to have a Data Breach Policy </w:t>
      </w:r>
      <w:r w:rsidR="2DCE31F4" w:rsidRPr="001F79B8">
        <w:rPr>
          <w:rFonts w:ascii="Arial" w:hAnsi="Arial" w:cs="Arial"/>
          <w:lang w:val="en-US"/>
        </w:rPr>
        <w:t xml:space="preserve">that </w:t>
      </w:r>
      <w:r w:rsidRPr="001F79B8">
        <w:rPr>
          <w:rFonts w:ascii="Arial" w:hAnsi="Arial" w:cs="Arial"/>
          <w:lang w:val="en-US"/>
        </w:rPr>
        <w:t xml:space="preserve">outlines how they intend to address data breaches within their </w:t>
      </w:r>
      <w:proofErr w:type="spellStart"/>
      <w:r w:rsidRPr="001F79B8">
        <w:rPr>
          <w:rFonts w:ascii="Arial" w:hAnsi="Arial" w:cs="Arial"/>
          <w:lang w:val="en-US"/>
        </w:rPr>
        <w:t>organisation</w:t>
      </w:r>
      <w:proofErr w:type="spellEnd"/>
      <w:r w:rsidRPr="001F79B8">
        <w:rPr>
          <w:rFonts w:ascii="Arial" w:hAnsi="Arial" w:cs="Arial"/>
          <w:lang w:val="en-US"/>
        </w:rPr>
        <w:t xml:space="preserve"> as well as maintain both a public and internal register of eligible data breaches that have occurred within the agency. In addition to this, there is also a legislative onus on agencies to maintain a current Privacy Management Plan </w:t>
      </w:r>
      <w:r w:rsidR="616E118B" w:rsidRPr="001F79B8">
        <w:rPr>
          <w:rFonts w:ascii="Arial" w:hAnsi="Arial" w:cs="Arial"/>
          <w:lang w:val="en-US"/>
        </w:rPr>
        <w:t xml:space="preserve">that </w:t>
      </w:r>
      <w:r w:rsidRPr="001F79B8">
        <w:rPr>
          <w:rFonts w:ascii="Arial" w:hAnsi="Arial" w:cs="Arial"/>
          <w:lang w:val="en-US"/>
        </w:rPr>
        <w:t xml:space="preserve">not only outlines how personal information and privacy are reflected within the relevant </w:t>
      </w:r>
      <w:proofErr w:type="spellStart"/>
      <w:r w:rsidRPr="001F79B8">
        <w:rPr>
          <w:rFonts w:ascii="Arial" w:hAnsi="Arial" w:cs="Arial"/>
          <w:lang w:val="en-US"/>
        </w:rPr>
        <w:t>organisation</w:t>
      </w:r>
      <w:proofErr w:type="spellEnd"/>
      <w:r w:rsidRPr="001F79B8">
        <w:rPr>
          <w:rFonts w:ascii="Arial" w:hAnsi="Arial" w:cs="Arial"/>
          <w:lang w:val="en-US"/>
        </w:rPr>
        <w:t xml:space="preserve"> but the processes engaged when information is inadvertently released or unlawfully disclosed. </w:t>
      </w:r>
    </w:p>
    <w:p w14:paraId="2D595943" w14:textId="718FE48C" w:rsidR="00113315" w:rsidRPr="001F79B8" w:rsidRDefault="00113315" w:rsidP="4CE9FAF3">
      <w:pPr>
        <w:spacing w:before="100" w:beforeAutospacing="1" w:after="0" w:line="240" w:lineRule="auto"/>
        <w:rPr>
          <w:rFonts w:ascii="Arial" w:hAnsi="Arial" w:cs="Arial"/>
          <w:lang w:val="en-US"/>
        </w:rPr>
      </w:pPr>
      <w:r w:rsidRPr="001F79B8">
        <w:rPr>
          <w:rFonts w:ascii="Arial" w:hAnsi="Arial" w:cs="Arial"/>
          <w:lang w:val="en-US"/>
        </w:rPr>
        <w:t>The Information Commissioner carries various enforcement powers</w:t>
      </w:r>
      <w:r w:rsidR="11B13E2C" w:rsidRPr="001F79B8">
        <w:rPr>
          <w:rFonts w:ascii="Arial" w:hAnsi="Arial" w:cs="Arial"/>
          <w:lang w:val="en-US"/>
        </w:rPr>
        <w:t>, including:</w:t>
      </w:r>
    </w:p>
    <w:p w14:paraId="291F38F3" w14:textId="752A1F4A" w:rsidR="00113315" w:rsidRPr="001F79B8" w:rsidRDefault="00113315" w:rsidP="4CE9FAF3">
      <w:pPr>
        <w:pStyle w:val="ListParagraph"/>
        <w:numPr>
          <w:ilvl w:val="0"/>
          <w:numId w:val="3"/>
        </w:numPr>
        <w:spacing w:before="100" w:beforeAutospacing="1" w:after="0" w:line="240" w:lineRule="auto"/>
        <w:rPr>
          <w:rFonts w:ascii="Arial" w:hAnsi="Arial" w:cs="Arial"/>
          <w:lang w:val="en-US"/>
        </w:rPr>
      </w:pPr>
      <w:r w:rsidRPr="001F79B8">
        <w:rPr>
          <w:rFonts w:ascii="Arial" w:hAnsi="Arial" w:cs="Arial"/>
          <w:lang w:val="en-US"/>
        </w:rPr>
        <w:t>Directions can be issued in regard to providing specific information or making specific recommendations when reasonable suspicion is held that an eligible breach has occurred (s</w:t>
      </w:r>
      <w:r w:rsidR="556923B3" w:rsidRPr="001F79B8">
        <w:rPr>
          <w:rFonts w:ascii="Arial" w:hAnsi="Arial" w:cs="Arial"/>
          <w:lang w:val="en-US"/>
        </w:rPr>
        <w:t xml:space="preserve"> </w:t>
      </w:r>
      <w:r w:rsidRPr="001F79B8">
        <w:rPr>
          <w:rFonts w:ascii="Arial" w:hAnsi="Arial" w:cs="Arial"/>
          <w:lang w:val="en-US"/>
        </w:rPr>
        <w:t>59Y)</w:t>
      </w:r>
      <w:r w:rsidR="5DA9C3BB" w:rsidRPr="001F79B8">
        <w:rPr>
          <w:rFonts w:ascii="Arial" w:hAnsi="Arial" w:cs="Arial"/>
          <w:lang w:val="en-US"/>
        </w:rPr>
        <w:t>.</w:t>
      </w:r>
    </w:p>
    <w:p w14:paraId="20CBB5FC" w14:textId="4A19D7BF" w:rsidR="00113315" w:rsidRPr="001F79B8" w:rsidRDefault="5DA9C3BB" w:rsidP="4CE9FAF3">
      <w:pPr>
        <w:pStyle w:val="ListParagraph"/>
        <w:numPr>
          <w:ilvl w:val="0"/>
          <w:numId w:val="3"/>
        </w:numPr>
        <w:spacing w:before="100" w:beforeAutospacing="1" w:after="0" w:line="240" w:lineRule="auto"/>
        <w:rPr>
          <w:rFonts w:ascii="Arial" w:hAnsi="Arial" w:cs="Arial"/>
          <w:lang w:val="en-US"/>
        </w:rPr>
      </w:pPr>
      <w:r w:rsidRPr="001F79B8">
        <w:rPr>
          <w:rFonts w:ascii="Arial" w:hAnsi="Arial" w:cs="Arial"/>
          <w:lang w:val="en-US"/>
        </w:rPr>
        <w:t>I</w:t>
      </w:r>
      <w:r w:rsidR="00113315" w:rsidRPr="001F79B8">
        <w:rPr>
          <w:rFonts w:ascii="Arial" w:hAnsi="Arial" w:cs="Arial"/>
          <w:lang w:val="en-US"/>
        </w:rPr>
        <w:t xml:space="preserve">nvestigative powers and monitoring powers can be exercised to ensure systems, policies and procedures reflect the objectives of the Act and the </w:t>
      </w:r>
      <w:r w:rsidR="4C926113" w:rsidRPr="001F79B8">
        <w:rPr>
          <w:rFonts w:ascii="Arial" w:hAnsi="Arial" w:cs="Arial"/>
          <w:lang w:val="en-US"/>
        </w:rPr>
        <w:t>agencies'</w:t>
      </w:r>
      <w:r w:rsidR="00113315" w:rsidRPr="001F79B8">
        <w:rPr>
          <w:rFonts w:ascii="Arial" w:hAnsi="Arial" w:cs="Arial"/>
          <w:lang w:val="en-US"/>
        </w:rPr>
        <w:t xml:space="preserve"> requirements to uphold legislative requirements pertaining to personal information (s</w:t>
      </w:r>
      <w:r w:rsidR="2981025A" w:rsidRPr="001F79B8">
        <w:rPr>
          <w:rFonts w:ascii="Arial" w:hAnsi="Arial" w:cs="Arial"/>
          <w:lang w:val="en-US"/>
        </w:rPr>
        <w:t xml:space="preserve"> </w:t>
      </w:r>
      <w:r w:rsidR="00113315" w:rsidRPr="001F79B8">
        <w:rPr>
          <w:rFonts w:ascii="Arial" w:hAnsi="Arial" w:cs="Arial"/>
          <w:lang w:val="en-US"/>
        </w:rPr>
        <w:t xml:space="preserve">59ZA). </w:t>
      </w:r>
    </w:p>
    <w:p w14:paraId="2609365F" w14:textId="02EA8E0E" w:rsidR="4CE9FAF3" w:rsidRPr="001F79B8" w:rsidRDefault="4CE9FAF3" w:rsidP="4CE9FAF3">
      <w:pPr>
        <w:pStyle w:val="ListParagraph"/>
        <w:spacing w:beforeAutospacing="1" w:after="0" w:line="240" w:lineRule="auto"/>
        <w:rPr>
          <w:rFonts w:ascii="Arial" w:hAnsi="Arial" w:cs="Arial"/>
          <w:lang w:val="en-US"/>
        </w:rPr>
      </w:pPr>
    </w:p>
    <w:p w14:paraId="2DEEDE31" w14:textId="34EA263D" w:rsidR="00113315" w:rsidRPr="001F79B8" w:rsidRDefault="00113315" w:rsidP="4CE9FAF3">
      <w:pPr>
        <w:spacing w:before="100" w:beforeAutospacing="1" w:after="0" w:line="240" w:lineRule="auto"/>
        <w:rPr>
          <w:rFonts w:ascii="Arial" w:hAnsi="Arial" w:cs="Arial"/>
          <w:lang w:val="en-US"/>
        </w:rPr>
      </w:pPr>
      <w:r w:rsidRPr="001F79B8">
        <w:rPr>
          <w:rFonts w:ascii="Arial" w:hAnsi="Arial" w:cs="Arial"/>
          <w:lang w:val="en-US"/>
        </w:rPr>
        <w:t>Of particular note within the OIAC, civil penalty proceedings were instigated in November 2023 against Australian Clinical Labs Limited (</w:t>
      </w:r>
      <w:r w:rsidRPr="001F79B8">
        <w:rPr>
          <w:rFonts w:ascii="Arial" w:hAnsi="Arial" w:cs="Arial"/>
          <w:b/>
          <w:bCs/>
          <w:lang w:val="en-US"/>
        </w:rPr>
        <w:t>ACL</w:t>
      </w:r>
      <w:r w:rsidR="7A3595D0" w:rsidRPr="001F79B8">
        <w:rPr>
          <w:rFonts w:ascii="Arial" w:hAnsi="Arial" w:cs="Arial"/>
          <w:b/>
          <w:bCs/>
          <w:lang w:val="en-US"/>
        </w:rPr>
        <w:t>L</w:t>
      </w:r>
      <w:r w:rsidRPr="001F79B8">
        <w:rPr>
          <w:rFonts w:ascii="Arial" w:hAnsi="Arial" w:cs="Arial"/>
          <w:lang w:val="en-US"/>
        </w:rPr>
        <w:t xml:space="preserve">) after an investigation into the privacy practices was conducted following a 2022 reported breach. Failure to conduct an expeditious assessment and notify the Commissioner are </w:t>
      </w:r>
      <w:r w:rsidR="6D992E38" w:rsidRPr="001F79B8">
        <w:rPr>
          <w:rFonts w:ascii="Arial" w:hAnsi="Arial" w:cs="Arial"/>
          <w:lang w:val="en-US"/>
        </w:rPr>
        <w:t xml:space="preserve">some </w:t>
      </w:r>
      <w:r w:rsidRPr="001F79B8">
        <w:rPr>
          <w:rFonts w:ascii="Arial" w:hAnsi="Arial" w:cs="Arial"/>
          <w:lang w:val="en-US"/>
        </w:rPr>
        <w:t xml:space="preserve">of the allegations raised </w:t>
      </w:r>
      <w:r w:rsidR="114CAC94" w:rsidRPr="001F79B8">
        <w:rPr>
          <w:rFonts w:ascii="Arial" w:hAnsi="Arial" w:cs="Arial"/>
          <w:lang w:val="en-US"/>
        </w:rPr>
        <w:t>that</w:t>
      </w:r>
      <w:r w:rsidRPr="001F79B8">
        <w:rPr>
          <w:rFonts w:ascii="Arial" w:hAnsi="Arial" w:cs="Arial"/>
          <w:lang w:val="en-US"/>
        </w:rPr>
        <w:t xml:space="preserve"> demonstrates at the </w:t>
      </w:r>
      <w:r w:rsidR="7C143356" w:rsidRPr="001F79B8">
        <w:rPr>
          <w:rFonts w:ascii="Arial" w:hAnsi="Arial" w:cs="Arial"/>
          <w:lang w:val="en-US"/>
        </w:rPr>
        <w:t>f</w:t>
      </w:r>
      <w:r w:rsidRPr="001F79B8">
        <w:rPr>
          <w:rFonts w:ascii="Arial" w:hAnsi="Arial" w:cs="Arial"/>
          <w:lang w:val="en-US"/>
        </w:rPr>
        <w:t xml:space="preserve">ederal level there is an appetite to prosecute offences and disregard of </w:t>
      </w:r>
      <w:r w:rsidR="3AB73914" w:rsidRPr="001F79B8">
        <w:rPr>
          <w:rFonts w:ascii="Arial" w:hAnsi="Arial" w:cs="Arial"/>
          <w:lang w:val="en-US"/>
        </w:rPr>
        <w:t>the IPPs.</w:t>
      </w:r>
      <w:r w:rsidRPr="001F79B8">
        <w:rPr>
          <w:rFonts w:ascii="Arial" w:hAnsi="Arial" w:cs="Arial"/>
          <w:lang w:val="en-US"/>
        </w:rPr>
        <w:t xml:space="preserve"> Considering the MNDB</w:t>
      </w:r>
      <w:r w:rsidR="51C2517D" w:rsidRPr="001F79B8">
        <w:rPr>
          <w:rFonts w:ascii="Arial" w:hAnsi="Arial" w:cs="Arial"/>
          <w:lang w:val="en-US"/>
        </w:rPr>
        <w:t xml:space="preserve"> scheme</w:t>
      </w:r>
      <w:r w:rsidRPr="001F79B8">
        <w:rPr>
          <w:rFonts w:ascii="Arial" w:hAnsi="Arial" w:cs="Arial"/>
          <w:lang w:val="en-US"/>
        </w:rPr>
        <w:t xml:space="preserve"> is modelled off the federal framework, it is not inappropriate to consider a similar stance being taken against NSW agencies who fail to adequately fulfil their obligations under the scheme. </w:t>
      </w:r>
    </w:p>
    <w:p w14:paraId="299A1BC1" w14:textId="78DE77E3" w:rsidR="4CE9FAF3" w:rsidRPr="001F79B8" w:rsidRDefault="4CE9FAF3" w:rsidP="4CE9FAF3">
      <w:pPr>
        <w:spacing w:beforeAutospacing="1" w:after="0" w:line="240" w:lineRule="auto"/>
        <w:rPr>
          <w:rFonts w:ascii="Arial" w:hAnsi="Arial" w:cs="Arial"/>
          <w:lang w:val="en-US"/>
        </w:rPr>
      </w:pPr>
    </w:p>
    <w:p w14:paraId="08626A0A" w14:textId="5C1E47EA" w:rsidR="67D8BCF2" w:rsidRPr="001F79B8" w:rsidRDefault="67D8BCF2" w:rsidP="4CE9FAF3">
      <w:pPr>
        <w:pStyle w:val="ListParagraph"/>
        <w:numPr>
          <w:ilvl w:val="0"/>
          <w:numId w:val="10"/>
        </w:numPr>
        <w:spacing w:beforeAutospacing="1" w:after="0" w:line="240" w:lineRule="auto"/>
        <w:rPr>
          <w:rFonts w:ascii="Arial" w:hAnsi="Arial" w:cs="Arial"/>
          <w:b/>
          <w:bCs/>
          <w:lang w:val="en-US"/>
        </w:rPr>
      </w:pPr>
      <w:r w:rsidRPr="001F79B8">
        <w:rPr>
          <w:rFonts w:ascii="Arial" w:hAnsi="Arial" w:cs="Arial"/>
          <w:b/>
          <w:bCs/>
          <w:lang w:val="en-US"/>
        </w:rPr>
        <w:t>"Serious harm”</w:t>
      </w:r>
    </w:p>
    <w:p w14:paraId="3128F4D3" w14:textId="356F7485" w:rsidR="4CE9FAF3" w:rsidRPr="001F79B8" w:rsidRDefault="4CE9FAF3" w:rsidP="4CE9FAF3">
      <w:pPr>
        <w:pStyle w:val="ListParagraph"/>
        <w:spacing w:beforeAutospacing="1" w:after="0" w:line="240" w:lineRule="auto"/>
        <w:ind w:left="1080"/>
        <w:rPr>
          <w:rFonts w:ascii="Arial" w:hAnsi="Arial" w:cs="Arial"/>
          <w:b/>
          <w:bCs/>
          <w:lang w:val="en-US"/>
        </w:rPr>
      </w:pPr>
    </w:p>
    <w:p w14:paraId="6356931F" w14:textId="68B35CC7" w:rsidR="00113315" w:rsidRPr="001F79B8" w:rsidRDefault="00113315" w:rsidP="4CE9FAF3">
      <w:pPr>
        <w:spacing w:before="100" w:beforeAutospacing="1" w:after="0" w:line="240" w:lineRule="auto"/>
        <w:rPr>
          <w:rFonts w:ascii="Arial" w:hAnsi="Arial" w:cs="Arial"/>
          <w:lang w:val="en-US"/>
        </w:rPr>
      </w:pPr>
      <w:r w:rsidRPr="001F79B8">
        <w:rPr>
          <w:rFonts w:ascii="Arial" w:hAnsi="Arial" w:cs="Arial"/>
          <w:lang w:val="en-US"/>
        </w:rPr>
        <w:t>For agencies subject to the MNDB</w:t>
      </w:r>
      <w:r w:rsidR="6271D181" w:rsidRPr="001F79B8">
        <w:rPr>
          <w:rFonts w:ascii="Arial" w:hAnsi="Arial" w:cs="Arial"/>
          <w:lang w:val="en-US"/>
        </w:rPr>
        <w:t xml:space="preserve"> scheme</w:t>
      </w:r>
      <w:r w:rsidRPr="001F79B8">
        <w:rPr>
          <w:rFonts w:ascii="Arial" w:hAnsi="Arial" w:cs="Arial"/>
          <w:lang w:val="en-US"/>
        </w:rPr>
        <w:t xml:space="preserve">, little guidance is provided in terms of a legislative interpretation of “serious harm” but rather a collection of considerations is provided </w:t>
      </w:r>
      <w:r w:rsidR="2F9F49A5" w:rsidRPr="001F79B8">
        <w:rPr>
          <w:rFonts w:ascii="Arial" w:hAnsi="Arial" w:cs="Arial"/>
          <w:lang w:val="en-US"/>
        </w:rPr>
        <w:t xml:space="preserve">that </w:t>
      </w:r>
      <w:r w:rsidRPr="001F79B8">
        <w:rPr>
          <w:rFonts w:ascii="Arial" w:hAnsi="Arial" w:cs="Arial"/>
          <w:lang w:val="en-US"/>
        </w:rPr>
        <w:t xml:space="preserve">does little to ensure a consistent application of the assessment process between agencies. There is no definition of </w:t>
      </w:r>
      <w:r w:rsidR="5945BB07" w:rsidRPr="001F79B8">
        <w:rPr>
          <w:rFonts w:ascii="Arial" w:hAnsi="Arial" w:cs="Arial"/>
          <w:lang w:val="en-US"/>
        </w:rPr>
        <w:t>“</w:t>
      </w:r>
      <w:r w:rsidRPr="001F79B8">
        <w:rPr>
          <w:rFonts w:ascii="Arial" w:hAnsi="Arial" w:cs="Arial"/>
          <w:lang w:val="en-US"/>
        </w:rPr>
        <w:t>serious harm</w:t>
      </w:r>
      <w:r w:rsidR="58D7D659" w:rsidRPr="001F79B8">
        <w:rPr>
          <w:rFonts w:ascii="Arial" w:hAnsi="Arial" w:cs="Arial"/>
          <w:lang w:val="en-US"/>
        </w:rPr>
        <w:t>”</w:t>
      </w:r>
      <w:r w:rsidRPr="001F79B8">
        <w:rPr>
          <w:rFonts w:ascii="Arial" w:hAnsi="Arial" w:cs="Arial"/>
          <w:lang w:val="en-US"/>
        </w:rPr>
        <w:t xml:space="preserve"> prescribed within the PPIP Act. Naturally, each data breach case assessed would vary in severity and heavily depend on the case-specific factors including</w:t>
      </w:r>
      <w:r w:rsidR="17438119" w:rsidRPr="001F79B8">
        <w:rPr>
          <w:rFonts w:ascii="Arial" w:hAnsi="Arial" w:cs="Arial"/>
          <w:lang w:val="en-US"/>
        </w:rPr>
        <w:t>:</w:t>
      </w:r>
    </w:p>
    <w:p w14:paraId="2E025FC0" w14:textId="26CC29F6" w:rsidR="00113315" w:rsidRPr="001F79B8" w:rsidRDefault="00113315" w:rsidP="4CE9FAF3">
      <w:pPr>
        <w:pStyle w:val="ListParagraph"/>
        <w:numPr>
          <w:ilvl w:val="0"/>
          <w:numId w:val="2"/>
        </w:numPr>
        <w:spacing w:before="100" w:beforeAutospacing="1" w:after="0" w:line="240" w:lineRule="auto"/>
        <w:rPr>
          <w:rFonts w:ascii="Arial" w:hAnsi="Arial" w:cs="Arial"/>
          <w:lang w:val="en-US"/>
        </w:rPr>
      </w:pPr>
      <w:r w:rsidRPr="001F79B8">
        <w:rPr>
          <w:rFonts w:ascii="Arial" w:hAnsi="Arial" w:cs="Arial"/>
          <w:lang w:val="en-US"/>
        </w:rPr>
        <w:t xml:space="preserve">individuals involved, </w:t>
      </w:r>
    </w:p>
    <w:p w14:paraId="3A744A3C" w14:textId="5D5A0CB9" w:rsidR="00113315" w:rsidRPr="001F79B8" w:rsidRDefault="00113315" w:rsidP="4CE9FAF3">
      <w:pPr>
        <w:pStyle w:val="ListParagraph"/>
        <w:numPr>
          <w:ilvl w:val="0"/>
          <w:numId w:val="2"/>
        </w:numPr>
        <w:spacing w:before="100" w:beforeAutospacing="1" w:after="0" w:line="240" w:lineRule="auto"/>
        <w:rPr>
          <w:rFonts w:ascii="Arial" w:hAnsi="Arial" w:cs="Arial"/>
          <w:lang w:val="en-US"/>
        </w:rPr>
      </w:pPr>
      <w:r w:rsidRPr="001F79B8">
        <w:rPr>
          <w:rFonts w:ascii="Arial" w:hAnsi="Arial" w:cs="Arial"/>
          <w:lang w:val="en-US"/>
        </w:rPr>
        <w:t xml:space="preserve">the sensitivity of the information released, </w:t>
      </w:r>
    </w:p>
    <w:p w14:paraId="4CA9664C" w14:textId="71A14C1A" w:rsidR="00113315" w:rsidRPr="001F79B8" w:rsidRDefault="00113315" w:rsidP="4CE9FAF3">
      <w:pPr>
        <w:pStyle w:val="ListParagraph"/>
        <w:numPr>
          <w:ilvl w:val="0"/>
          <w:numId w:val="2"/>
        </w:numPr>
        <w:spacing w:before="100" w:beforeAutospacing="1" w:after="0" w:line="240" w:lineRule="auto"/>
        <w:rPr>
          <w:rFonts w:ascii="Arial" w:hAnsi="Arial" w:cs="Arial"/>
          <w:lang w:val="en-US"/>
        </w:rPr>
      </w:pPr>
      <w:r w:rsidRPr="001F79B8">
        <w:rPr>
          <w:rFonts w:ascii="Arial" w:hAnsi="Arial" w:cs="Arial"/>
          <w:lang w:val="en-US"/>
        </w:rPr>
        <w:t xml:space="preserve">how the information was released, </w:t>
      </w:r>
    </w:p>
    <w:p w14:paraId="5E9BB036" w14:textId="4A884FFC" w:rsidR="00113315" w:rsidRPr="001F79B8" w:rsidRDefault="00113315" w:rsidP="4CE9FAF3">
      <w:pPr>
        <w:pStyle w:val="ListParagraph"/>
        <w:numPr>
          <w:ilvl w:val="0"/>
          <w:numId w:val="2"/>
        </w:numPr>
        <w:spacing w:before="100" w:beforeAutospacing="1" w:after="0" w:line="240" w:lineRule="auto"/>
        <w:rPr>
          <w:rFonts w:ascii="Arial" w:hAnsi="Arial" w:cs="Arial"/>
          <w:lang w:val="en-US"/>
        </w:rPr>
      </w:pPr>
      <w:r w:rsidRPr="001F79B8">
        <w:rPr>
          <w:rFonts w:ascii="Arial" w:hAnsi="Arial" w:cs="Arial"/>
          <w:lang w:val="en-US"/>
        </w:rPr>
        <w:t>any known history concerning the individual</w:t>
      </w:r>
      <w:r w:rsidR="2CD4B78F" w:rsidRPr="001F79B8">
        <w:rPr>
          <w:rFonts w:ascii="Arial" w:hAnsi="Arial" w:cs="Arial"/>
          <w:lang w:val="en-US"/>
        </w:rPr>
        <w:t>,</w:t>
      </w:r>
      <w:r w:rsidRPr="001F79B8">
        <w:rPr>
          <w:rFonts w:ascii="Arial" w:hAnsi="Arial" w:cs="Arial"/>
          <w:lang w:val="en-US"/>
        </w:rPr>
        <w:t xml:space="preserve"> and </w:t>
      </w:r>
    </w:p>
    <w:p w14:paraId="087D8C34" w14:textId="246D8E7D" w:rsidR="00113315" w:rsidRPr="001F79B8" w:rsidRDefault="00113315" w:rsidP="4CE9FAF3">
      <w:pPr>
        <w:pStyle w:val="ListParagraph"/>
        <w:numPr>
          <w:ilvl w:val="0"/>
          <w:numId w:val="2"/>
        </w:numPr>
        <w:spacing w:before="100" w:beforeAutospacing="1" w:after="0" w:line="240" w:lineRule="auto"/>
        <w:rPr>
          <w:rFonts w:ascii="Arial" w:hAnsi="Arial" w:cs="Arial"/>
          <w:lang w:val="en-US"/>
        </w:rPr>
      </w:pPr>
      <w:r w:rsidRPr="001F79B8">
        <w:rPr>
          <w:rFonts w:ascii="Arial" w:hAnsi="Arial" w:cs="Arial"/>
          <w:lang w:val="en-US"/>
        </w:rPr>
        <w:t xml:space="preserve">the person to whom the information was released to. </w:t>
      </w:r>
    </w:p>
    <w:p w14:paraId="2600AB9A" w14:textId="73816A77" w:rsidR="00113315" w:rsidRPr="001F79B8" w:rsidRDefault="00113315" w:rsidP="4CE9FAF3">
      <w:pPr>
        <w:spacing w:before="100" w:beforeAutospacing="1" w:after="0" w:line="240" w:lineRule="auto"/>
        <w:rPr>
          <w:rFonts w:ascii="Arial" w:hAnsi="Arial" w:cs="Arial"/>
          <w:lang w:val="en-US"/>
        </w:rPr>
      </w:pPr>
    </w:p>
    <w:p w14:paraId="7BB25194" w14:textId="3026F336" w:rsidR="00113315" w:rsidRPr="001F79B8" w:rsidRDefault="00113315" w:rsidP="4CE9FAF3">
      <w:pPr>
        <w:spacing w:before="100" w:beforeAutospacing="1" w:after="0" w:line="240" w:lineRule="auto"/>
        <w:rPr>
          <w:rFonts w:ascii="Arial" w:hAnsi="Arial" w:cs="Arial"/>
        </w:rPr>
      </w:pPr>
      <w:r w:rsidRPr="001F79B8">
        <w:rPr>
          <w:rFonts w:ascii="Arial" w:hAnsi="Arial" w:cs="Arial"/>
          <w:lang w:val="en-US"/>
        </w:rPr>
        <w:t xml:space="preserve">The framework, although unifying, still lacks an underlying prescription of any form of what harm means or how it can be applied, without relying on cases to be tried within NCAT or through complaints lodged to the IPC. </w:t>
      </w:r>
    </w:p>
    <w:p w14:paraId="14F58581" w14:textId="4AA02BE5" w:rsidR="4CE9FAF3" w:rsidRPr="001F79B8" w:rsidRDefault="4CE9FAF3" w:rsidP="4CE9FAF3">
      <w:pPr>
        <w:spacing w:beforeAutospacing="1" w:after="0" w:line="240" w:lineRule="auto"/>
        <w:rPr>
          <w:rFonts w:ascii="Arial" w:hAnsi="Arial" w:cs="Arial"/>
          <w:lang w:val="en-US"/>
        </w:rPr>
      </w:pPr>
    </w:p>
    <w:p w14:paraId="5680B404" w14:textId="015892E1" w:rsidR="4CE9FAF3" w:rsidRPr="001F79B8" w:rsidRDefault="00A86AB0" w:rsidP="00CA7FC0">
      <w:pPr>
        <w:spacing w:before="100" w:beforeAutospacing="1" w:after="0" w:line="240" w:lineRule="auto"/>
        <w:rPr>
          <w:rFonts w:ascii="Arial" w:hAnsi="Arial" w:cs="Arial"/>
          <w:b/>
          <w:bCs/>
          <w:lang w:val="en-US"/>
        </w:rPr>
      </w:pPr>
      <w:r w:rsidRPr="001F79B8">
        <w:rPr>
          <w:rFonts w:ascii="Arial" w:hAnsi="Arial" w:cs="Arial"/>
          <w:b/>
          <w:bCs/>
          <w:lang w:val="en-US"/>
        </w:rPr>
        <w:t>6 (d) Australia’s Data Breaches</w:t>
      </w:r>
    </w:p>
    <w:p w14:paraId="0D078246" w14:textId="27E8B6DE" w:rsidR="4CE9FAF3" w:rsidRPr="001F79B8" w:rsidRDefault="00A86AB0" w:rsidP="00CA7FC0">
      <w:pPr>
        <w:spacing w:before="100" w:beforeAutospacing="1" w:after="0" w:line="240" w:lineRule="auto"/>
        <w:rPr>
          <w:rFonts w:ascii="Arial" w:hAnsi="Arial" w:cs="Arial"/>
          <w:lang w:val="en-US"/>
        </w:rPr>
      </w:pPr>
      <w:r w:rsidRPr="001F79B8">
        <w:rPr>
          <w:rFonts w:ascii="Arial" w:hAnsi="Arial" w:cs="Arial"/>
          <w:lang w:val="en-US"/>
        </w:rPr>
        <w:t>The A</w:t>
      </w:r>
      <w:r w:rsidR="0A19B5FD" w:rsidRPr="001F79B8">
        <w:rPr>
          <w:rFonts w:ascii="Arial" w:hAnsi="Arial" w:cs="Arial"/>
          <w:lang w:val="en-US"/>
        </w:rPr>
        <w:t>ustralian Signals Directorate</w:t>
      </w:r>
      <w:r w:rsidR="1E71A92E" w:rsidRPr="001F79B8">
        <w:rPr>
          <w:rFonts w:ascii="Arial" w:hAnsi="Arial" w:cs="Arial"/>
          <w:lang w:val="en-US"/>
        </w:rPr>
        <w:t xml:space="preserve"> (</w:t>
      </w:r>
      <w:r w:rsidR="1E71A92E" w:rsidRPr="001F79B8">
        <w:rPr>
          <w:rFonts w:ascii="Arial" w:hAnsi="Arial" w:cs="Arial"/>
          <w:b/>
          <w:bCs/>
          <w:lang w:val="en-US"/>
        </w:rPr>
        <w:t>ASD</w:t>
      </w:r>
      <w:r w:rsidR="1E71A92E" w:rsidRPr="001F79B8">
        <w:rPr>
          <w:rFonts w:ascii="Arial" w:hAnsi="Arial" w:cs="Arial"/>
          <w:lang w:val="en-US"/>
        </w:rPr>
        <w:t>)</w:t>
      </w:r>
      <w:r w:rsidR="0A19B5FD" w:rsidRPr="001F79B8">
        <w:rPr>
          <w:rFonts w:ascii="Arial" w:hAnsi="Arial" w:cs="Arial"/>
          <w:lang w:val="en-US"/>
        </w:rPr>
        <w:t xml:space="preserve"> </w:t>
      </w:r>
      <w:r w:rsidRPr="001F79B8">
        <w:rPr>
          <w:rFonts w:ascii="Arial" w:hAnsi="Arial" w:cs="Arial"/>
          <w:lang w:val="en-US"/>
        </w:rPr>
        <w:t>recorded 150 data breaches in 2022-2023</w:t>
      </w:r>
      <w:r w:rsidR="10188179" w:rsidRPr="001F79B8">
        <w:rPr>
          <w:rFonts w:ascii="Arial" w:hAnsi="Arial" w:cs="Arial"/>
          <w:lang w:val="en-US"/>
        </w:rPr>
        <w:t>,</w:t>
      </w:r>
      <w:r w:rsidRPr="001F79B8">
        <w:rPr>
          <w:rFonts w:ascii="Arial" w:hAnsi="Arial" w:cs="Arial"/>
          <w:lang w:val="en-US"/>
        </w:rPr>
        <w:t xml:space="preserve"> which was up from 81 breaches recorded in 2021-2022.</w:t>
      </w:r>
      <w:r w:rsidRPr="001F79B8">
        <w:rPr>
          <w:rStyle w:val="FootnoteReference"/>
          <w:rFonts w:ascii="Arial" w:hAnsi="Arial" w:cs="Arial"/>
          <w:lang w:val="en-US"/>
        </w:rPr>
        <w:footnoteReference w:id="2"/>
      </w:r>
      <w:r w:rsidRPr="001F79B8">
        <w:rPr>
          <w:rFonts w:ascii="Arial" w:hAnsi="Arial" w:cs="Arial"/>
          <w:lang w:val="en-US"/>
        </w:rPr>
        <w:t xml:space="preserve"> </w:t>
      </w:r>
    </w:p>
    <w:p w14:paraId="23275C82" w14:textId="11BB5D63" w:rsidR="4CE9FAF3" w:rsidRPr="001F79B8" w:rsidRDefault="00A86AB0" w:rsidP="00CA7FC0">
      <w:pPr>
        <w:spacing w:before="100" w:beforeAutospacing="1" w:after="0" w:line="240" w:lineRule="auto"/>
        <w:rPr>
          <w:rFonts w:ascii="Arial" w:hAnsi="Arial" w:cs="Arial"/>
          <w:lang w:val="en-US"/>
        </w:rPr>
      </w:pPr>
      <w:r w:rsidRPr="001F79B8">
        <w:rPr>
          <w:rFonts w:ascii="Arial" w:hAnsi="Arial" w:cs="Arial"/>
          <w:lang w:val="en-US"/>
        </w:rPr>
        <w:t>In September 2022</w:t>
      </w:r>
      <w:r w:rsidR="2726303F" w:rsidRPr="001F79B8">
        <w:rPr>
          <w:rFonts w:ascii="Arial" w:hAnsi="Arial" w:cs="Arial"/>
          <w:lang w:val="en-US"/>
        </w:rPr>
        <w:t>,</w:t>
      </w:r>
      <w:r w:rsidRPr="001F79B8">
        <w:rPr>
          <w:rFonts w:ascii="Arial" w:hAnsi="Arial" w:cs="Arial"/>
          <w:lang w:val="en-US"/>
        </w:rPr>
        <w:t xml:space="preserve"> Optus became the target of a large </w:t>
      </w:r>
      <w:proofErr w:type="spellStart"/>
      <w:r w:rsidRPr="001F79B8">
        <w:rPr>
          <w:rFonts w:ascii="Arial" w:hAnsi="Arial" w:cs="Arial"/>
          <w:lang w:val="en-US"/>
        </w:rPr>
        <w:t>cyber attack</w:t>
      </w:r>
      <w:proofErr w:type="spellEnd"/>
      <w:r w:rsidRPr="001F79B8">
        <w:rPr>
          <w:rFonts w:ascii="Arial" w:hAnsi="Arial" w:cs="Arial"/>
          <w:lang w:val="en-US"/>
        </w:rPr>
        <w:t xml:space="preserve"> resulting in 9.8 million customer records being breached. This raised public concern about the information that telecommunication companies hold and their ability to protect this information from being exposed or exploited.  </w:t>
      </w:r>
    </w:p>
    <w:p w14:paraId="47314C85" w14:textId="46551E6F" w:rsidR="4CE9FAF3" w:rsidRPr="001F79B8" w:rsidRDefault="00A86AB0" w:rsidP="00CA7FC0">
      <w:pPr>
        <w:spacing w:before="100" w:beforeAutospacing="1" w:after="0" w:line="240" w:lineRule="auto"/>
        <w:rPr>
          <w:rFonts w:ascii="Arial" w:hAnsi="Arial" w:cs="Arial"/>
          <w:lang w:val="en-US"/>
        </w:rPr>
      </w:pPr>
      <w:r w:rsidRPr="001F79B8">
        <w:rPr>
          <w:rFonts w:ascii="Arial" w:hAnsi="Arial" w:cs="Arial"/>
          <w:lang w:val="en-US"/>
        </w:rPr>
        <w:t xml:space="preserve">Following this, in October </w:t>
      </w:r>
      <w:r w:rsidR="4DC208BC" w:rsidRPr="001F79B8">
        <w:rPr>
          <w:rFonts w:ascii="Arial" w:hAnsi="Arial" w:cs="Arial"/>
          <w:lang w:val="en-US"/>
        </w:rPr>
        <w:t>2022</w:t>
      </w:r>
      <w:r w:rsidRPr="001F79B8">
        <w:rPr>
          <w:rFonts w:ascii="Arial" w:hAnsi="Arial" w:cs="Arial"/>
          <w:lang w:val="en-US"/>
        </w:rPr>
        <w:t xml:space="preserve">, Medibank was the victim of a data breach where the hackers gained access to private medical records of approximately 9.7 million Australians. In response to this, the Australian </w:t>
      </w:r>
      <w:r w:rsidR="7C96006D" w:rsidRPr="001F79B8">
        <w:rPr>
          <w:rFonts w:ascii="Arial" w:hAnsi="Arial" w:cs="Arial"/>
          <w:lang w:val="en-US"/>
        </w:rPr>
        <w:t>G</w:t>
      </w:r>
      <w:r w:rsidRPr="001F79B8">
        <w:rPr>
          <w:rFonts w:ascii="Arial" w:hAnsi="Arial" w:cs="Arial"/>
          <w:lang w:val="en-US"/>
        </w:rPr>
        <w:t xml:space="preserve">overnment has reformed the law surrounding cyber security </w:t>
      </w:r>
      <w:r w:rsidR="63C7FB41" w:rsidRPr="001F79B8">
        <w:rPr>
          <w:rFonts w:ascii="Arial" w:hAnsi="Arial" w:cs="Arial"/>
          <w:lang w:val="en-US"/>
        </w:rPr>
        <w:t>to</w:t>
      </w:r>
      <w:r w:rsidRPr="001F79B8">
        <w:rPr>
          <w:rFonts w:ascii="Arial" w:hAnsi="Arial" w:cs="Arial"/>
          <w:lang w:val="en-US"/>
        </w:rPr>
        <w:t xml:space="preserve"> attempt to prevent these breaches from occurring again and come up with ways to </w:t>
      </w:r>
      <w:proofErr w:type="spellStart"/>
      <w:r w:rsidRPr="001F79B8">
        <w:rPr>
          <w:rFonts w:ascii="Arial" w:hAnsi="Arial" w:cs="Arial"/>
          <w:lang w:val="en-US"/>
        </w:rPr>
        <w:t>minimise</w:t>
      </w:r>
      <w:proofErr w:type="spellEnd"/>
      <w:r w:rsidRPr="001F79B8">
        <w:rPr>
          <w:rFonts w:ascii="Arial" w:hAnsi="Arial" w:cs="Arial"/>
          <w:lang w:val="en-US"/>
        </w:rPr>
        <w:t xml:space="preserve"> the impacts of data breaches. </w:t>
      </w:r>
    </w:p>
    <w:p w14:paraId="382ADEAC" w14:textId="42F217AE" w:rsidR="4CE9FAF3" w:rsidRPr="001F79B8" w:rsidRDefault="00A86AB0" w:rsidP="00CA7FC0">
      <w:pPr>
        <w:spacing w:before="100" w:beforeAutospacing="1" w:after="0" w:line="240" w:lineRule="auto"/>
        <w:rPr>
          <w:rFonts w:ascii="Arial" w:hAnsi="Arial" w:cs="Arial"/>
          <w:lang w:val="en-US"/>
        </w:rPr>
      </w:pPr>
      <w:r w:rsidRPr="001F79B8">
        <w:rPr>
          <w:rFonts w:ascii="Arial" w:hAnsi="Arial" w:cs="Arial"/>
          <w:lang w:val="en-US"/>
        </w:rPr>
        <w:t xml:space="preserve">These breaches resulted in reputational damage to these companies as well as individual concerns from the customers regarding potential identity theft and the misuse of their sensitive personal information.  </w:t>
      </w:r>
    </w:p>
    <w:p w14:paraId="51E67D5C" w14:textId="46570080" w:rsidR="00A86AB0" w:rsidRPr="001F79B8" w:rsidRDefault="00A86AB0" w:rsidP="00E50B19">
      <w:pPr>
        <w:spacing w:before="100" w:beforeAutospacing="1" w:after="0" w:line="240" w:lineRule="auto"/>
        <w:rPr>
          <w:rFonts w:ascii="Arial" w:hAnsi="Arial" w:cs="Arial"/>
          <w:lang w:val="en-US"/>
        </w:rPr>
      </w:pPr>
      <w:r w:rsidRPr="001F79B8">
        <w:rPr>
          <w:rFonts w:ascii="Arial" w:hAnsi="Arial" w:cs="Arial"/>
          <w:lang w:val="en-US"/>
        </w:rPr>
        <w:t xml:space="preserve">Many of </w:t>
      </w:r>
      <w:r w:rsidR="00CA7FC0" w:rsidRPr="001F79B8">
        <w:rPr>
          <w:rFonts w:ascii="Arial" w:hAnsi="Arial" w:cs="Arial"/>
          <w:lang w:val="en-US"/>
        </w:rPr>
        <w:t>t</w:t>
      </w:r>
      <w:r w:rsidRPr="001F79B8">
        <w:rPr>
          <w:rFonts w:ascii="Arial" w:hAnsi="Arial" w:cs="Arial"/>
          <w:lang w:val="en-US"/>
        </w:rPr>
        <w:t>hese companies were still using outdated encryption procedures and had insufficient monitoring systems. These breaches highlighted the need for the government to act swiftly and reform the law concerning cyber security to initiate stricter regulation and enforcement of cyber security measures.</w:t>
      </w:r>
    </w:p>
    <w:p w14:paraId="2A2AF80F" w14:textId="02F0834B" w:rsidR="001F1F50" w:rsidRPr="001F79B8" w:rsidRDefault="001F1F50" w:rsidP="00E50B19">
      <w:pPr>
        <w:spacing w:before="100" w:beforeAutospacing="1" w:after="0" w:line="240" w:lineRule="auto"/>
        <w:rPr>
          <w:rFonts w:ascii="Arial" w:hAnsi="Arial" w:cs="Arial"/>
          <w:lang w:val="en-US"/>
        </w:rPr>
      </w:pPr>
    </w:p>
    <w:p w14:paraId="3D021A0F" w14:textId="43FC348B" w:rsidR="4CE9FAF3" w:rsidRPr="001F79B8" w:rsidRDefault="00A86AB0" w:rsidP="00CA7FC0">
      <w:pPr>
        <w:spacing w:before="100" w:beforeAutospacing="1" w:after="0" w:line="240" w:lineRule="auto"/>
        <w:rPr>
          <w:rFonts w:ascii="Arial" w:hAnsi="Arial" w:cs="Arial"/>
          <w:b/>
          <w:bCs/>
          <w:lang w:val="en-US"/>
        </w:rPr>
      </w:pPr>
      <w:r w:rsidRPr="001F79B8">
        <w:rPr>
          <w:rFonts w:ascii="Arial" w:hAnsi="Arial" w:cs="Arial"/>
          <w:b/>
          <w:bCs/>
          <w:lang w:val="en-US"/>
        </w:rPr>
        <w:t>6</w:t>
      </w:r>
      <w:r w:rsidR="00146972" w:rsidRPr="001F79B8">
        <w:rPr>
          <w:rFonts w:ascii="Arial" w:hAnsi="Arial" w:cs="Arial"/>
          <w:b/>
          <w:bCs/>
          <w:lang w:val="en-US"/>
        </w:rPr>
        <w:t xml:space="preserve"> (</w:t>
      </w:r>
      <w:r w:rsidRPr="001F79B8">
        <w:rPr>
          <w:rFonts w:ascii="Arial" w:hAnsi="Arial" w:cs="Arial"/>
          <w:b/>
          <w:bCs/>
          <w:lang w:val="en-US"/>
        </w:rPr>
        <w:t>e</w:t>
      </w:r>
      <w:r w:rsidR="00146972" w:rsidRPr="001F79B8">
        <w:rPr>
          <w:rFonts w:ascii="Arial" w:hAnsi="Arial" w:cs="Arial"/>
          <w:b/>
          <w:bCs/>
          <w:lang w:val="en-US"/>
        </w:rPr>
        <w:t>)</w:t>
      </w:r>
      <w:r w:rsidR="00FC0180" w:rsidRPr="001F79B8">
        <w:rPr>
          <w:rFonts w:ascii="Arial" w:hAnsi="Arial" w:cs="Arial"/>
          <w:b/>
          <w:bCs/>
          <w:lang w:val="en-US"/>
        </w:rPr>
        <w:t xml:space="preserve"> </w:t>
      </w:r>
      <w:r w:rsidR="00462C8E" w:rsidRPr="001F79B8">
        <w:rPr>
          <w:rFonts w:ascii="Arial" w:hAnsi="Arial" w:cs="Arial"/>
          <w:b/>
          <w:bCs/>
          <w:lang w:val="en-US"/>
        </w:rPr>
        <w:t xml:space="preserve">Cyber </w:t>
      </w:r>
      <w:r w:rsidR="1EF565A3" w:rsidRPr="001F79B8">
        <w:rPr>
          <w:rFonts w:ascii="Arial" w:hAnsi="Arial" w:cs="Arial"/>
          <w:b/>
          <w:bCs/>
          <w:lang w:val="en-US"/>
        </w:rPr>
        <w:t>s</w:t>
      </w:r>
      <w:r w:rsidR="00462C8E" w:rsidRPr="001F79B8">
        <w:rPr>
          <w:rFonts w:ascii="Arial" w:hAnsi="Arial" w:cs="Arial"/>
          <w:b/>
          <w:bCs/>
          <w:lang w:val="en-US"/>
        </w:rPr>
        <w:t xml:space="preserve">ecurity </w:t>
      </w:r>
      <w:r w:rsidRPr="001F79B8">
        <w:rPr>
          <w:rFonts w:ascii="Arial" w:hAnsi="Arial" w:cs="Arial"/>
          <w:b/>
          <w:bCs/>
          <w:lang w:val="en-US"/>
        </w:rPr>
        <w:t>and data leaks</w:t>
      </w:r>
    </w:p>
    <w:p w14:paraId="6A974782" w14:textId="29320F5B" w:rsidR="00462C8E" w:rsidRPr="001F79B8" w:rsidRDefault="00B10C76" w:rsidP="4CE9FAF3">
      <w:pPr>
        <w:spacing w:beforeAutospacing="1" w:after="0" w:line="240" w:lineRule="auto"/>
        <w:rPr>
          <w:rFonts w:ascii="Arial" w:hAnsi="Arial" w:cs="Arial"/>
          <w:lang w:val="en-US"/>
        </w:rPr>
      </w:pPr>
      <w:r w:rsidRPr="001F79B8">
        <w:rPr>
          <w:rFonts w:ascii="Arial" w:hAnsi="Arial" w:cs="Arial"/>
          <w:lang w:val="en-US"/>
        </w:rPr>
        <w:t xml:space="preserve">Cyber security </w:t>
      </w:r>
      <w:r w:rsidR="007237E1" w:rsidRPr="001F79B8">
        <w:rPr>
          <w:rFonts w:ascii="Arial" w:hAnsi="Arial" w:cs="Arial"/>
          <w:lang w:val="en-US"/>
        </w:rPr>
        <w:t>plays a fundamental role in</w:t>
      </w:r>
      <w:r w:rsidRPr="001F79B8">
        <w:rPr>
          <w:rFonts w:ascii="Arial" w:hAnsi="Arial" w:cs="Arial"/>
          <w:lang w:val="en-US"/>
        </w:rPr>
        <w:t xml:space="preserve"> </w:t>
      </w:r>
      <w:r w:rsidR="006D2E2E" w:rsidRPr="001F79B8">
        <w:rPr>
          <w:rFonts w:ascii="Arial" w:hAnsi="Arial" w:cs="Arial"/>
          <w:lang w:val="en-US"/>
        </w:rPr>
        <w:t>protect</w:t>
      </w:r>
      <w:r w:rsidR="007237E1" w:rsidRPr="001F79B8">
        <w:rPr>
          <w:rFonts w:ascii="Arial" w:hAnsi="Arial" w:cs="Arial"/>
          <w:lang w:val="en-US"/>
        </w:rPr>
        <w:t>ing</w:t>
      </w:r>
      <w:r w:rsidR="006D2E2E" w:rsidRPr="001F79B8">
        <w:rPr>
          <w:rFonts w:ascii="Arial" w:hAnsi="Arial" w:cs="Arial"/>
          <w:lang w:val="en-US"/>
        </w:rPr>
        <w:t xml:space="preserve"> private information from being leaked in a data breach. </w:t>
      </w:r>
      <w:proofErr w:type="spellStart"/>
      <w:r w:rsidR="00AA5FBA" w:rsidRPr="001F79B8">
        <w:rPr>
          <w:rFonts w:ascii="Arial" w:hAnsi="Arial" w:cs="Arial"/>
          <w:lang w:val="en-US"/>
        </w:rPr>
        <w:t>Cyber</w:t>
      </w:r>
      <w:r w:rsidR="1B42F524" w:rsidRPr="001F79B8">
        <w:rPr>
          <w:rFonts w:ascii="Arial" w:hAnsi="Arial" w:cs="Arial"/>
          <w:lang w:val="en-US"/>
        </w:rPr>
        <w:t xml:space="preserve"> </w:t>
      </w:r>
      <w:r w:rsidR="00AA5FBA" w:rsidRPr="001F79B8">
        <w:rPr>
          <w:rFonts w:ascii="Arial" w:hAnsi="Arial" w:cs="Arial"/>
          <w:lang w:val="en-US"/>
        </w:rPr>
        <w:t>attacks</w:t>
      </w:r>
      <w:proofErr w:type="spellEnd"/>
      <w:r w:rsidR="0030792B" w:rsidRPr="001F79B8">
        <w:rPr>
          <w:rFonts w:ascii="Arial" w:hAnsi="Arial" w:cs="Arial"/>
          <w:lang w:val="en-US"/>
        </w:rPr>
        <w:t xml:space="preserve"> </w:t>
      </w:r>
      <w:r w:rsidR="00AA5FBA" w:rsidRPr="001F79B8">
        <w:rPr>
          <w:rFonts w:ascii="Arial" w:hAnsi="Arial" w:cs="Arial"/>
          <w:lang w:val="en-US"/>
        </w:rPr>
        <w:t xml:space="preserve">present a significant challenge to the sovereignty of states </w:t>
      </w:r>
      <w:r w:rsidR="1051283D" w:rsidRPr="001F79B8">
        <w:rPr>
          <w:rFonts w:ascii="Arial" w:hAnsi="Arial" w:cs="Arial"/>
          <w:lang w:val="en-US"/>
        </w:rPr>
        <w:t>and</w:t>
      </w:r>
      <w:r w:rsidR="00745865" w:rsidRPr="001F79B8">
        <w:rPr>
          <w:rFonts w:ascii="Arial" w:hAnsi="Arial" w:cs="Arial"/>
          <w:lang w:val="en-US"/>
        </w:rPr>
        <w:t xml:space="preserve"> personal data</w:t>
      </w:r>
      <w:r w:rsidR="369A6F1F" w:rsidRPr="001F79B8">
        <w:rPr>
          <w:rFonts w:ascii="Arial" w:hAnsi="Arial" w:cs="Arial"/>
          <w:lang w:val="en-US"/>
        </w:rPr>
        <w:t xml:space="preserve">; </w:t>
      </w:r>
      <w:r w:rsidR="00745865" w:rsidRPr="001F79B8">
        <w:rPr>
          <w:rFonts w:ascii="Arial" w:hAnsi="Arial" w:cs="Arial"/>
          <w:lang w:val="en-US"/>
        </w:rPr>
        <w:t xml:space="preserve">these challenges being </w:t>
      </w:r>
      <w:r w:rsidR="003477B3" w:rsidRPr="001F79B8">
        <w:rPr>
          <w:rFonts w:ascii="Arial" w:hAnsi="Arial" w:cs="Arial"/>
          <w:lang w:val="en-US"/>
        </w:rPr>
        <w:t>intensified</w:t>
      </w:r>
      <w:r w:rsidR="00745865" w:rsidRPr="001F79B8">
        <w:rPr>
          <w:rFonts w:ascii="Arial" w:hAnsi="Arial" w:cs="Arial"/>
          <w:lang w:val="en-US"/>
        </w:rPr>
        <w:t xml:space="preserve"> due to the ongoing evolution of AI technology</w:t>
      </w:r>
      <w:r w:rsidR="00B516F2" w:rsidRPr="001F79B8">
        <w:rPr>
          <w:rFonts w:ascii="Arial" w:hAnsi="Arial" w:cs="Arial"/>
          <w:lang w:val="en-US"/>
        </w:rPr>
        <w:t>.</w:t>
      </w:r>
      <w:r w:rsidR="00745865" w:rsidRPr="001F79B8">
        <w:rPr>
          <w:rStyle w:val="FootnoteReference"/>
          <w:rFonts w:ascii="Arial" w:hAnsi="Arial" w:cs="Arial"/>
          <w:lang w:val="en-US"/>
        </w:rPr>
        <w:footnoteReference w:id="3"/>
      </w:r>
      <w:r w:rsidR="003477B3" w:rsidRPr="001F79B8">
        <w:rPr>
          <w:rFonts w:ascii="Arial" w:hAnsi="Arial" w:cs="Arial"/>
          <w:lang w:val="en-US"/>
        </w:rPr>
        <w:t xml:space="preserve"> </w:t>
      </w:r>
      <w:r w:rsidR="00A47F9F" w:rsidRPr="001F79B8">
        <w:rPr>
          <w:rFonts w:ascii="Arial" w:hAnsi="Arial" w:cs="Arial"/>
          <w:lang w:val="en-US"/>
        </w:rPr>
        <w:t xml:space="preserve">The ASD has the authority to </w:t>
      </w:r>
      <w:r w:rsidR="001B3524" w:rsidRPr="001F79B8">
        <w:rPr>
          <w:rFonts w:ascii="Arial" w:hAnsi="Arial" w:cs="Arial"/>
          <w:lang w:val="en-US"/>
        </w:rPr>
        <w:t xml:space="preserve">conduct cyber operations, information security and foreign communication. </w:t>
      </w:r>
      <w:r w:rsidR="00106430" w:rsidRPr="001F79B8">
        <w:rPr>
          <w:rFonts w:ascii="Arial" w:hAnsi="Arial" w:cs="Arial"/>
          <w:lang w:val="en-US"/>
        </w:rPr>
        <w:t>The Australian Cyber Security Centre forms part of the ASD</w:t>
      </w:r>
      <w:r w:rsidR="0069468F" w:rsidRPr="001F79B8">
        <w:rPr>
          <w:rFonts w:ascii="Arial" w:hAnsi="Arial" w:cs="Arial"/>
          <w:lang w:val="en-US"/>
        </w:rPr>
        <w:t xml:space="preserve"> and conducts threat assessments and incidence response services</w:t>
      </w:r>
      <w:r w:rsidR="0078002C" w:rsidRPr="001F79B8">
        <w:rPr>
          <w:rFonts w:ascii="Arial" w:hAnsi="Arial" w:cs="Arial"/>
          <w:lang w:val="en-US"/>
        </w:rPr>
        <w:t xml:space="preserve"> to cyber incidents and threats</w:t>
      </w:r>
      <w:r w:rsidR="007E171C" w:rsidRPr="001F79B8">
        <w:rPr>
          <w:rFonts w:ascii="Arial" w:hAnsi="Arial" w:cs="Arial"/>
          <w:lang w:val="en-US"/>
        </w:rPr>
        <w:t xml:space="preserve">, forming a collaborative approach to cyber security in Australia. </w:t>
      </w:r>
    </w:p>
    <w:p w14:paraId="5A1F1727" w14:textId="508EF482" w:rsidR="4CE9FAF3" w:rsidRPr="001F79B8" w:rsidRDefault="4CE9FAF3" w:rsidP="4CE9FAF3">
      <w:pPr>
        <w:spacing w:beforeAutospacing="1" w:after="0" w:line="240" w:lineRule="auto"/>
        <w:rPr>
          <w:rFonts w:ascii="Arial" w:hAnsi="Arial" w:cs="Arial"/>
          <w:lang w:val="en-US"/>
        </w:rPr>
      </w:pPr>
    </w:p>
    <w:p w14:paraId="5C9546ED" w14:textId="291BAD61" w:rsidR="4CE9FAF3" w:rsidRPr="001F79B8" w:rsidRDefault="00AE3C58" w:rsidP="00E75280">
      <w:pPr>
        <w:spacing w:before="100" w:beforeAutospacing="1" w:after="0" w:line="240" w:lineRule="auto"/>
        <w:rPr>
          <w:rFonts w:ascii="Arial" w:hAnsi="Arial" w:cs="Arial"/>
          <w:b/>
          <w:bCs/>
          <w:lang w:val="en-US"/>
        </w:rPr>
      </w:pPr>
      <w:r w:rsidRPr="001F79B8">
        <w:rPr>
          <w:rFonts w:ascii="Arial" w:hAnsi="Arial" w:cs="Arial"/>
          <w:b/>
          <w:bCs/>
          <w:lang w:val="en-US"/>
        </w:rPr>
        <w:lastRenderedPageBreak/>
        <w:t>7</w:t>
      </w:r>
      <w:r w:rsidR="00146972" w:rsidRPr="001F79B8">
        <w:rPr>
          <w:rFonts w:ascii="Arial" w:hAnsi="Arial" w:cs="Arial"/>
          <w:b/>
          <w:bCs/>
          <w:lang w:val="en-US"/>
        </w:rPr>
        <w:t xml:space="preserve"> (</w:t>
      </w:r>
      <w:r w:rsidR="00A86AB0" w:rsidRPr="001F79B8">
        <w:rPr>
          <w:rFonts w:ascii="Arial" w:hAnsi="Arial" w:cs="Arial"/>
          <w:b/>
          <w:bCs/>
          <w:lang w:val="en-US"/>
        </w:rPr>
        <w:t>f</w:t>
      </w:r>
      <w:r w:rsidR="00146972" w:rsidRPr="001F79B8">
        <w:rPr>
          <w:rFonts w:ascii="Arial" w:hAnsi="Arial" w:cs="Arial"/>
          <w:b/>
          <w:bCs/>
          <w:lang w:val="en-US"/>
        </w:rPr>
        <w:t xml:space="preserve">) </w:t>
      </w:r>
      <w:r w:rsidR="000B7E3E" w:rsidRPr="001F79B8">
        <w:rPr>
          <w:rFonts w:ascii="Arial" w:hAnsi="Arial" w:cs="Arial"/>
          <w:b/>
          <w:bCs/>
          <w:lang w:val="en-US"/>
        </w:rPr>
        <w:t>The Cyber Security Strategy</w:t>
      </w:r>
      <w:r w:rsidR="002E746F" w:rsidRPr="001F79B8">
        <w:rPr>
          <w:rFonts w:ascii="Arial" w:hAnsi="Arial" w:cs="Arial"/>
          <w:b/>
          <w:bCs/>
          <w:lang w:val="en-US"/>
        </w:rPr>
        <w:t xml:space="preserve"> and Australian </w:t>
      </w:r>
      <w:r w:rsidR="00FC0180" w:rsidRPr="001F79B8">
        <w:rPr>
          <w:rFonts w:ascii="Arial" w:hAnsi="Arial" w:cs="Arial"/>
          <w:b/>
          <w:bCs/>
          <w:lang w:val="en-US"/>
        </w:rPr>
        <w:t xml:space="preserve">Security Legislation </w:t>
      </w:r>
    </w:p>
    <w:p w14:paraId="59FF0A3C" w14:textId="0AB252B4" w:rsidR="4CE9FAF3" w:rsidRPr="001F79B8" w:rsidRDefault="000B7E3E" w:rsidP="00E75280">
      <w:pPr>
        <w:spacing w:before="100" w:beforeAutospacing="1" w:after="0" w:line="240" w:lineRule="auto"/>
        <w:rPr>
          <w:rFonts w:ascii="Arial" w:hAnsi="Arial" w:cs="Arial"/>
          <w:lang w:val="en-US"/>
        </w:rPr>
      </w:pPr>
      <w:r w:rsidRPr="001F79B8">
        <w:rPr>
          <w:rFonts w:ascii="Arial" w:hAnsi="Arial" w:cs="Arial"/>
          <w:lang w:val="en-US"/>
        </w:rPr>
        <w:t>The Australian Government released the 2023-2030 Australian Cyber Security Strateg</w:t>
      </w:r>
      <w:r w:rsidR="00C118CA" w:rsidRPr="001F79B8">
        <w:rPr>
          <w:rFonts w:ascii="Arial" w:hAnsi="Arial" w:cs="Arial"/>
          <w:lang w:val="en-US"/>
        </w:rPr>
        <w:t xml:space="preserve">y </w:t>
      </w:r>
      <w:r w:rsidR="00C91DB1" w:rsidRPr="001F79B8">
        <w:rPr>
          <w:rFonts w:ascii="Arial" w:hAnsi="Arial" w:cs="Arial"/>
          <w:lang w:val="en-US"/>
        </w:rPr>
        <w:t xml:space="preserve">on 22 November 2023 </w:t>
      </w:r>
      <w:r w:rsidR="00C118CA" w:rsidRPr="001F79B8">
        <w:rPr>
          <w:rFonts w:ascii="Arial" w:hAnsi="Arial" w:cs="Arial"/>
          <w:lang w:val="en-US"/>
        </w:rPr>
        <w:t>which replaced Australia’s Cyber Security Strategy 2020.</w:t>
      </w:r>
      <w:r w:rsidRPr="001F79B8">
        <w:rPr>
          <w:rFonts w:ascii="Arial" w:hAnsi="Arial" w:cs="Arial"/>
          <w:lang w:val="en-US"/>
        </w:rPr>
        <w:t xml:space="preserve"> The strategy</w:t>
      </w:r>
      <w:r w:rsidR="00B55665" w:rsidRPr="001F79B8">
        <w:rPr>
          <w:rFonts w:ascii="Arial" w:hAnsi="Arial" w:cs="Arial"/>
          <w:lang w:val="en-US"/>
        </w:rPr>
        <w:t xml:space="preserve"> consists of six shields; strong businesses and citizens, safe technology, </w:t>
      </w:r>
      <w:r w:rsidR="008E3E2A" w:rsidRPr="001F79B8">
        <w:rPr>
          <w:rFonts w:ascii="Arial" w:hAnsi="Arial" w:cs="Arial"/>
          <w:lang w:val="en-US"/>
        </w:rPr>
        <w:t>world-class threat sharing and blocking, protected critical infrastructure, sovereign capabilities</w:t>
      </w:r>
      <w:r w:rsidR="002F2D96" w:rsidRPr="001F79B8">
        <w:rPr>
          <w:rFonts w:ascii="Arial" w:hAnsi="Arial" w:cs="Arial"/>
          <w:lang w:val="en-US"/>
        </w:rPr>
        <w:t xml:space="preserve">, and resilient region and global leadership. </w:t>
      </w:r>
    </w:p>
    <w:p w14:paraId="5DFD1553" w14:textId="3A4D870F" w:rsidR="4CE9FAF3" w:rsidRPr="001F79B8" w:rsidRDefault="006D6408" w:rsidP="4CE9FAF3">
      <w:pPr>
        <w:spacing w:beforeAutospacing="1" w:after="0" w:line="240" w:lineRule="auto"/>
        <w:rPr>
          <w:rFonts w:ascii="Arial" w:hAnsi="Arial" w:cs="Arial"/>
          <w:lang w:val="en-US"/>
        </w:rPr>
      </w:pPr>
      <w:r w:rsidRPr="001F79B8">
        <w:rPr>
          <w:rFonts w:ascii="Arial" w:hAnsi="Arial" w:cs="Arial"/>
          <w:lang w:val="en-US"/>
        </w:rPr>
        <w:t>The strateg</w:t>
      </w:r>
      <w:r w:rsidR="2A637F34" w:rsidRPr="001F79B8">
        <w:rPr>
          <w:rFonts w:ascii="Arial" w:hAnsi="Arial" w:cs="Arial"/>
          <w:lang w:val="en-US"/>
        </w:rPr>
        <w:t>y’s</w:t>
      </w:r>
      <w:r w:rsidRPr="001F79B8">
        <w:rPr>
          <w:rFonts w:ascii="Arial" w:hAnsi="Arial" w:cs="Arial"/>
          <w:lang w:val="en-US"/>
        </w:rPr>
        <w:t xml:space="preserve"> aim is preventative</w:t>
      </w:r>
      <w:r w:rsidR="00DD23DF" w:rsidRPr="001F79B8">
        <w:rPr>
          <w:rFonts w:ascii="Arial" w:hAnsi="Arial" w:cs="Arial"/>
          <w:lang w:val="en-US"/>
        </w:rPr>
        <w:t xml:space="preserve"> in nature</w:t>
      </w:r>
      <w:r w:rsidRPr="001F79B8">
        <w:rPr>
          <w:rFonts w:ascii="Arial" w:hAnsi="Arial" w:cs="Arial"/>
          <w:lang w:val="en-US"/>
        </w:rPr>
        <w:t xml:space="preserve"> but also</w:t>
      </w:r>
      <w:r w:rsidR="00DD23DF" w:rsidRPr="001F79B8">
        <w:rPr>
          <w:rFonts w:ascii="Arial" w:hAnsi="Arial" w:cs="Arial"/>
          <w:lang w:val="en-US"/>
        </w:rPr>
        <w:t xml:space="preserve"> seeks</w:t>
      </w:r>
      <w:r w:rsidRPr="001F79B8">
        <w:rPr>
          <w:rFonts w:ascii="Arial" w:hAnsi="Arial" w:cs="Arial"/>
          <w:lang w:val="en-US"/>
        </w:rPr>
        <w:t xml:space="preserve"> to achieve resilience and </w:t>
      </w:r>
      <w:proofErr w:type="spellStart"/>
      <w:r w:rsidRPr="001F79B8">
        <w:rPr>
          <w:rFonts w:ascii="Arial" w:hAnsi="Arial" w:cs="Arial"/>
          <w:lang w:val="en-US"/>
        </w:rPr>
        <w:t>minimi</w:t>
      </w:r>
      <w:r w:rsidR="005C3794" w:rsidRPr="001F79B8">
        <w:rPr>
          <w:rFonts w:ascii="Arial" w:hAnsi="Arial" w:cs="Arial"/>
          <w:lang w:val="en-US"/>
        </w:rPr>
        <w:t>s</w:t>
      </w:r>
      <w:r w:rsidRPr="001F79B8">
        <w:rPr>
          <w:rFonts w:ascii="Arial" w:hAnsi="Arial" w:cs="Arial"/>
          <w:lang w:val="en-US"/>
        </w:rPr>
        <w:t>e</w:t>
      </w:r>
      <w:proofErr w:type="spellEnd"/>
      <w:r w:rsidRPr="001F79B8">
        <w:rPr>
          <w:rFonts w:ascii="Arial" w:hAnsi="Arial" w:cs="Arial"/>
          <w:lang w:val="en-US"/>
        </w:rPr>
        <w:t xml:space="preserve"> the overall impacts that data breaches can have</w:t>
      </w:r>
      <w:r w:rsidR="005C3794" w:rsidRPr="001F79B8">
        <w:rPr>
          <w:rFonts w:ascii="Arial" w:hAnsi="Arial" w:cs="Arial"/>
          <w:lang w:val="en-US"/>
        </w:rPr>
        <w:t xml:space="preserve"> upon individual’s information as well as larger entities</w:t>
      </w:r>
      <w:r w:rsidRPr="001F79B8">
        <w:rPr>
          <w:rFonts w:ascii="Arial" w:hAnsi="Arial" w:cs="Arial"/>
          <w:lang w:val="en-US"/>
        </w:rPr>
        <w:t xml:space="preserve">. The strategy also has a strong focus on collaboration between different departments to </w:t>
      </w:r>
      <w:proofErr w:type="spellStart"/>
      <w:r w:rsidRPr="001F79B8">
        <w:rPr>
          <w:rFonts w:ascii="Arial" w:hAnsi="Arial" w:cs="Arial"/>
          <w:lang w:val="en-US"/>
        </w:rPr>
        <w:t>minimi</w:t>
      </w:r>
      <w:r w:rsidR="00C02C5E" w:rsidRPr="001F79B8">
        <w:rPr>
          <w:rFonts w:ascii="Arial" w:hAnsi="Arial" w:cs="Arial"/>
          <w:lang w:val="en-US"/>
        </w:rPr>
        <w:t>se</w:t>
      </w:r>
      <w:proofErr w:type="spellEnd"/>
      <w:r w:rsidRPr="001F79B8">
        <w:rPr>
          <w:rFonts w:ascii="Arial" w:hAnsi="Arial" w:cs="Arial"/>
          <w:lang w:val="en-US"/>
        </w:rPr>
        <w:t xml:space="preserve"> the chance of a breach occurring</w:t>
      </w:r>
      <w:r w:rsidR="00C02C5E" w:rsidRPr="001F79B8">
        <w:rPr>
          <w:rFonts w:ascii="Arial" w:hAnsi="Arial" w:cs="Arial"/>
          <w:lang w:val="en-US"/>
        </w:rPr>
        <w:t xml:space="preserve"> through appropriate communication.</w:t>
      </w:r>
      <w:r w:rsidRPr="001F79B8">
        <w:rPr>
          <w:rFonts w:ascii="Arial" w:hAnsi="Arial" w:cs="Arial"/>
          <w:lang w:val="en-US"/>
        </w:rPr>
        <w:t xml:space="preserve"> </w:t>
      </w:r>
      <w:r w:rsidR="007B2029" w:rsidRPr="001F79B8">
        <w:rPr>
          <w:rFonts w:ascii="Arial" w:hAnsi="Arial" w:cs="Arial"/>
          <w:lang w:val="en-US"/>
        </w:rPr>
        <w:t>To coincide with the introduction of this strategy, the Australian Government also appointed its first</w:t>
      </w:r>
      <w:r w:rsidR="00594E7B" w:rsidRPr="001F79B8">
        <w:rPr>
          <w:rFonts w:ascii="Arial" w:hAnsi="Arial" w:cs="Arial"/>
          <w:lang w:val="en-US"/>
        </w:rPr>
        <w:t xml:space="preserve"> ever</w:t>
      </w:r>
      <w:r w:rsidR="007B2029" w:rsidRPr="001F79B8">
        <w:rPr>
          <w:rFonts w:ascii="Arial" w:hAnsi="Arial" w:cs="Arial"/>
          <w:lang w:val="en-US"/>
        </w:rPr>
        <w:t xml:space="preserve"> </w:t>
      </w:r>
      <w:r w:rsidR="00267263" w:rsidRPr="001F79B8">
        <w:rPr>
          <w:rFonts w:ascii="Arial" w:hAnsi="Arial" w:cs="Arial"/>
          <w:lang w:val="en-US"/>
        </w:rPr>
        <w:t xml:space="preserve">Executive Cyber Council. The role of the </w:t>
      </w:r>
      <w:r w:rsidR="00594E7B" w:rsidRPr="001F79B8">
        <w:rPr>
          <w:rFonts w:ascii="Arial" w:hAnsi="Arial" w:cs="Arial"/>
          <w:lang w:val="en-US"/>
        </w:rPr>
        <w:t>C</w:t>
      </w:r>
      <w:r w:rsidR="00267263" w:rsidRPr="001F79B8">
        <w:rPr>
          <w:rFonts w:ascii="Arial" w:hAnsi="Arial" w:cs="Arial"/>
          <w:lang w:val="en-US"/>
        </w:rPr>
        <w:t xml:space="preserve">ouncil is to </w:t>
      </w:r>
      <w:r w:rsidR="00E2573B" w:rsidRPr="001F79B8">
        <w:rPr>
          <w:rFonts w:ascii="Arial" w:hAnsi="Arial" w:cs="Arial"/>
          <w:lang w:val="en-US"/>
        </w:rPr>
        <w:t>facilitate</w:t>
      </w:r>
      <w:r w:rsidR="00BF0DFC" w:rsidRPr="001F79B8">
        <w:rPr>
          <w:rFonts w:ascii="Arial" w:hAnsi="Arial" w:cs="Arial"/>
          <w:lang w:val="en-US"/>
        </w:rPr>
        <w:t xml:space="preserve"> </w:t>
      </w:r>
      <w:r w:rsidR="0063597D" w:rsidRPr="001F79B8">
        <w:rPr>
          <w:rFonts w:ascii="Arial" w:hAnsi="Arial" w:cs="Arial"/>
          <w:lang w:val="en-US"/>
        </w:rPr>
        <w:t>transparent co-</w:t>
      </w:r>
      <w:r w:rsidR="00594E7B" w:rsidRPr="001F79B8">
        <w:rPr>
          <w:rFonts w:ascii="Arial" w:hAnsi="Arial" w:cs="Arial"/>
          <w:lang w:val="en-US"/>
        </w:rPr>
        <w:t>management</w:t>
      </w:r>
      <w:r w:rsidR="0063597D" w:rsidRPr="001F79B8">
        <w:rPr>
          <w:rFonts w:ascii="Arial" w:hAnsi="Arial" w:cs="Arial"/>
          <w:lang w:val="en-US"/>
        </w:rPr>
        <w:t xml:space="preserve"> on key cyber security issues. </w:t>
      </w:r>
    </w:p>
    <w:p w14:paraId="2E77FF40" w14:textId="72F233F8" w:rsidR="4CE9FAF3" w:rsidRPr="001F79B8" w:rsidRDefault="00151BA4" w:rsidP="00E75280">
      <w:pPr>
        <w:spacing w:before="100" w:beforeAutospacing="1" w:after="0" w:line="240" w:lineRule="auto"/>
        <w:rPr>
          <w:rFonts w:ascii="Arial" w:hAnsi="Arial" w:cs="Arial"/>
          <w:lang w:val="en-US"/>
        </w:rPr>
      </w:pPr>
      <w:r w:rsidRPr="001F79B8">
        <w:rPr>
          <w:rFonts w:ascii="Arial" w:hAnsi="Arial" w:cs="Arial"/>
          <w:lang w:val="en-US"/>
        </w:rPr>
        <w:t xml:space="preserve">To facilitate this strategy the Australian Government also introduced the </w:t>
      </w:r>
      <w:r w:rsidR="00E63537" w:rsidRPr="001F79B8">
        <w:rPr>
          <w:rFonts w:ascii="Arial" w:hAnsi="Arial" w:cs="Arial"/>
          <w:lang w:val="en-US"/>
        </w:rPr>
        <w:t>2023-2030 Australian Cyber Security Action Plan which provides detail about how the strategy will be implemented</w:t>
      </w:r>
      <w:r w:rsidR="00A41763" w:rsidRPr="001F79B8">
        <w:rPr>
          <w:rFonts w:ascii="Arial" w:hAnsi="Arial" w:cs="Arial"/>
          <w:lang w:val="en-US"/>
        </w:rPr>
        <w:t xml:space="preserve"> across different stages. </w:t>
      </w:r>
      <w:r w:rsidR="001D2D4E" w:rsidRPr="001F79B8">
        <w:rPr>
          <w:rFonts w:ascii="Arial" w:hAnsi="Arial" w:cs="Arial"/>
          <w:lang w:val="en-US"/>
        </w:rPr>
        <w:t xml:space="preserve">The action plan consists of </w:t>
      </w:r>
      <w:r w:rsidR="00925C22" w:rsidRPr="001F79B8">
        <w:rPr>
          <w:rFonts w:ascii="Arial" w:hAnsi="Arial" w:cs="Arial"/>
          <w:lang w:val="en-US"/>
        </w:rPr>
        <w:t>multiple actions related to each of the six shields under the strategy. For example, one action under the ‘strong businesses’ shield is to support small and medium busines</w:t>
      </w:r>
      <w:r w:rsidR="004F2CD0" w:rsidRPr="001F79B8">
        <w:rPr>
          <w:rFonts w:ascii="Arial" w:hAnsi="Arial" w:cs="Arial"/>
          <w:lang w:val="en-US"/>
        </w:rPr>
        <w:t xml:space="preserve">ses to strengthen their cybersecurity. </w:t>
      </w:r>
    </w:p>
    <w:p w14:paraId="33E68F86" w14:textId="0136C6D9" w:rsidR="00445D05" w:rsidRPr="001F79B8" w:rsidRDefault="00445D05" w:rsidP="4CE9FAF3">
      <w:pPr>
        <w:spacing w:beforeAutospacing="1" w:after="0" w:line="240" w:lineRule="auto"/>
        <w:rPr>
          <w:rFonts w:ascii="Arial" w:hAnsi="Arial" w:cs="Arial"/>
        </w:rPr>
      </w:pPr>
      <w:r w:rsidRPr="001F79B8">
        <w:rPr>
          <w:rFonts w:ascii="Arial" w:hAnsi="Arial" w:cs="Arial"/>
          <w:lang w:val="en-US"/>
        </w:rPr>
        <w:t xml:space="preserve">The </w:t>
      </w:r>
      <w:r w:rsidRPr="001F79B8">
        <w:rPr>
          <w:rFonts w:ascii="Arial" w:hAnsi="Arial" w:cs="Arial"/>
          <w:i/>
          <w:iCs/>
          <w:lang w:val="en-US"/>
        </w:rPr>
        <w:t xml:space="preserve">Security of Critical </w:t>
      </w:r>
      <w:r w:rsidR="006771E5" w:rsidRPr="001F79B8">
        <w:rPr>
          <w:rFonts w:ascii="Arial" w:hAnsi="Arial" w:cs="Arial"/>
          <w:i/>
          <w:iCs/>
          <w:lang w:val="en-US"/>
        </w:rPr>
        <w:t>Infrastructure Act 2018</w:t>
      </w:r>
      <w:r w:rsidR="00D57231" w:rsidRPr="001F79B8">
        <w:rPr>
          <w:rFonts w:ascii="Arial" w:hAnsi="Arial" w:cs="Arial"/>
          <w:i/>
          <w:iCs/>
          <w:lang w:val="en-US"/>
        </w:rPr>
        <w:t xml:space="preserve"> </w:t>
      </w:r>
      <w:r w:rsidR="00D57231" w:rsidRPr="001F79B8">
        <w:rPr>
          <w:rFonts w:ascii="Arial" w:hAnsi="Arial" w:cs="Arial"/>
          <w:lang w:val="en-US"/>
        </w:rPr>
        <w:t>(</w:t>
      </w:r>
      <w:proofErr w:type="spellStart"/>
      <w:r w:rsidR="00D57231" w:rsidRPr="001F79B8">
        <w:rPr>
          <w:rFonts w:ascii="Arial" w:hAnsi="Arial" w:cs="Arial"/>
          <w:lang w:val="en-US"/>
        </w:rPr>
        <w:t>Cth</w:t>
      </w:r>
      <w:proofErr w:type="spellEnd"/>
      <w:r w:rsidR="00D57231" w:rsidRPr="001F79B8">
        <w:rPr>
          <w:rFonts w:ascii="Arial" w:hAnsi="Arial" w:cs="Arial"/>
          <w:lang w:val="en-US"/>
        </w:rPr>
        <w:t>)</w:t>
      </w:r>
      <w:r w:rsidR="006771E5" w:rsidRPr="001F79B8">
        <w:rPr>
          <w:rFonts w:ascii="Arial" w:hAnsi="Arial" w:cs="Arial"/>
          <w:i/>
          <w:iCs/>
          <w:lang w:val="en-US"/>
        </w:rPr>
        <w:t xml:space="preserve"> </w:t>
      </w:r>
      <w:r w:rsidR="006771E5" w:rsidRPr="001F79B8">
        <w:rPr>
          <w:rFonts w:ascii="Arial" w:hAnsi="Arial" w:cs="Arial"/>
          <w:lang w:val="en-US"/>
        </w:rPr>
        <w:t xml:space="preserve">is one of the key pieces of </w:t>
      </w:r>
      <w:r w:rsidR="00E6225B" w:rsidRPr="001F79B8">
        <w:rPr>
          <w:rFonts w:ascii="Arial" w:hAnsi="Arial" w:cs="Arial"/>
          <w:lang w:val="en-US"/>
        </w:rPr>
        <w:t xml:space="preserve">legislation that governs cyber security in Australia. </w:t>
      </w:r>
      <w:r w:rsidR="5D42124E" w:rsidRPr="001F79B8">
        <w:rPr>
          <w:rFonts w:ascii="Arial" w:hAnsi="Arial" w:cs="Arial"/>
          <w:lang w:val="en-US"/>
        </w:rPr>
        <w:t>Relevant amendments include:</w:t>
      </w:r>
    </w:p>
    <w:p w14:paraId="435B5A02" w14:textId="56A7E48E" w:rsidR="00E46243" w:rsidRPr="001F79B8" w:rsidRDefault="00E46243" w:rsidP="4CE9FAF3">
      <w:pPr>
        <w:pStyle w:val="ListParagraph"/>
        <w:numPr>
          <w:ilvl w:val="0"/>
          <w:numId w:val="1"/>
        </w:numPr>
        <w:spacing w:beforeAutospacing="1" w:after="0" w:line="240" w:lineRule="auto"/>
        <w:rPr>
          <w:rFonts w:ascii="Arial" w:hAnsi="Arial" w:cs="Arial"/>
        </w:rPr>
      </w:pPr>
      <w:r w:rsidRPr="001F79B8">
        <w:rPr>
          <w:rFonts w:ascii="Arial" w:hAnsi="Arial" w:cs="Arial"/>
        </w:rPr>
        <w:t xml:space="preserve">The </w:t>
      </w:r>
      <w:r w:rsidRPr="001F79B8">
        <w:rPr>
          <w:rFonts w:ascii="Arial" w:hAnsi="Arial" w:cs="Arial"/>
          <w:i/>
          <w:iCs/>
        </w:rPr>
        <w:t>Security Legislation Amendment (Critical Infrastructure) Act 2021</w:t>
      </w:r>
      <w:r w:rsidR="00C10DA2" w:rsidRPr="001F79B8">
        <w:rPr>
          <w:rFonts w:ascii="Arial" w:hAnsi="Arial" w:cs="Arial"/>
        </w:rPr>
        <w:t xml:space="preserve"> </w:t>
      </w:r>
      <w:r w:rsidR="67882B30" w:rsidRPr="001F79B8">
        <w:rPr>
          <w:rFonts w:ascii="Arial" w:hAnsi="Arial" w:cs="Arial"/>
        </w:rPr>
        <w:t>(</w:t>
      </w:r>
      <w:proofErr w:type="spellStart"/>
      <w:r w:rsidR="67882B30" w:rsidRPr="001F79B8">
        <w:rPr>
          <w:rFonts w:ascii="Arial" w:hAnsi="Arial" w:cs="Arial"/>
        </w:rPr>
        <w:t>Cth</w:t>
      </w:r>
      <w:proofErr w:type="spellEnd"/>
      <w:r w:rsidR="67882B30" w:rsidRPr="001F79B8">
        <w:rPr>
          <w:rFonts w:ascii="Arial" w:hAnsi="Arial" w:cs="Arial"/>
        </w:rPr>
        <w:t>)</w:t>
      </w:r>
      <w:r w:rsidR="0BE519AB" w:rsidRPr="001F79B8">
        <w:rPr>
          <w:rFonts w:ascii="Arial" w:hAnsi="Arial" w:cs="Arial"/>
        </w:rPr>
        <w:t xml:space="preserve">, which came into effect on 2 December 2022 and </w:t>
      </w:r>
      <w:r w:rsidR="0052097B" w:rsidRPr="001F79B8">
        <w:rPr>
          <w:rFonts w:ascii="Arial" w:hAnsi="Arial" w:cs="Arial"/>
        </w:rPr>
        <w:t xml:space="preserve">included introducing </w:t>
      </w:r>
      <w:r w:rsidR="0052097B" w:rsidRPr="001F79B8">
        <w:rPr>
          <w:rFonts w:ascii="Arial" w:hAnsi="Arial" w:cs="Arial"/>
          <w:lang w:val="en-US"/>
        </w:rPr>
        <w:t>mandatory</w:t>
      </w:r>
      <w:r w:rsidR="00461D2F" w:rsidRPr="001F79B8">
        <w:rPr>
          <w:rFonts w:ascii="Arial" w:hAnsi="Arial" w:cs="Arial"/>
          <w:lang w:val="en-US"/>
        </w:rPr>
        <w:t xml:space="preserve"> reporting of cyber incidents</w:t>
      </w:r>
      <w:r w:rsidR="0052097B" w:rsidRPr="001F79B8">
        <w:rPr>
          <w:rFonts w:ascii="Arial" w:hAnsi="Arial" w:cs="Arial"/>
        </w:rPr>
        <w:t xml:space="preserve"> and the </w:t>
      </w:r>
      <w:r w:rsidR="0052097B" w:rsidRPr="001F79B8">
        <w:rPr>
          <w:rFonts w:ascii="Arial" w:hAnsi="Arial" w:cs="Arial"/>
          <w:lang w:val="en-US"/>
        </w:rPr>
        <w:t>i</w:t>
      </w:r>
      <w:r w:rsidR="00461D2F" w:rsidRPr="001F79B8">
        <w:rPr>
          <w:rFonts w:ascii="Arial" w:hAnsi="Arial" w:cs="Arial"/>
          <w:lang w:val="en-US"/>
        </w:rPr>
        <w:t>mplementation of stringent security measures</w:t>
      </w:r>
      <w:r w:rsidR="00FA4C8D" w:rsidRPr="001F79B8">
        <w:rPr>
          <w:rFonts w:ascii="Arial" w:hAnsi="Arial" w:cs="Arial"/>
          <w:lang w:val="en-US"/>
        </w:rPr>
        <w:t xml:space="preserve">. </w:t>
      </w:r>
    </w:p>
    <w:p w14:paraId="563E477E" w14:textId="6D552FF2" w:rsidR="53439E95" w:rsidRPr="001F79B8" w:rsidRDefault="53439E95" w:rsidP="4CE9FAF3">
      <w:pPr>
        <w:pStyle w:val="ListParagraph"/>
        <w:numPr>
          <w:ilvl w:val="0"/>
          <w:numId w:val="1"/>
        </w:numPr>
        <w:spacing w:beforeAutospacing="1" w:after="0" w:line="240" w:lineRule="auto"/>
        <w:rPr>
          <w:rFonts w:ascii="Arial" w:hAnsi="Arial" w:cs="Arial"/>
        </w:rPr>
      </w:pPr>
      <w:r w:rsidRPr="001F79B8">
        <w:rPr>
          <w:rFonts w:ascii="Arial" w:hAnsi="Arial" w:cs="Arial"/>
          <w:lang w:val="en-US"/>
        </w:rPr>
        <w:t xml:space="preserve">The </w:t>
      </w:r>
      <w:r w:rsidR="00C06A7C" w:rsidRPr="001F79B8">
        <w:rPr>
          <w:rFonts w:ascii="Arial" w:hAnsi="Arial" w:cs="Arial"/>
          <w:i/>
          <w:iCs/>
        </w:rPr>
        <w:t>Security Legislation Amendment (Critical Infrastructure Protection) Act 2022</w:t>
      </w:r>
      <w:r w:rsidR="00376DA3" w:rsidRPr="001F79B8">
        <w:rPr>
          <w:rFonts w:ascii="Arial" w:hAnsi="Arial" w:cs="Arial"/>
          <w:i/>
          <w:iCs/>
        </w:rPr>
        <w:t xml:space="preserve"> </w:t>
      </w:r>
      <w:r w:rsidR="00376DA3" w:rsidRPr="001F79B8">
        <w:rPr>
          <w:rFonts w:ascii="Arial" w:hAnsi="Arial" w:cs="Arial"/>
        </w:rPr>
        <w:t>(</w:t>
      </w:r>
      <w:r w:rsidR="00376DA3" w:rsidRPr="001F79B8">
        <w:rPr>
          <w:rFonts w:ascii="Arial" w:hAnsi="Arial" w:cs="Arial"/>
          <w:b/>
          <w:bCs/>
        </w:rPr>
        <w:t>SLACIP Act</w:t>
      </w:r>
      <w:r w:rsidR="493EA8B9" w:rsidRPr="001F79B8">
        <w:rPr>
          <w:rFonts w:ascii="Arial" w:hAnsi="Arial" w:cs="Arial"/>
        </w:rPr>
        <w:t>)</w:t>
      </w:r>
      <w:r w:rsidR="7BC799F4" w:rsidRPr="001F79B8">
        <w:rPr>
          <w:rFonts w:ascii="Arial" w:hAnsi="Arial" w:cs="Arial"/>
        </w:rPr>
        <w:t>,</w:t>
      </w:r>
      <w:r w:rsidR="00DD2B6F" w:rsidRPr="001F79B8">
        <w:rPr>
          <w:rFonts w:ascii="Arial" w:hAnsi="Arial" w:cs="Arial"/>
          <w:color w:val="FF0000"/>
        </w:rPr>
        <w:t xml:space="preserve"> </w:t>
      </w:r>
      <w:r w:rsidR="5DBB414F" w:rsidRPr="001F79B8">
        <w:rPr>
          <w:rFonts w:ascii="Arial" w:hAnsi="Arial" w:cs="Arial"/>
        </w:rPr>
        <w:t>which</w:t>
      </w:r>
      <w:r w:rsidR="35820F0B" w:rsidRPr="001F79B8">
        <w:rPr>
          <w:rFonts w:ascii="Arial" w:hAnsi="Arial" w:cs="Arial"/>
        </w:rPr>
        <w:t xml:space="preserve"> </w:t>
      </w:r>
    </w:p>
    <w:p w14:paraId="15A3B63E" w14:textId="15B1DD85" w:rsidR="35820F0B" w:rsidRPr="001F79B8" w:rsidRDefault="35820F0B" w:rsidP="4CE9FAF3">
      <w:pPr>
        <w:pStyle w:val="ListParagraph"/>
        <w:numPr>
          <w:ilvl w:val="1"/>
          <w:numId w:val="1"/>
        </w:numPr>
        <w:spacing w:beforeAutospacing="1" w:after="0" w:line="240" w:lineRule="auto"/>
        <w:rPr>
          <w:rFonts w:ascii="Arial" w:hAnsi="Arial" w:cs="Arial"/>
          <w:lang w:val="en-US"/>
        </w:rPr>
      </w:pPr>
      <w:r w:rsidRPr="001F79B8">
        <w:rPr>
          <w:rFonts w:ascii="Arial" w:hAnsi="Arial" w:cs="Arial"/>
        </w:rPr>
        <w:t>a</w:t>
      </w:r>
      <w:r w:rsidR="00960DD3" w:rsidRPr="001F79B8">
        <w:rPr>
          <w:rFonts w:ascii="Arial" w:hAnsi="Arial" w:cs="Arial"/>
        </w:rPr>
        <w:t>dd</w:t>
      </w:r>
      <w:r w:rsidR="6332B82C" w:rsidRPr="001F79B8">
        <w:rPr>
          <w:rFonts w:ascii="Arial" w:hAnsi="Arial" w:cs="Arial"/>
        </w:rPr>
        <w:t>ed</w:t>
      </w:r>
      <w:r w:rsidR="00960DD3" w:rsidRPr="001F79B8">
        <w:rPr>
          <w:rFonts w:ascii="Arial" w:hAnsi="Arial" w:cs="Arial"/>
        </w:rPr>
        <w:t xml:space="preserve"> a new section </w:t>
      </w:r>
      <w:r w:rsidR="005B096A" w:rsidRPr="001F79B8">
        <w:rPr>
          <w:rFonts w:ascii="Arial" w:hAnsi="Arial" w:cs="Arial"/>
        </w:rPr>
        <w:t>3(</w:t>
      </w:r>
      <w:r w:rsidR="00960DD3" w:rsidRPr="001F79B8">
        <w:rPr>
          <w:rFonts w:ascii="Arial" w:hAnsi="Arial" w:cs="Arial"/>
        </w:rPr>
        <w:t>d</w:t>
      </w:r>
      <w:r w:rsidR="005B096A" w:rsidRPr="001F79B8">
        <w:rPr>
          <w:rFonts w:ascii="Arial" w:hAnsi="Arial" w:cs="Arial"/>
        </w:rPr>
        <w:t>)</w:t>
      </w:r>
      <w:r w:rsidR="00D74B4C" w:rsidRPr="001F79B8">
        <w:rPr>
          <w:rFonts w:ascii="Arial" w:hAnsi="Arial" w:cs="Arial"/>
        </w:rPr>
        <w:t xml:space="preserve">: </w:t>
      </w:r>
      <w:r w:rsidR="1E3E4453" w:rsidRPr="001F79B8">
        <w:rPr>
          <w:rFonts w:ascii="Arial" w:hAnsi="Arial" w:cs="Arial"/>
        </w:rPr>
        <w:t>“</w:t>
      </w:r>
      <w:r w:rsidR="00D74B4C" w:rsidRPr="001F79B8">
        <w:rPr>
          <w:rFonts w:ascii="Arial" w:hAnsi="Arial" w:cs="Arial"/>
        </w:rPr>
        <w:t>imposing enhanced cyber security obligations on relevant entities for systems of national significance in order to improve their preparedness for, and ability to respond to, cyber security incidents;</w:t>
      </w:r>
      <w:r w:rsidR="652FB840" w:rsidRPr="001F79B8">
        <w:rPr>
          <w:rFonts w:ascii="Arial" w:hAnsi="Arial" w:cs="Arial"/>
        </w:rPr>
        <w:t>”</w:t>
      </w:r>
    </w:p>
    <w:p w14:paraId="246C81C0" w14:textId="2B46C394" w:rsidR="61DA54DA" w:rsidRPr="001F79B8" w:rsidRDefault="61DA54DA" w:rsidP="4CE9FAF3">
      <w:pPr>
        <w:pStyle w:val="ListParagraph"/>
        <w:numPr>
          <w:ilvl w:val="1"/>
          <w:numId w:val="1"/>
        </w:numPr>
        <w:spacing w:beforeAutospacing="1" w:after="0" w:line="240" w:lineRule="auto"/>
        <w:rPr>
          <w:rFonts w:ascii="Arial" w:hAnsi="Arial" w:cs="Arial"/>
          <w:lang w:val="en-US"/>
        </w:rPr>
      </w:pPr>
      <w:r w:rsidRPr="001F79B8">
        <w:rPr>
          <w:rFonts w:ascii="Arial" w:hAnsi="Arial" w:cs="Arial"/>
          <w:lang w:val="en-US"/>
        </w:rPr>
        <w:t>i</w:t>
      </w:r>
      <w:r w:rsidR="00FC2201" w:rsidRPr="001F79B8">
        <w:rPr>
          <w:rFonts w:ascii="Arial" w:hAnsi="Arial" w:cs="Arial"/>
          <w:lang w:val="en-US"/>
        </w:rPr>
        <w:t xml:space="preserve">ntroduced a new </w:t>
      </w:r>
      <w:r w:rsidR="0072272F" w:rsidRPr="001F79B8">
        <w:rPr>
          <w:rFonts w:ascii="Arial" w:hAnsi="Arial" w:cs="Arial"/>
          <w:lang w:val="en-US"/>
        </w:rPr>
        <w:t>risk management program</w:t>
      </w:r>
      <w:r w:rsidR="3BB362E8" w:rsidRPr="001F79B8">
        <w:rPr>
          <w:rFonts w:ascii="Arial" w:hAnsi="Arial" w:cs="Arial"/>
          <w:lang w:val="en-US"/>
        </w:rPr>
        <w:t xml:space="preserve"> requiring that a critical infrastructure risk management program is maintained by entities who hold one or more critical infrastructure assets</w:t>
      </w:r>
      <w:r w:rsidR="0072272F" w:rsidRPr="001F79B8">
        <w:rPr>
          <w:rFonts w:ascii="Arial" w:hAnsi="Arial" w:cs="Arial"/>
          <w:lang w:val="en-US"/>
        </w:rPr>
        <w:t xml:space="preserve"> (Part 2A</w:t>
      </w:r>
      <w:r w:rsidR="3AB2A9C2" w:rsidRPr="001F79B8">
        <w:rPr>
          <w:rFonts w:ascii="Arial" w:hAnsi="Arial" w:cs="Arial"/>
          <w:lang w:val="en-US"/>
        </w:rPr>
        <w:t>)</w:t>
      </w:r>
      <w:r w:rsidR="20124DCF" w:rsidRPr="001F79B8">
        <w:rPr>
          <w:rFonts w:ascii="Arial" w:hAnsi="Arial" w:cs="Arial"/>
          <w:lang w:val="en-US"/>
        </w:rPr>
        <w:t>;</w:t>
      </w:r>
    </w:p>
    <w:p w14:paraId="6D8B3ADD" w14:textId="0EEFEDB6" w:rsidR="20124DCF" w:rsidRPr="001F79B8" w:rsidRDefault="20124DCF" w:rsidP="4CE9FAF3">
      <w:pPr>
        <w:pStyle w:val="ListParagraph"/>
        <w:numPr>
          <w:ilvl w:val="1"/>
          <w:numId w:val="1"/>
        </w:numPr>
        <w:spacing w:beforeAutospacing="1" w:after="0" w:line="240" w:lineRule="auto"/>
        <w:rPr>
          <w:rFonts w:ascii="Arial" w:hAnsi="Arial" w:cs="Arial"/>
          <w:lang w:val="en-US"/>
        </w:rPr>
      </w:pPr>
      <w:r w:rsidRPr="001F79B8">
        <w:rPr>
          <w:rFonts w:ascii="Arial" w:hAnsi="Arial" w:cs="Arial"/>
          <w:lang w:val="en-US"/>
        </w:rPr>
        <w:t xml:space="preserve">introduced a </w:t>
      </w:r>
      <w:r w:rsidR="7DBF669F" w:rsidRPr="001F79B8">
        <w:rPr>
          <w:rFonts w:ascii="Arial" w:hAnsi="Arial" w:cs="Arial"/>
          <w:lang w:val="en-US"/>
        </w:rPr>
        <w:t>requirement that the Minister to notify every reporting entity for assets that are declared to be of national significance, and the Minister also has the power to privately declare systems of national significance (Part 6A).</w:t>
      </w:r>
    </w:p>
    <w:p w14:paraId="10B0341F" w14:textId="67940A1B" w:rsidR="4CE9FAF3" w:rsidRPr="001F79B8" w:rsidRDefault="4CE9FAF3" w:rsidP="4CE9FAF3">
      <w:pPr>
        <w:pStyle w:val="ListParagraph"/>
        <w:spacing w:beforeAutospacing="1" w:after="0" w:line="240" w:lineRule="auto"/>
        <w:ind w:left="1440"/>
        <w:rPr>
          <w:rFonts w:ascii="Arial" w:hAnsi="Arial" w:cs="Arial"/>
          <w:lang w:val="en-US"/>
        </w:rPr>
      </w:pPr>
    </w:p>
    <w:p w14:paraId="33602DE0" w14:textId="77777777" w:rsidR="0011174B" w:rsidRPr="001F79B8" w:rsidRDefault="0011174B" w:rsidP="00E50B19">
      <w:pPr>
        <w:spacing w:before="100" w:beforeAutospacing="1" w:after="0" w:line="240" w:lineRule="auto"/>
        <w:rPr>
          <w:rFonts w:ascii="Arial" w:hAnsi="Arial" w:cs="Arial"/>
          <w:i/>
          <w:iCs/>
          <w:lang w:val="en-US"/>
        </w:rPr>
      </w:pPr>
    </w:p>
    <w:sectPr w:rsidR="0011174B" w:rsidRPr="001F79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A9D68" w14:textId="77777777" w:rsidR="00A3109B" w:rsidRDefault="00A3109B" w:rsidP="00E0229D">
      <w:pPr>
        <w:spacing w:after="0" w:line="240" w:lineRule="auto"/>
      </w:pPr>
      <w:r>
        <w:separator/>
      </w:r>
    </w:p>
  </w:endnote>
  <w:endnote w:type="continuationSeparator" w:id="0">
    <w:p w14:paraId="4E46F8EC" w14:textId="77777777" w:rsidR="00A3109B" w:rsidRDefault="00A3109B" w:rsidP="00E02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F0A38" w14:textId="77777777" w:rsidR="00A3109B" w:rsidRDefault="00A3109B" w:rsidP="00E0229D">
      <w:pPr>
        <w:spacing w:after="0" w:line="240" w:lineRule="auto"/>
      </w:pPr>
      <w:r>
        <w:separator/>
      </w:r>
    </w:p>
  </w:footnote>
  <w:footnote w:type="continuationSeparator" w:id="0">
    <w:p w14:paraId="52788B7D" w14:textId="77777777" w:rsidR="00A3109B" w:rsidRDefault="00A3109B" w:rsidP="00E0229D">
      <w:pPr>
        <w:spacing w:after="0" w:line="240" w:lineRule="auto"/>
      </w:pPr>
      <w:r>
        <w:continuationSeparator/>
      </w:r>
    </w:p>
  </w:footnote>
  <w:footnote w:id="1">
    <w:p w14:paraId="280505EB" w14:textId="0A2838CE" w:rsidR="00E0229D" w:rsidRPr="00906B3C" w:rsidRDefault="00E0229D" w:rsidP="00906B3C">
      <w:pPr>
        <w:spacing w:after="0"/>
      </w:pPr>
      <w:r>
        <w:rPr>
          <w:rStyle w:val="FootnoteReference"/>
        </w:rPr>
        <w:footnoteRef/>
      </w:r>
      <w:r>
        <w:t xml:space="preserve"> </w:t>
      </w:r>
      <w:r w:rsidR="00906B3C" w:rsidRPr="00906B3C">
        <w:rPr>
          <w:sz w:val="20"/>
          <w:szCs w:val="20"/>
        </w:rPr>
        <w:t xml:space="preserve">Australian Signals Directorate, Australian Government, </w:t>
      </w:r>
      <w:r w:rsidR="00906B3C" w:rsidRPr="00906B3C">
        <w:rPr>
          <w:i/>
          <w:iCs/>
          <w:sz w:val="20"/>
          <w:szCs w:val="20"/>
        </w:rPr>
        <w:t xml:space="preserve">ASD Cyber Threat Report 2022-2023 </w:t>
      </w:r>
      <w:r w:rsidR="00906B3C" w:rsidRPr="00906B3C">
        <w:rPr>
          <w:sz w:val="20"/>
          <w:szCs w:val="20"/>
        </w:rPr>
        <w:t xml:space="preserve">(Report, 14 November 2023) </w:t>
      </w:r>
      <w:hyperlink r:id="rId1" w:history="1">
        <w:r w:rsidR="00B516F2">
          <w:rPr>
            <w:rStyle w:val="Hyperlink"/>
            <w:sz w:val="20"/>
            <w:szCs w:val="20"/>
          </w:rPr>
          <w:t>https://www.cyber.gov.au/about-us/view-all-content/reports-and-statistics/asd-cyber-threat-report-july-2022-june-2023</w:t>
        </w:r>
      </w:hyperlink>
      <w:r w:rsidR="00906B3C">
        <w:rPr>
          <w:rStyle w:val="Hyperlink"/>
          <w:color w:val="auto"/>
          <w:sz w:val="20"/>
          <w:szCs w:val="20"/>
          <w:u w:val="none"/>
        </w:rPr>
        <w:t>.</w:t>
      </w:r>
    </w:p>
  </w:footnote>
  <w:footnote w:id="2">
    <w:p w14:paraId="1264242B" w14:textId="77777777" w:rsidR="00A86AB0" w:rsidRDefault="00A86AB0" w:rsidP="00A86AB0">
      <w:pPr>
        <w:pStyle w:val="FootnoteText"/>
      </w:pPr>
      <w:r>
        <w:rPr>
          <w:rStyle w:val="FootnoteReference"/>
        </w:rPr>
        <w:footnoteRef/>
      </w:r>
      <w:r>
        <w:t xml:space="preserve"> </w:t>
      </w:r>
      <w:r w:rsidRPr="00906B3C">
        <w:t xml:space="preserve">Australian Signals Directorate, Australian Government, </w:t>
      </w:r>
      <w:r w:rsidRPr="00906B3C">
        <w:rPr>
          <w:i/>
          <w:iCs/>
        </w:rPr>
        <w:t xml:space="preserve">ASD Cyber Threat Report 2022-2023 </w:t>
      </w:r>
      <w:r w:rsidRPr="00906B3C">
        <w:t xml:space="preserve">(Report, 14 November 2023) </w:t>
      </w:r>
      <w:hyperlink r:id="rId2" w:history="1">
        <w:r>
          <w:rPr>
            <w:rStyle w:val="Hyperlink"/>
          </w:rPr>
          <w:t>https://www.cyber.gov.au/about-us/view-all-content/reports-and-statistics/asd-cyber-threat-report-july-2022-june-2023</w:t>
        </w:r>
      </w:hyperlink>
      <w:r>
        <w:rPr>
          <w:rStyle w:val="Hyperlink"/>
          <w:color w:val="auto"/>
          <w:u w:val="none"/>
        </w:rPr>
        <w:t>.</w:t>
      </w:r>
    </w:p>
  </w:footnote>
  <w:footnote w:id="3">
    <w:p w14:paraId="34EDF870" w14:textId="46D2C27B" w:rsidR="00745865" w:rsidRDefault="00745865">
      <w:pPr>
        <w:pStyle w:val="FootnoteText"/>
      </w:pPr>
      <w:r>
        <w:rPr>
          <w:rStyle w:val="FootnoteReference"/>
        </w:rPr>
        <w:footnoteRef/>
      </w:r>
      <w:r>
        <w:t xml:space="preserve"> </w:t>
      </w:r>
      <w:r w:rsidR="00933560">
        <w:t>Robert Walters</w:t>
      </w:r>
      <w:r w:rsidR="003477B3" w:rsidRPr="003477B3">
        <w:t xml:space="preserve"> and </w:t>
      </w:r>
      <w:r w:rsidR="00933560">
        <w:t>Marko Novak</w:t>
      </w:r>
      <w:r w:rsidR="00ED0017">
        <w:t>,</w:t>
      </w:r>
      <w:r w:rsidR="003477B3" w:rsidRPr="003477B3">
        <w:t xml:space="preserve"> </w:t>
      </w:r>
      <w:r w:rsidR="00C64885">
        <w:t>‘</w:t>
      </w:r>
      <w:r w:rsidR="003477B3" w:rsidRPr="00C64885">
        <w:t>Cyber security</w:t>
      </w:r>
      <w:r w:rsidR="00ED0017" w:rsidRPr="00C64885">
        <w:t>:</w:t>
      </w:r>
      <w:r w:rsidR="003477B3" w:rsidRPr="00C64885">
        <w:t xml:space="preserve"> In Cyber security, artificial intelligence, data protection &amp; the law</w:t>
      </w:r>
      <w:r w:rsidR="00C64885">
        <w:t>’</w:t>
      </w:r>
      <w:r w:rsidR="003477B3" w:rsidRPr="00ED0017">
        <w:rPr>
          <w:i/>
          <w:iCs/>
        </w:rPr>
        <w:t xml:space="preserve"> </w:t>
      </w:r>
      <w:r w:rsidR="00ED0017">
        <w:t>(</w:t>
      </w:r>
      <w:r w:rsidR="00682F95">
        <w:t xml:space="preserve">2008) </w:t>
      </w:r>
      <w:r w:rsidR="003477B3" w:rsidRPr="003477B3">
        <w:t>Springer Singapore</w:t>
      </w:r>
      <w:r w:rsidR="00682F95">
        <w:t xml:space="preserve"> </w:t>
      </w:r>
      <w:r w:rsidR="00DD766F">
        <w:t xml:space="preserve">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2972A"/>
    <w:multiLevelType w:val="hybridMultilevel"/>
    <w:tmpl w:val="B3F41D6C"/>
    <w:lvl w:ilvl="0" w:tplc="337ECF44">
      <w:start w:val="1"/>
      <w:numFmt w:val="bullet"/>
      <w:lvlText w:val=""/>
      <w:lvlJc w:val="left"/>
      <w:pPr>
        <w:ind w:left="720" w:hanging="360"/>
      </w:pPr>
      <w:rPr>
        <w:rFonts w:ascii="Symbol" w:hAnsi="Symbol" w:hint="default"/>
      </w:rPr>
    </w:lvl>
    <w:lvl w:ilvl="1" w:tplc="17849048">
      <w:start w:val="1"/>
      <w:numFmt w:val="bullet"/>
      <w:lvlText w:val="o"/>
      <w:lvlJc w:val="left"/>
      <w:pPr>
        <w:ind w:left="1440" w:hanging="360"/>
      </w:pPr>
      <w:rPr>
        <w:rFonts w:ascii="Courier New" w:hAnsi="Courier New" w:hint="default"/>
      </w:rPr>
    </w:lvl>
    <w:lvl w:ilvl="2" w:tplc="8A2ADCD6">
      <w:start w:val="1"/>
      <w:numFmt w:val="bullet"/>
      <w:lvlText w:val=""/>
      <w:lvlJc w:val="left"/>
      <w:pPr>
        <w:ind w:left="2160" w:hanging="360"/>
      </w:pPr>
      <w:rPr>
        <w:rFonts w:ascii="Wingdings" w:hAnsi="Wingdings" w:hint="default"/>
      </w:rPr>
    </w:lvl>
    <w:lvl w:ilvl="3" w:tplc="9CC00FD4">
      <w:start w:val="1"/>
      <w:numFmt w:val="bullet"/>
      <w:lvlText w:val=""/>
      <w:lvlJc w:val="left"/>
      <w:pPr>
        <w:ind w:left="2880" w:hanging="360"/>
      </w:pPr>
      <w:rPr>
        <w:rFonts w:ascii="Symbol" w:hAnsi="Symbol" w:hint="default"/>
      </w:rPr>
    </w:lvl>
    <w:lvl w:ilvl="4" w:tplc="93387504">
      <w:start w:val="1"/>
      <w:numFmt w:val="bullet"/>
      <w:lvlText w:val="o"/>
      <w:lvlJc w:val="left"/>
      <w:pPr>
        <w:ind w:left="3600" w:hanging="360"/>
      </w:pPr>
      <w:rPr>
        <w:rFonts w:ascii="Courier New" w:hAnsi="Courier New" w:hint="default"/>
      </w:rPr>
    </w:lvl>
    <w:lvl w:ilvl="5" w:tplc="948A0320">
      <w:start w:val="1"/>
      <w:numFmt w:val="bullet"/>
      <w:lvlText w:val=""/>
      <w:lvlJc w:val="left"/>
      <w:pPr>
        <w:ind w:left="4320" w:hanging="360"/>
      </w:pPr>
      <w:rPr>
        <w:rFonts w:ascii="Wingdings" w:hAnsi="Wingdings" w:hint="default"/>
      </w:rPr>
    </w:lvl>
    <w:lvl w:ilvl="6" w:tplc="3232F612">
      <w:start w:val="1"/>
      <w:numFmt w:val="bullet"/>
      <w:lvlText w:val=""/>
      <w:lvlJc w:val="left"/>
      <w:pPr>
        <w:ind w:left="5040" w:hanging="360"/>
      </w:pPr>
      <w:rPr>
        <w:rFonts w:ascii="Symbol" w:hAnsi="Symbol" w:hint="default"/>
      </w:rPr>
    </w:lvl>
    <w:lvl w:ilvl="7" w:tplc="B67418CE">
      <w:start w:val="1"/>
      <w:numFmt w:val="bullet"/>
      <w:lvlText w:val="o"/>
      <w:lvlJc w:val="left"/>
      <w:pPr>
        <w:ind w:left="5760" w:hanging="360"/>
      </w:pPr>
      <w:rPr>
        <w:rFonts w:ascii="Courier New" w:hAnsi="Courier New" w:hint="default"/>
      </w:rPr>
    </w:lvl>
    <w:lvl w:ilvl="8" w:tplc="D78A82FC">
      <w:start w:val="1"/>
      <w:numFmt w:val="bullet"/>
      <w:lvlText w:val=""/>
      <w:lvlJc w:val="left"/>
      <w:pPr>
        <w:ind w:left="6480" w:hanging="360"/>
      </w:pPr>
      <w:rPr>
        <w:rFonts w:ascii="Wingdings" w:hAnsi="Wingdings" w:hint="default"/>
      </w:rPr>
    </w:lvl>
  </w:abstractNum>
  <w:abstractNum w:abstractNumId="1" w15:restartNumberingAfterBreak="0">
    <w:nsid w:val="1ADD3A2D"/>
    <w:multiLevelType w:val="hybridMultilevel"/>
    <w:tmpl w:val="1528E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C6E404"/>
    <w:multiLevelType w:val="hybridMultilevel"/>
    <w:tmpl w:val="D40A0EF8"/>
    <w:lvl w:ilvl="0" w:tplc="9D485F88">
      <w:start w:val="1"/>
      <w:numFmt w:val="bullet"/>
      <w:lvlText w:val=""/>
      <w:lvlJc w:val="left"/>
      <w:pPr>
        <w:ind w:left="720" w:hanging="360"/>
      </w:pPr>
      <w:rPr>
        <w:rFonts w:ascii="Symbol" w:hAnsi="Symbol" w:hint="default"/>
      </w:rPr>
    </w:lvl>
    <w:lvl w:ilvl="1" w:tplc="7226AFE0">
      <w:start w:val="1"/>
      <w:numFmt w:val="bullet"/>
      <w:lvlText w:val="o"/>
      <w:lvlJc w:val="left"/>
      <w:pPr>
        <w:ind w:left="1440" w:hanging="360"/>
      </w:pPr>
      <w:rPr>
        <w:rFonts w:ascii="Courier New" w:hAnsi="Courier New" w:hint="default"/>
      </w:rPr>
    </w:lvl>
    <w:lvl w:ilvl="2" w:tplc="D9B44F9A">
      <w:start w:val="1"/>
      <w:numFmt w:val="bullet"/>
      <w:lvlText w:val=""/>
      <w:lvlJc w:val="left"/>
      <w:pPr>
        <w:ind w:left="2160" w:hanging="360"/>
      </w:pPr>
      <w:rPr>
        <w:rFonts w:ascii="Wingdings" w:hAnsi="Wingdings" w:hint="default"/>
      </w:rPr>
    </w:lvl>
    <w:lvl w:ilvl="3" w:tplc="5A365024">
      <w:start w:val="1"/>
      <w:numFmt w:val="bullet"/>
      <w:lvlText w:val=""/>
      <w:lvlJc w:val="left"/>
      <w:pPr>
        <w:ind w:left="2880" w:hanging="360"/>
      </w:pPr>
      <w:rPr>
        <w:rFonts w:ascii="Symbol" w:hAnsi="Symbol" w:hint="default"/>
      </w:rPr>
    </w:lvl>
    <w:lvl w:ilvl="4" w:tplc="FC74AB8A">
      <w:start w:val="1"/>
      <w:numFmt w:val="bullet"/>
      <w:lvlText w:val="o"/>
      <w:lvlJc w:val="left"/>
      <w:pPr>
        <w:ind w:left="3600" w:hanging="360"/>
      </w:pPr>
      <w:rPr>
        <w:rFonts w:ascii="Courier New" w:hAnsi="Courier New" w:hint="default"/>
      </w:rPr>
    </w:lvl>
    <w:lvl w:ilvl="5" w:tplc="795EA484">
      <w:start w:val="1"/>
      <w:numFmt w:val="bullet"/>
      <w:lvlText w:val=""/>
      <w:lvlJc w:val="left"/>
      <w:pPr>
        <w:ind w:left="4320" w:hanging="360"/>
      </w:pPr>
      <w:rPr>
        <w:rFonts w:ascii="Wingdings" w:hAnsi="Wingdings" w:hint="default"/>
      </w:rPr>
    </w:lvl>
    <w:lvl w:ilvl="6" w:tplc="0D26EB7C">
      <w:start w:val="1"/>
      <w:numFmt w:val="bullet"/>
      <w:lvlText w:val=""/>
      <w:lvlJc w:val="left"/>
      <w:pPr>
        <w:ind w:left="5040" w:hanging="360"/>
      </w:pPr>
      <w:rPr>
        <w:rFonts w:ascii="Symbol" w:hAnsi="Symbol" w:hint="default"/>
      </w:rPr>
    </w:lvl>
    <w:lvl w:ilvl="7" w:tplc="BC20B57E">
      <w:start w:val="1"/>
      <w:numFmt w:val="bullet"/>
      <w:lvlText w:val="o"/>
      <w:lvlJc w:val="left"/>
      <w:pPr>
        <w:ind w:left="5760" w:hanging="360"/>
      </w:pPr>
      <w:rPr>
        <w:rFonts w:ascii="Courier New" w:hAnsi="Courier New" w:hint="default"/>
      </w:rPr>
    </w:lvl>
    <w:lvl w:ilvl="8" w:tplc="5044D740">
      <w:start w:val="1"/>
      <w:numFmt w:val="bullet"/>
      <w:lvlText w:val=""/>
      <w:lvlJc w:val="left"/>
      <w:pPr>
        <w:ind w:left="6480" w:hanging="360"/>
      </w:pPr>
      <w:rPr>
        <w:rFonts w:ascii="Wingdings" w:hAnsi="Wingdings" w:hint="default"/>
      </w:rPr>
    </w:lvl>
  </w:abstractNum>
  <w:abstractNum w:abstractNumId="3" w15:restartNumberingAfterBreak="0">
    <w:nsid w:val="30E502E1"/>
    <w:multiLevelType w:val="hybridMultilevel"/>
    <w:tmpl w:val="437E9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A022C6"/>
    <w:multiLevelType w:val="hybridMultilevel"/>
    <w:tmpl w:val="4F52603C"/>
    <w:lvl w:ilvl="0" w:tplc="616CC43E">
      <w:start w:val="1"/>
      <w:numFmt w:val="bullet"/>
      <w:lvlText w:val=""/>
      <w:lvlJc w:val="left"/>
      <w:pPr>
        <w:ind w:left="720" w:hanging="360"/>
      </w:pPr>
      <w:rPr>
        <w:rFonts w:ascii="Symbol" w:hAnsi="Symbol" w:hint="default"/>
      </w:rPr>
    </w:lvl>
    <w:lvl w:ilvl="1" w:tplc="35020944">
      <w:start w:val="1"/>
      <w:numFmt w:val="bullet"/>
      <w:lvlText w:val="o"/>
      <w:lvlJc w:val="left"/>
      <w:pPr>
        <w:ind w:left="1440" w:hanging="360"/>
      </w:pPr>
      <w:rPr>
        <w:rFonts w:ascii="Courier New" w:hAnsi="Courier New" w:hint="default"/>
      </w:rPr>
    </w:lvl>
    <w:lvl w:ilvl="2" w:tplc="CA163384">
      <w:start w:val="1"/>
      <w:numFmt w:val="bullet"/>
      <w:lvlText w:val=""/>
      <w:lvlJc w:val="left"/>
      <w:pPr>
        <w:ind w:left="2160" w:hanging="360"/>
      </w:pPr>
      <w:rPr>
        <w:rFonts w:ascii="Wingdings" w:hAnsi="Wingdings" w:hint="default"/>
      </w:rPr>
    </w:lvl>
    <w:lvl w:ilvl="3" w:tplc="97B801E4">
      <w:start w:val="1"/>
      <w:numFmt w:val="bullet"/>
      <w:lvlText w:val=""/>
      <w:lvlJc w:val="left"/>
      <w:pPr>
        <w:ind w:left="2880" w:hanging="360"/>
      </w:pPr>
      <w:rPr>
        <w:rFonts w:ascii="Symbol" w:hAnsi="Symbol" w:hint="default"/>
      </w:rPr>
    </w:lvl>
    <w:lvl w:ilvl="4" w:tplc="CEEE20F2">
      <w:start w:val="1"/>
      <w:numFmt w:val="bullet"/>
      <w:lvlText w:val="o"/>
      <w:lvlJc w:val="left"/>
      <w:pPr>
        <w:ind w:left="3600" w:hanging="360"/>
      </w:pPr>
      <w:rPr>
        <w:rFonts w:ascii="Courier New" w:hAnsi="Courier New" w:hint="default"/>
      </w:rPr>
    </w:lvl>
    <w:lvl w:ilvl="5" w:tplc="33406498">
      <w:start w:val="1"/>
      <w:numFmt w:val="bullet"/>
      <w:lvlText w:val=""/>
      <w:lvlJc w:val="left"/>
      <w:pPr>
        <w:ind w:left="4320" w:hanging="360"/>
      </w:pPr>
      <w:rPr>
        <w:rFonts w:ascii="Wingdings" w:hAnsi="Wingdings" w:hint="default"/>
      </w:rPr>
    </w:lvl>
    <w:lvl w:ilvl="6" w:tplc="8D5A3BD2">
      <w:start w:val="1"/>
      <w:numFmt w:val="bullet"/>
      <w:lvlText w:val=""/>
      <w:lvlJc w:val="left"/>
      <w:pPr>
        <w:ind w:left="5040" w:hanging="360"/>
      </w:pPr>
      <w:rPr>
        <w:rFonts w:ascii="Symbol" w:hAnsi="Symbol" w:hint="default"/>
      </w:rPr>
    </w:lvl>
    <w:lvl w:ilvl="7" w:tplc="44DE8D16">
      <w:start w:val="1"/>
      <w:numFmt w:val="bullet"/>
      <w:lvlText w:val="o"/>
      <w:lvlJc w:val="left"/>
      <w:pPr>
        <w:ind w:left="5760" w:hanging="360"/>
      </w:pPr>
      <w:rPr>
        <w:rFonts w:ascii="Courier New" w:hAnsi="Courier New" w:hint="default"/>
      </w:rPr>
    </w:lvl>
    <w:lvl w:ilvl="8" w:tplc="0A9AF052">
      <w:start w:val="1"/>
      <w:numFmt w:val="bullet"/>
      <w:lvlText w:val=""/>
      <w:lvlJc w:val="left"/>
      <w:pPr>
        <w:ind w:left="6480" w:hanging="360"/>
      </w:pPr>
      <w:rPr>
        <w:rFonts w:ascii="Wingdings" w:hAnsi="Wingdings" w:hint="default"/>
      </w:rPr>
    </w:lvl>
  </w:abstractNum>
  <w:abstractNum w:abstractNumId="5" w15:restartNumberingAfterBreak="0">
    <w:nsid w:val="35401C76"/>
    <w:multiLevelType w:val="hybridMultilevel"/>
    <w:tmpl w:val="AAA86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D884F4C"/>
    <w:multiLevelType w:val="hybridMultilevel"/>
    <w:tmpl w:val="959AB586"/>
    <w:lvl w:ilvl="0" w:tplc="E8EE7B20">
      <w:start w:val="1"/>
      <w:numFmt w:val="bullet"/>
      <w:lvlText w:val="•"/>
      <w:lvlJc w:val="left"/>
      <w:pPr>
        <w:ind w:left="720" w:hanging="360"/>
      </w:pPr>
      <w:rPr>
        <w:rFonts w:ascii="Symbol" w:eastAsia="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364770"/>
    <w:multiLevelType w:val="hybridMultilevel"/>
    <w:tmpl w:val="D1B0DD26"/>
    <w:lvl w:ilvl="0" w:tplc="F40052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C60828"/>
    <w:multiLevelType w:val="hybridMultilevel"/>
    <w:tmpl w:val="A51247F6"/>
    <w:lvl w:ilvl="0" w:tplc="3E186E36">
      <w:start w:val="1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433394"/>
    <w:multiLevelType w:val="hybridMultilevel"/>
    <w:tmpl w:val="FE1C1F9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3801290">
    <w:abstractNumId w:val="0"/>
  </w:num>
  <w:num w:numId="2" w16cid:durableId="632251190">
    <w:abstractNumId w:val="2"/>
  </w:num>
  <w:num w:numId="3" w16cid:durableId="1854415354">
    <w:abstractNumId w:val="4"/>
  </w:num>
  <w:num w:numId="4" w16cid:durableId="466894186">
    <w:abstractNumId w:val="5"/>
  </w:num>
  <w:num w:numId="5" w16cid:durableId="2056612081">
    <w:abstractNumId w:val="6"/>
  </w:num>
  <w:num w:numId="6" w16cid:durableId="89090045">
    <w:abstractNumId w:val="8"/>
  </w:num>
  <w:num w:numId="7" w16cid:durableId="742721538">
    <w:abstractNumId w:val="9"/>
  </w:num>
  <w:num w:numId="8" w16cid:durableId="571500818">
    <w:abstractNumId w:val="1"/>
  </w:num>
  <w:num w:numId="9" w16cid:durableId="719672725">
    <w:abstractNumId w:val="3"/>
  </w:num>
  <w:num w:numId="10" w16cid:durableId="1774129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AA"/>
    <w:rsid w:val="000070E7"/>
    <w:rsid w:val="000209E0"/>
    <w:rsid w:val="0002467D"/>
    <w:rsid w:val="0002513E"/>
    <w:rsid w:val="00026834"/>
    <w:rsid w:val="000335C2"/>
    <w:rsid w:val="000362B5"/>
    <w:rsid w:val="000549E1"/>
    <w:rsid w:val="0005660B"/>
    <w:rsid w:val="00072D1E"/>
    <w:rsid w:val="00077AA0"/>
    <w:rsid w:val="00091E53"/>
    <w:rsid w:val="00096C82"/>
    <w:rsid w:val="000A4FE2"/>
    <w:rsid w:val="000B2CB9"/>
    <w:rsid w:val="000B7E3E"/>
    <w:rsid w:val="000C3F80"/>
    <w:rsid w:val="000D0E9E"/>
    <w:rsid w:val="000E1941"/>
    <w:rsid w:val="000F0A53"/>
    <w:rsid w:val="000F1BF9"/>
    <w:rsid w:val="00106430"/>
    <w:rsid w:val="0011174B"/>
    <w:rsid w:val="00113315"/>
    <w:rsid w:val="001149EF"/>
    <w:rsid w:val="001214CF"/>
    <w:rsid w:val="00123DEF"/>
    <w:rsid w:val="00130297"/>
    <w:rsid w:val="00146972"/>
    <w:rsid w:val="00151BA4"/>
    <w:rsid w:val="00154E93"/>
    <w:rsid w:val="00160527"/>
    <w:rsid w:val="00165BE6"/>
    <w:rsid w:val="00186906"/>
    <w:rsid w:val="0019164A"/>
    <w:rsid w:val="0019782D"/>
    <w:rsid w:val="001A26B9"/>
    <w:rsid w:val="001B0D45"/>
    <w:rsid w:val="001B3524"/>
    <w:rsid w:val="001B4C38"/>
    <w:rsid w:val="001B7796"/>
    <w:rsid w:val="001C21D7"/>
    <w:rsid w:val="001D2D4E"/>
    <w:rsid w:val="001E5011"/>
    <w:rsid w:val="001F1894"/>
    <w:rsid w:val="001F1F50"/>
    <w:rsid w:val="001F79B8"/>
    <w:rsid w:val="00201A2D"/>
    <w:rsid w:val="0020369E"/>
    <w:rsid w:val="00215284"/>
    <w:rsid w:val="00220D7D"/>
    <w:rsid w:val="00224288"/>
    <w:rsid w:val="0023119D"/>
    <w:rsid w:val="0023248C"/>
    <w:rsid w:val="00257D78"/>
    <w:rsid w:val="002606AA"/>
    <w:rsid w:val="00267263"/>
    <w:rsid w:val="00281EFA"/>
    <w:rsid w:val="00283702"/>
    <w:rsid w:val="0028661C"/>
    <w:rsid w:val="002A24B2"/>
    <w:rsid w:val="002A3796"/>
    <w:rsid w:val="002B1DAD"/>
    <w:rsid w:val="002B6A5E"/>
    <w:rsid w:val="002C43CB"/>
    <w:rsid w:val="002D4836"/>
    <w:rsid w:val="002E59BF"/>
    <w:rsid w:val="002E746F"/>
    <w:rsid w:val="002F2D96"/>
    <w:rsid w:val="0030792B"/>
    <w:rsid w:val="00326D3E"/>
    <w:rsid w:val="00331527"/>
    <w:rsid w:val="00337259"/>
    <w:rsid w:val="003477B3"/>
    <w:rsid w:val="003607C1"/>
    <w:rsid w:val="00365F82"/>
    <w:rsid w:val="0036735B"/>
    <w:rsid w:val="00372293"/>
    <w:rsid w:val="00376DA3"/>
    <w:rsid w:val="003941BB"/>
    <w:rsid w:val="003A26C7"/>
    <w:rsid w:val="003B004E"/>
    <w:rsid w:val="003B3E19"/>
    <w:rsid w:val="003D37E6"/>
    <w:rsid w:val="003E0FA8"/>
    <w:rsid w:val="003E45D7"/>
    <w:rsid w:val="003E5B53"/>
    <w:rsid w:val="003F32F2"/>
    <w:rsid w:val="003F422D"/>
    <w:rsid w:val="003F6D30"/>
    <w:rsid w:val="00410166"/>
    <w:rsid w:val="00410474"/>
    <w:rsid w:val="0041696D"/>
    <w:rsid w:val="00444332"/>
    <w:rsid w:val="00444421"/>
    <w:rsid w:val="00445D05"/>
    <w:rsid w:val="004540B4"/>
    <w:rsid w:val="00461D2F"/>
    <w:rsid w:val="00462C8E"/>
    <w:rsid w:val="00462E5B"/>
    <w:rsid w:val="00467250"/>
    <w:rsid w:val="00471144"/>
    <w:rsid w:val="00487F82"/>
    <w:rsid w:val="004A7B15"/>
    <w:rsid w:val="004B07CB"/>
    <w:rsid w:val="004B45FF"/>
    <w:rsid w:val="004F2CD0"/>
    <w:rsid w:val="004F3331"/>
    <w:rsid w:val="004F7B5B"/>
    <w:rsid w:val="005023CF"/>
    <w:rsid w:val="0051434B"/>
    <w:rsid w:val="005159A4"/>
    <w:rsid w:val="0052097B"/>
    <w:rsid w:val="0055051B"/>
    <w:rsid w:val="00550F7B"/>
    <w:rsid w:val="00557DDF"/>
    <w:rsid w:val="005857F5"/>
    <w:rsid w:val="00594E7B"/>
    <w:rsid w:val="005B096A"/>
    <w:rsid w:val="005B4537"/>
    <w:rsid w:val="005C03AF"/>
    <w:rsid w:val="005C3794"/>
    <w:rsid w:val="005C7944"/>
    <w:rsid w:val="005D1635"/>
    <w:rsid w:val="005D22F2"/>
    <w:rsid w:val="005D3988"/>
    <w:rsid w:val="005D7417"/>
    <w:rsid w:val="005E0C25"/>
    <w:rsid w:val="005E0E2D"/>
    <w:rsid w:val="005E1877"/>
    <w:rsid w:val="005E387E"/>
    <w:rsid w:val="005E3B00"/>
    <w:rsid w:val="006028B1"/>
    <w:rsid w:val="0061435B"/>
    <w:rsid w:val="00614DFF"/>
    <w:rsid w:val="00626D9F"/>
    <w:rsid w:val="006278E5"/>
    <w:rsid w:val="0063597D"/>
    <w:rsid w:val="00643F15"/>
    <w:rsid w:val="006465DC"/>
    <w:rsid w:val="0064F8B0"/>
    <w:rsid w:val="0066777F"/>
    <w:rsid w:val="00673156"/>
    <w:rsid w:val="006771E5"/>
    <w:rsid w:val="00682F95"/>
    <w:rsid w:val="0069468F"/>
    <w:rsid w:val="006A1A3B"/>
    <w:rsid w:val="006C04FB"/>
    <w:rsid w:val="006C058F"/>
    <w:rsid w:val="006D0B9E"/>
    <w:rsid w:val="006D21F2"/>
    <w:rsid w:val="006D2E2E"/>
    <w:rsid w:val="006D6408"/>
    <w:rsid w:val="00706458"/>
    <w:rsid w:val="00707699"/>
    <w:rsid w:val="00711DCC"/>
    <w:rsid w:val="0071728A"/>
    <w:rsid w:val="0072272F"/>
    <w:rsid w:val="007237E1"/>
    <w:rsid w:val="00724C68"/>
    <w:rsid w:val="007352A0"/>
    <w:rsid w:val="007371AF"/>
    <w:rsid w:val="00745865"/>
    <w:rsid w:val="0074721C"/>
    <w:rsid w:val="007663B9"/>
    <w:rsid w:val="007730AA"/>
    <w:rsid w:val="0078002C"/>
    <w:rsid w:val="007959E4"/>
    <w:rsid w:val="007B0552"/>
    <w:rsid w:val="007B2029"/>
    <w:rsid w:val="007B4EAD"/>
    <w:rsid w:val="007C342A"/>
    <w:rsid w:val="007C79D3"/>
    <w:rsid w:val="007D7687"/>
    <w:rsid w:val="007E171C"/>
    <w:rsid w:val="007E4266"/>
    <w:rsid w:val="00821569"/>
    <w:rsid w:val="00830145"/>
    <w:rsid w:val="008362D7"/>
    <w:rsid w:val="00873452"/>
    <w:rsid w:val="00873AAD"/>
    <w:rsid w:val="00875A9C"/>
    <w:rsid w:val="00882747"/>
    <w:rsid w:val="008838F5"/>
    <w:rsid w:val="008856A9"/>
    <w:rsid w:val="008B2E31"/>
    <w:rsid w:val="008B7AE7"/>
    <w:rsid w:val="008E321D"/>
    <w:rsid w:val="008E3E2A"/>
    <w:rsid w:val="008E6348"/>
    <w:rsid w:val="008F17F8"/>
    <w:rsid w:val="008F41E0"/>
    <w:rsid w:val="008F4E47"/>
    <w:rsid w:val="00906B3C"/>
    <w:rsid w:val="00912DAF"/>
    <w:rsid w:val="00924EC8"/>
    <w:rsid w:val="00925C22"/>
    <w:rsid w:val="00933560"/>
    <w:rsid w:val="009359D5"/>
    <w:rsid w:val="009363C6"/>
    <w:rsid w:val="00960DD3"/>
    <w:rsid w:val="009727DA"/>
    <w:rsid w:val="009730E8"/>
    <w:rsid w:val="00973E56"/>
    <w:rsid w:val="00976453"/>
    <w:rsid w:val="00977377"/>
    <w:rsid w:val="0098462F"/>
    <w:rsid w:val="009B3DEE"/>
    <w:rsid w:val="009C0047"/>
    <w:rsid w:val="009C0D46"/>
    <w:rsid w:val="009D6153"/>
    <w:rsid w:val="009F637C"/>
    <w:rsid w:val="00A014AD"/>
    <w:rsid w:val="00A0688D"/>
    <w:rsid w:val="00A148C5"/>
    <w:rsid w:val="00A2393B"/>
    <w:rsid w:val="00A26396"/>
    <w:rsid w:val="00A3109B"/>
    <w:rsid w:val="00A31E0D"/>
    <w:rsid w:val="00A41763"/>
    <w:rsid w:val="00A4620B"/>
    <w:rsid w:val="00A47F9F"/>
    <w:rsid w:val="00A52867"/>
    <w:rsid w:val="00A5405B"/>
    <w:rsid w:val="00A551C5"/>
    <w:rsid w:val="00A55959"/>
    <w:rsid w:val="00A55CE9"/>
    <w:rsid w:val="00A62DBF"/>
    <w:rsid w:val="00A86AB0"/>
    <w:rsid w:val="00AA4740"/>
    <w:rsid w:val="00AA5FBA"/>
    <w:rsid w:val="00AC1697"/>
    <w:rsid w:val="00AC2E1D"/>
    <w:rsid w:val="00AE1F65"/>
    <w:rsid w:val="00AE3C58"/>
    <w:rsid w:val="00B007E1"/>
    <w:rsid w:val="00B02E98"/>
    <w:rsid w:val="00B10C76"/>
    <w:rsid w:val="00B12979"/>
    <w:rsid w:val="00B12B36"/>
    <w:rsid w:val="00B15ECE"/>
    <w:rsid w:val="00B16C0D"/>
    <w:rsid w:val="00B31A0C"/>
    <w:rsid w:val="00B37D4C"/>
    <w:rsid w:val="00B40EA6"/>
    <w:rsid w:val="00B42B8B"/>
    <w:rsid w:val="00B43461"/>
    <w:rsid w:val="00B43E2A"/>
    <w:rsid w:val="00B46D12"/>
    <w:rsid w:val="00B477C0"/>
    <w:rsid w:val="00B516F2"/>
    <w:rsid w:val="00B55665"/>
    <w:rsid w:val="00B73A08"/>
    <w:rsid w:val="00B73B12"/>
    <w:rsid w:val="00B7630A"/>
    <w:rsid w:val="00B92F31"/>
    <w:rsid w:val="00BA24C1"/>
    <w:rsid w:val="00BC0F9B"/>
    <w:rsid w:val="00BD2E96"/>
    <w:rsid w:val="00BD556D"/>
    <w:rsid w:val="00BD7526"/>
    <w:rsid w:val="00BE1A72"/>
    <w:rsid w:val="00BE3BDA"/>
    <w:rsid w:val="00BF0DFC"/>
    <w:rsid w:val="00C02C5E"/>
    <w:rsid w:val="00C06A7C"/>
    <w:rsid w:val="00C10DA2"/>
    <w:rsid w:val="00C118CA"/>
    <w:rsid w:val="00C20E45"/>
    <w:rsid w:val="00C64885"/>
    <w:rsid w:val="00C65529"/>
    <w:rsid w:val="00C77B64"/>
    <w:rsid w:val="00C81208"/>
    <w:rsid w:val="00C81C75"/>
    <w:rsid w:val="00C873B8"/>
    <w:rsid w:val="00C91DB1"/>
    <w:rsid w:val="00CA33E2"/>
    <w:rsid w:val="00CA4DF7"/>
    <w:rsid w:val="00CA5991"/>
    <w:rsid w:val="00CA7FC0"/>
    <w:rsid w:val="00CB759D"/>
    <w:rsid w:val="00CC731B"/>
    <w:rsid w:val="00CD0C33"/>
    <w:rsid w:val="00CD7726"/>
    <w:rsid w:val="00CE30E0"/>
    <w:rsid w:val="00CE6CF3"/>
    <w:rsid w:val="00D05286"/>
    <w:rsid w:val="00D151F3"/>
    <w:rsid w:val="00D165F2"/>
    <w:rsid w:val="00D3551E"/>
    <w:rsid w:val="00D508E6"/>
    <w:rsid w:val="00D57231"/>
    <w:rsid w:val="00D66FAF"/>
    <w:rsid w:val="00D74B4C"/>
    <w:rsid w:val="00D87D61"/>
    <w:rsid w:val="00DA34C4"/>
    <w:rsid w:val="00DA3993"/>
    <w:rsid w:val="00DB2E89"/>
    <w:rsid w:val="00DC44EA"/>
    <w:rsid w:val="00DC68AD"/>
    <w:rsid w:val="00DD23DF"/>
    <w:rsid w:val="00DD2B6F"/>
    <w:rsid w:val="00DD766F"/>
    <w:rsid w:val="00DF0014"/>
    <w:rsid w:val="00DF3813"/>
    <w:rsid w:val="00E01530"/>
    <w:rsid w:val="00E0229D"/>
    <w:rsid w:val="00E048AC"/>
    <w:rsid w:val="00E05C5C"/>
    <w:rsid w:val="00E2573B"/>
    <w:rsid w:val="00E452B0"/>
    <w:rsid w:val="00E46243"/>
    <w:rsid w:val="00E464CE"/>
    <w:rsid w:val="00E50B19"/>
    <w:rsid w:val="00E52F37"/>
    <w:rsid w:val="00E56A7B"/>
    <w:rsid w:val="00E57CFA"/>
    <w:rsid w:val="00E608FC"/>
    <w:rsid w:val="00E6096B"/>
    <w:rsid w:val="00E6225B"/>
    <w:rsid w:val="00E63537"/>
    <w:rsid w:val="00E75280"/>
    <w:rsid w:val="00E90ACA"/>
    <w:rsid w:val="00EA5F3B"/>
    <w:rsid w:val="00ED0017"/>
    <w:rsid w:val="00ED374A"/>
    <w:rsid w:val="00EE1A6F"/>
    <w:rsid w:val="00EF46ED"/>
    <w:rsid w:val="00F0139B"/>
    <w:rsid w:val="00F06394"/>
    <w:rsid w:val="00F2166F"/>
    <w:rsid w:val="00F31719"/>
    <w:rsid w:val="00F35B5D"/>
    <w:rsid w:val="00F50BF5"/>
    <w:rsid w:val="00F526EC"/>
    <w:rsid w:val="00F537C9"/>
    <w:rsid w:val="00F605D2"/>
    <w:rsid w:val="00F71C9C"/>
    <w:rsid w:val="00F84238"/>
    <w:rsid w:val="00F861CC"/>
    <w:rsid w:val="00F8720B"/>
    <w:rsid w:val="00F87456"/>
    <w:rsid w:val="00FA2E15"/>
    <w:rsid w:val="00FA41D2"/>
    <w:rsid w:val="00FA4C8D"/>
    <w:rsid w:val="00FC0180"/>
    <w:rsid w:val="00FC1855"/>
    <w:rsid w:val="00FC2201"/>
    <w:rsid w:val="00FC2C82"/>
    <w:rsid w:val="00FE0576"/>
    <w:rsid w:val="00FE3570"/>
    <w:rsid w:val="014C6493"/>
    <w:rsid w:val="03FDCD7D"/>
    <w:rsid w:val="05EB2143"/>
    <w:rsid w:val="06E5A536"/>
    <w:rsid w:val="07187DB3"/>
    <w:rsid w:val="074D7FA4"/>
    <w:rsid w:val="08D3125B"/>
    <w:rsid w:val="09EC6630"/>
    <w:rsid w:val="0A19B5FD"/>
    <w:rsid w:val="0A4850BB"/>
    <w:rsid w:val="0A98E9F2"/>
    <w:rsid w:val="0AA1A504"/>
    <w:rsid w:val="0B187431"/>
    <w:rsid w:val="0BE519AB"/>
    <w:rsid w:val="0DDF5C6F"/>
    <w:rsid w:val="10188179"/>
    <w:rsid w:val="1051283D"/>
    <w:rsid w:val="114CAC94"/>
    <w:rsid w:val="11B13E2C"/>
    <w:rsid w:val="14276D83"/>
    <w:rsid w:val="151EFFE1"/>
    <w:rsid w:val="15F484BF"/>
    <w:rsid w:val="16047516"/>
    <w:rsid w:val="1724AFC5"/>
    <w:rsid w:val="173F34D4"/>
    <w:rsid w:val="17438119"/>
    <w:rsid w:val="1A3A3E92"/>
    <w:rsid w:val="1ABE245E"/>
    <w:rsid w:val="1AD97657"/>
    <w:rsid w:val="1B42F524"/>
    <w:rsid w:val="1B7A0250"/>
    <w:rsid w:val="1D9BE164"/>
    <w:rsid w:val="1E3E4453"/>
    <w:rsid w:val="1E71A92E"/>
    <w:rsid w:val="1E8695F7"/>
    <w:rsid w:val="1EF565A3"/>
    <w:rsid w:val="1F2D166C"/>
    <w:rsid w:val="20124DCF"/>
    <w:rsid w:val="225DBA31"/>
    <w:rsid w:val="22745721"/>
    <w:rsid w:val="22E0246B"/>
    <w:rsid w:val="231A47B9"/>
    <w:rsid w:val="24974023"/>
    <w:rsid w:val="24A1CB25"/>
    <w:rsid w:val="2726303F"/>
    <w:rsid w:val="28931DCF"/>
    <w:rsid w:val="2978B17F"/>
    <w:rsid w:val="2981025A"/>
    <w:rsid w:val="29D8BA22"/>
    <w:rsid w:val="2A637F34"/>
    <w:rsid w:val="2BBC746E"/>
    <w:rsid w:val="2C4F2FE6"/>
    <w:rsid w:val="2CD4B78F"/>
    <w:rsid w:val="2DCE31F4"/>
    <w:rsid w:val="2F3B38A4"/>
    <w:rsid w:val="2F9F49A5"/>
    <w:rsid w:val="308D7CE6"/>
    <w:rsid w:val="310F5124"/>
    <w:rsid w:val="32CC152E"/>
    <w:rsid w:val="34BEE96C"/>
    <w:rsid w:val="354ACC3A"/>
    <w:rsid w:val="35820F0B"/>
    <w:rsid w:val="35D68CBA"/>
    <w:rsid w:val="369A6F1F"/>
    <w:rsid w:val="39AA7A58"/>
    <w:rsid w:val="3AB2A9C2"/>
    <w:rsid w:val="3AB73914"/>
    <w:rsid w:val="3ABADA77"/>
    <w:rsid w:val="3BB362E8"/>
    <w:rsid w:val="3BECB14B"/>
    <w:rsid w:val="3C1BFEFD"/>
    <w:rsid w:val="3E5EC222"/>
    <w:rsid w:val="4266518F"/>
    <w:rsid w:val="437C9C92"/>
    <w:rsid w:val="455E46EE"/>
    <w:rsid w:val="487D82E7"/>
    <w:rsid w:val="493EA8B9"/>
    <w:rsid w:val="4C926113"/>
    <w:rsid w:val="4CE9FAF3"/>
    <w:rsid w:val="4DC208BC"/>
    <w:rsid w:val="508ED2B3"/>
    <w:rsid w:val="50AC1D77"/>
    <w:rsid w:val="51C2517D"/>
    <w:rsid w:val="52718BB9"/>
    <w:rsid w:val="527AE792"/>
    <w:rsid w:val="52B6B62E"/>
    <w:rsid w:val="53439E95"/>
    <w:rsid w:val="53C95216"/>
    <w:rsid w:val="54E2FD09"/>
    <w:rsid w:val="5535CDCE"/>
    <w:rsid w:val="5552E547"/>
    <w:rsid w:val="556923B3"/>
    <w:rsid w:val="57D491EB"/>
    <w:rsid w:val="58D7D659"/>
    <w:rsid w:val="5945BB07"/>
    <w:rsid w:val="5C242272"/>
    <w:rsid w:val="5C8C15AC"/>
    <w:rsid w:val="5D42124E"/>
    <w:rsid w:val="5D459E59"/>
    <w:rsid w:val="5DA9C3BB"/>
    <w:rsid w:val="5DBB414F"/>
    <w:rsid w:val="5E4F9A31"/>
    <w:rsid w:val="5F199289"/>
    <w:rsid w:val="6043B780"/>
    <w:rsid w:val="60722620"/>
    <w:rsid w:val="616E118B"/>
    <w:rsid w:val="61DA54DA"/>
    <w:rsid w:val="6271D181"/>
    <w:rsid w:val="6332B82C"/>
    <w:rsid w:val="63C7FB41"/>
    <w:rsid w:val="64B98CC0"/>
    <w:rsid w:val="652FB840"/>
    <w:rsid w:val="65BF5376"/>
    <w:rsid w:val="67882B30"/>
    <w:rsid w:val="67D8BCF2"/>
    <w:rsid w:val="6910A4F8"/>
    <w:rsid w:val="6D40BDC8"/>
    <w:rsid w:val="6D992E38"/>
    <w:rsid w:val="6EE1041E"/>
    <w:rsid w:val="6FDAEC81"/>
    <w:rsid w:val="6FFB21E5"/>
    <w:rsid w:val="72AE5EA0"/>
    <w:rsid w:val="740415A8"/>
    <w:rsid w:val="743035A8"/>
    <w:rsid w:val="7665F426"/>
    <w:rsid w:val="768AC165"/>
    <w:rsid w:val="7864ED5A"/>
    <w:rsid w:val="7999576A"/>
    <w:rsid w:val="7A3595D0"/>
    <w:rsid w:val="7BC799F4"/>
    <w:rsid w:val="7C143356"/>
    <w:rsid w:val="7C96006D"/>
    <w:rsid w:val="7C9B5DC6"/>
    <w:rsid w:val="7CF19932"/>
    <w:rsid w:val="7DBF669F"/>
    <w:rsid w:val="7FF46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B6BF3"/>
  <w15:chartTrackingRefBased/>
  <w15:docId w15:val="{BB2352BF-DEAE-489F-88C9-2FB895C9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6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06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6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6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606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0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6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6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606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6AA"/>
    <w:rPr>
      <w:rFonts w:eastAsiaTheme="majorEastAsia" w:cstheme="majorBidi"/>
      <w:color w:val="272727" w:themeColor="text1" w:themeTint="D8"/>
    </w:rPr>
  </w:style>
  <w:style w:type="paragraph" w:styleId="Title">
    <w:name w:val="Title"/>
    <w:basedOn w:val="Normal"/>
    <w:next w:val="Normal"/>
    <w:link w:val="TitleChar"/>
    <w:uiPriority w:val="10"/>
    <w:qFormat/>
    <w:rsid w:val="00260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6AA"/>
    <w:pPr>
      <w:spacing w:before="160"/>
      <w:jc w:val="center"/>
    </w:pPr>
    <w:rPr>
      <w:i/>
      <w:iCs/>
      <w:color w:val="404040" w:themeColor="text1" w:themeTint="BF"/>
    </w:rPr>
  </w:style>
  <w:style w:type="character" w:customStyle="1" w:styleId="QuoteChar">
    <w:name w:val="Quote Char"/>
    <w:basedOn w:val="DefaultParagraphFont"/>
    <w:link w:val="Quote"/>
    <w:uiPriority w:val="29"/>
    <w:rsid w:val="002606AA"/>
    <w:rPr>
      <w:i/>
      <w:iCs/>
      <w:color w:val="404040" w:themeColor="text1" w:themeTint="BF"/>
    </w:rPr>
  </w:style>
  <w:style w:type="paragraph" w:styleId="ListParagraph">
    <w:name w:val="List Paragraph"/>
    <w:basedOn w:val="Normal"/>
    <w:uiPriority w:val="34"/>
    <w:qFormat/>
    <w:rsid w:val="002606AA"/>
    <w:pPr>
      <w:ind w:left="720"/>
      <w:contextualSpacing/>
    </w:pPr>
  </w:style>
  <w:style w:type="character" w:styleId="IntenseEmphasis">
    <w:name w:val="Intense Emphasis"/>
    <w:basedOn w:val="DefaultParagraphFont"/>
    <w:uiPriority w:val="21"/>
    <w:qFormat/>
    <w:rsid w:val="002606AA"/>
    <w:rPr>
      <w:i/>
      <w:iCs/>
      <w:color w:val="2F5496" w:themeColor="accent1" w:themeShade="BF"/>
    </w:rPr>
  </w:style>
  <w:style w:type="paragraph" w:styleId="IntenseQuote">
    <w:name w:val="Intense Quote"/>
    <w:basedOn w:val="Normal"/>
    <w:next w:val="Normal"/>
    <w:link w:val="IntenseQuoteChar"/>
    <w:uiPriority w:val="30"/>
    <w:qFormat/>
    <w:rsid w:val="002606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6AA"/>
    <w:rPr>
      <w:i/>
      <w:iCs/>
      <w:color w:val="2F5496" w:themeColor="accent1" w:themeShade="BF"/>
    </w:rPr>
  </w:style>
  <w:style w:type="character" w:styleId="IntenseReference">
    <w:name w:val="Intense Reference"/>
    <w:basedOn w:val="DefaultParagraphFont"/>
    <w:uiPriority w:val="32"/>
    <w:qFormat/>
    <w:rsid w:val="002606AA"/>
    <w:rPr>
      <w:b/>
      <w:bCs/>
      <w:smallCaps/>
      <w:color w:val="2F5496" w:themeColor="accent1" w:themeShade="BF"/>
      <w:spacing w:val="5"/>
    </w:rPr>
  </w:style>
  <w:style w:type="table" w:styleId="TableGrid">
    <w:name w:val="Table Grid"/>
    <w:basedOn w:val="TableNormal"/>
    <w:uiPriority w:val="39"/>
    <w:rsid w:val="0026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3988"/>
    <w:rPr>
      <w:color w:val="0563C1" w:themeColor="hyperlink"/>
      <w:u w:val="single"/>
    </w:rPr>
  </w:style>
  <w:style w:type="character" w:styleId="UnresolvedMention">
    <w:name w:val="Unresolved Mention"/>
    <w:basedOn w:val="DefaultParagraphFont"/>
    <w:uiPriority w:val="99"/>
    <w:semiHidden/>
    <w:unhideWhenUsed/>
    <w:rsid w:val="005D3988"/>
    <w:rPr>
      <w:color w:val="605E5C"/>
      <w:shd w:val="clear" w:color="auto" w:fill="E1DFDD"/>
    </w:rPr>
  </w:style>
  <w:style w:type="character" w:styleId="FollowedHyperlink">
    <w:name w:val="FollowedHyperlink"/>
    <w:basedOn w:val="DefaultParagraphFont"/>
    <w:uiPriority w:val="99"/>
    <w:semiHidden/>
    <w:unhideWhenUsed/>
    <w:rsid w:val="000209E0"/>
    <w:rPr>
      <w:color w:val="954F72" w:themeColor="followedHyperlink"/>
      <w:u w:val="single"/>
    </w:rPr>
  </w:style>
  <w:style w:type="paragraph" w:styleId="FootnoteText">
    <w:name w:val="footnote text"/>
    <w:basedOn w:val="Normal"/>
    <w:link w:val="FootnoteTextChar"/>
    <w:uiPriority w:val="99"/>
    <w:semiHidden/>
    <w:unhideWhenUsed/>
    <w:rsid w:val="00E022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229D"/>
    <w:rPr>
      <w:sz w:val="20"/>
      <w:szCs w:val="20"/>
    </w:rPr>
  </w:style>
  <w:style w:type="character" w:styleId="FootnoteReference">
    <w:name w:val="footnote reference"/>
    <w:basedOn w:val="DefaultParagraphFont"/>
    <w:uiPriority w:val="99"/>
    <w:semiHidden/>
    <w:unhideWhenUsed/>
    <w:rsid w:val="00E022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6777">
      <w:bodyDiv w:val="1"/>
      <w:marLeft w:val="0"/>
      <w:marRight w:val="0"/>
      <w:marTop w:val="0"/>
      <w:marBottom w:val="0"/>
      <w:divBdr>
        <w:top w:val="none" w:sz="0" w:space="0" w:color="auto"/>
        <w:left w:val="none" w:sz="0" w:space="0" w:color="auto"/>
        <w:bottom w:val="none" w:sz="0" w:space="0" w:color="auto"/>
        <w:right w:val="none" w:sz="0" w:space="0" w:color="auto"/>
      </w:divBdr>
    </w:div>
    <w:div w:id="56511589">
      <w:bodyDiv w:val="1"/>
      <w:marLeft w:val="0"/>
      <w:marRight w:val="0"/>
      <w:marTop w:val="0"/>
      <w:marBottom w:val="0"/>
      <w:divBdr>
        <w:top w:val="none" w:sz="0" w:space="0" w:color="auto"/>
        <w:left w:val="none" w:sz="0" w:space="0" w:color="auto"/>
        <w:bottom w:val="none" w:sz="0" w:space="0" w:color="auto"/>
        <w:right w:val="none" w:sz="0" w:space="0" w:color="auto"/>
      </w:divBdr>
    </w:div>
    <w:div w:id="385496984">
      <w:bodyDiv w:val="1"/>
      <w:marLeft w:val="0"/>
      <w:marRight w:val="0"/>
      <w:marTop w:val="0"/>
      <w:marBottom w:val="0"/>
      <w:divBdr>
        <w:top w:val="none" w:sz="0" w:space="0" w:color="auto"/>
        <w:left w:val="none" w:sz="0" w:space="0" w:color="auto"/>
        <w:bottom w:val="none" w:sz="0" w:space="0" w:color="auto"/>
        <w:right w:val="none" w:sz="0" w:space="0" w:color="auto"/>
      </w:divBdr>
      <w:divsChild>
        <w:div w:id="2099213537">
          <w:marLeft w:val="0"/>
          <w:marRight w:val="0"/>
          <w:marTop w:val="0"/>
          <w:marBottom w:val="0"/>
          <w:divBdr>
            <w:top w:val="none" w:sz="0" w:space="0" w:color="auto"/>
            <w:left w:val="none" w:sz="0" w:space="0" w:color="auto"/>
            <w:bottom w:val="none" w:sz="0" w:space="0" w:color="auto"/>
            <w:right w:val="none" w:sz="0" w:space="0" w:color="auto"/>
          </w:divBdr>
          <w:divsChild>
            <w:div w:id="6406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29006">
      <w:bodyDiv w:val="1"/>
      <w:marLeft w:val="0"/>
      <w:marRight w:val="0"/>
      <w:marTop w:val="0"/>
      <w:marBottom w:val="0"/>
      <w:divBdr>
        <w:top w:val="none" w:sz="0" w:space="0" w:color="auto"/>
        <w:left w:val="none" w:sz="0" w:space="0" w:color="auto"/>
        <w:bottom w:val="none" w:sz="0" w:space="0" w:color="auto"/>
        <w:right w:val="none" w:sz="0" w:space="0" w:color="auto"/>
      </w:divBdr>
    </w:div>
    <w:div w:id="692145951">
      <w:bodyDiv w:val="1"/>
      <w:marLeft w:val="0"/>
      <w:marRight w:val="0"/>
      <w:marTop w:val="0"/>
      <w:marBottom w:val="0"/>
      <w:divBdr>
        <w:top w:val="none" w:sz="0" w:space="0" w:color="auto"/>
        <w:left w:val="none" w:sz="0" w:space="0" w:color="auto"/>
        <w:bottom w:val="none" w:sz="0" w:space="0" w:color="auto"/>
        <w:right w:val="none" w:sz="0" w:space="0" w:color="auto"/>
      </w:divBdr>
    </w:div>
    <w:div w:id="745804620">
      <w:bodyDiv w:val="1"/>
      <w:marLeft w:val="0"/>
      <w:marRight w:val="0"/>
      <w:marTop w:val="0"/>
      <w:marBottom w:val="0"/>
      <w:divBdr>
        <w:top w:val="none" w:sz="0" w:space="0" w:color="auto"/>
        <w:left w:val="none" w:sz="0" w:space="0" w:color="auto"/>
        <w:bottom w:val="none" w:sz="0" w:space="0" w:color="auto"/>
        <w:right w:val="none" w:sz="0" w:space="0" w:color="auto"/>
      </w:divBdr>
      <w:divsChild>
        <w:div w:id="1712340654">
          <w:marLeft w:val="0"/>
          <w:marRight w:val="0"/>
          <w:marTop w:val="0"/>
          <w:marBottom w:val="0"/>
          <w:divBdr>
            <w:top w:val="none" w:sz="0" w:space="0" w:color="auto"/>
            <w:left w:val="none" w:sz="0" w:space="0" w:color="auto"/>
            <w:bottom w:val="none" w:sz="0" w:space="0" w:color="auto"/>
            <w:right w:val="none" w:sz="0" w:space="0" w:color="auto"/>
          </w:divBdr>
          <w:divsChild>
            <w:div w:id="76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1116">
      <w:bodyDiv w:val="1"/>
      <w:marLeft w:val="0"/>
      <w:marRight w:val="0"/>
      <w:marTop w:val="0"/>
      <w:marBottom w:val="0"/>
      <w:divBdr>
        <w:top w:val="none" w:sz="0" w:space="0" w:color="auto"/>
        <w:left w:val="none" w:sz="0" w:space="0" w:color="auto"/>
        <w:bottom w:val="none" w:sz="0" w:space="0" w:color="auto"/>
        <w:right w:val="none" w:sz="0" w:space="0" w:color="auto"/>
      </w:divBdr>
    </w:div>
    <w:div w:id="1686402217">
      <w:bodyDiv w:val="1"/>
      <w:marLeft w:val="0"/>
      <w:marRight w:val="0"/>
      <w:marTop w:val="0"/>
      <w:marBottom w:val="0"/>
      <w:divBdr>
        <w:top w:val="none" w:sz="0" w:space="0" w:color="auto"/>
        <w:left w:val="none" w:sz="0" w:space="0" w:color="auto"/>
        <w:bottom w:val="none" w:sz="0" w:space="0" w:color="auto"/>
        <w:right w:val="none" w:sz="0" w:space="0" w:color="auto"/>
      </w:divBdr>
    </w:div>
    <w:div w:id="1793089643">
      <w:bodyDiv w:val="1"/>
      <w:marLeft w:val="0"/>
      <w:marRight w:val="0"/>
      <w:marTop w:val="0"/>
      <w:marBottom w:val="0"/>
      <w:divBdr>
        <w:top w:val="none" w:sz="0" w:space="0" w:color="auto"/>
        <w:left w:val="none" w:sz="0" w:space="0" w:color="auto"/>
        <w:bottom w:val="none" w:sz="0" w:space="0" w:color="auto"/>
        <w:right w:val="none" w:sz="0" w:space="0" w:color="auto"/>
      </w:divBdr>
    </w:div>
    <w:div w:id="1817994681">
      <w:bodyDiv w:val="1"/>
      <w:marLeft w:val="0"/>
      <w:marRight w:val="0"/>
      <w:marTop w:val="0"/>
      <w:marBottom w:val="0"/>
      <w:divBdr>
        <w:top w:val="none" w:sz="0" w:space="0" w:color="auto"/>
        <w:left w:val="none" w:sz="0" w:space="0" w:color="auto"/>
        <w:bottom w:val="none" w:sz="0" w:space="0" w:color="auto"/>
        <w:right w:val="none" w:sz="0" w:space="0" w:color="auto"/>
      </w:divBdr>
    </w:div>
    <w:div w:id="1919244172">
      <w:bodyDiv w:val="1"/>
      <w:marLeft w:val="0"/>
      <w:marRight w:val="0"/>
      <w:marTop w:val="0"/>
      <w:marBottom w:val="0"/>
      <w:divBdr>
        <w:top w:val="none" w:sz="0" w:space="0" w:color="auto"/>
        <w:left w:val="none" w:sz="0" w:space="0" w:color="auto"/>
        <w:bottom w:val="none" w:sz="0" w:space="0" w:color="auto"/>
        <w:right w:val="none" w:sz="0" w:space="0" w:color="auto"/>
      </w:divBdr>
    </w:div>
    <w:div w:id="19241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yber.gov.au/about-us/view-all-content/reports-and-statistics/asd-cyber-threat-report-july-2022-june-2023" TargetMode="External"/><Relationship Id="rId1" Type="http://schemas.openxmlformats.org/officeDocument/2006/relationships/hyperlink" Target="https://www.cyber.gov.au/about-us/view-all-content/reports-and-statistics/asd-cyber-threat-report-july-2022-june-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1E73-983C-4839-9811-F2E889A6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1915</Words>
  <Characters>10919</Characters>
  <Application>Microsoft Office Word</Application>
  <DocSecurity>0</DocSecurity>
  <Lines>90</Lines>
  <Paragraphs>25</Paragraphs>
  <ScaleCrop>false</ScaleCrop>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30</cp:revision>
  <dcterms:created xsi:type="dcterms:W3CDTF">2025-01-07T06:02:00Z</dcterms:created>
  <dcterms:modified xsi:type="dcterms:W3CDTF">2025-01-14T02:34:00Z</dcterms:modified>
</cp:coreProperties>
</file>