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FF360" w14:textId="6595D05A" w:rsidR="00121A0E" w:rsidRPr="006D73AC" w:rsidRDefault="000219A4" w:rsidP="006D73AC">
      <w:pPr>
        <w:spacing w:line="240" w:lineRule="auto"/>
        <w:rPr>
          <w:rFonts w:ascii="Arial" w:hAnsi="Arial" w:cs="Arial"/>
          <w:b/>
          <w:bCs/>
        </w:rPr>
      </w:pPr>
      <w:r w:rsidRPr="006D73AC">
        <w:rPr>
          <w:rFonts w:ascii="Arial" w:hAnsi="Arial" w:cs="Arial"/>
          <w:b/>
          <w:bCs/>
        </w:rPr>
        <w:t xml:space="preserve">11. </w:t>
      </w:r>
      <w:r w:rsidR="00121A0E" w:rsidRPr="006D73AC">
        <w:rPr>
          <w:rFonts w:ascii="Arial" w:hAnsi="Arial" w:cs="Arial"/>
          <w:b/>
          <w:bCs/>
        </w:rPr>
        <w:t>The Digital Afterlife</w:t>
      </w:r>
      <w:r w:rsidR="00B530E2" w:rsidRPr="006D73AC">
        <w:rPr>
          <w:rFonts w:ascii="Arial" w:hAnsi="Arial" w:cs="Arial"/>
          <w:b/>
          <w:bCs/>
        </w:rPr>
        <w:t xml:space="preserve"> </w:t>
      </w:r>
    </w:p>
    <w:p w14:paraId="3933FEFD" w14:textId="77777777" w:rsidR="005C023F" w:rsidRDefault="00467839" w:rsidP="006D73AC">
      <w:pPr>
        <w:spacing w:line="240" w:lineRule="auto"/>
        <w:rPr>
          <w:rFonts w:ascii="Arial" w:hAnsi="Arial" w:cs="Arial"/>
        </w:rPr>
      </w:pPr>
      <w:r>
        <w:rPr>
          <w:rFonts w:ascii="Arial" w:hAnsi="Arial" w:cs="Arial"/>
          <w:lang w:val="en-US"/>
        </w:rPr>
        <w:t>‘</w:t>
      </w:r>
      <w:r w:rsidR="001A20C4" w:rsidRPr="006D73AC">
        <w:rPr>
          <w:rFonts w:ascii="Arial" w:hAnsi="Arial" w:cs="Arial"/>
          <w:lang w:val="en-US"/>
        </w:rPr>
        <w:t>Digital afterlife</w:t>
      </w:r>
      <w:r>
        <w:rPr>
          <w:rFonts w:ascii="Arial" w:hAnsi="Arial" w:cs="Arial"/>
          <w:lang w:val="en-US"/>
        </w:rPr>
        <w:t>’ refers to a</w:t>
      </w:r>
      <w:r w:rsidR="001A20C4" w:rsidRPr="006D73AC">
        <w:rPr>
          <w:rFonts w:ascii="Arial" w:hAnsi="Arial" w:cs="Arial"/>
          <w:lang w:val="en-US"/>
        </w:rPr>
        <w:t xml:space="preserve"> continuation of an active or passive digital presence after a person’s death</w:t>
      </w:r>
      <w:r w:rsidR="00124E92">
        <w:rPr>
          <w:rFonts w:ascii="Arial" w:hAnsi="Arial" w:cs="Arial"/>
          <w:lang w:val="en-US"/>
        </w:rPr>
        <w:t>. It is</w:t>
      </w:r>
      <w:r w:rsidR="001A20C4" w:rsidRPr="006D73AC">
        <w:rPr>
          <w:rFonts w:ascii="Arial" w:hAnsi="Arial" w:cs="Arial"/>
          <w:lang w:val="en-US"/>
        </w:rPr>
        <w:t xml:space="preserve"> a virtual space where information, assets, legacies, and </w:t>
      </w:r>
      <w:r w:rsidR="005C023F">
        <w:rPr>
          <w:rFonts w:ascii="Arial" w:hAnsi="Arial" w:cs="Arial"/>
          <w:lang w:val="en-US"/>
        </w:rPr>
        <w:t xml:space="preserve">digital </w:t>
      </w:r>
      <w:r w:rsidR="001A20C4" w:rsidRPr="006D73AC">
        <w:rPr>
          <w:rFonts w:ascii="Arial" w:hAnsi="Arial" w:cs="Arial"/>
          <w:lang w:val="en-US"/>
        </w:rPr>
        <w:t>remains reside as part of the cyber soul.</w:t>
      </w:r>
      <w:r w:rsidR="001A20C4" w:rsidRPr="006D73AC">
        <w:rPr>
          <w:rStyle w:val="FootnoteReference"/>
          <w:rFonts w:ascii="Arial" w:hAnsi="Arial" w:cs="Arial"/>
          <w:lang w:val="en-US"/>
        </w:rPr>
        <w:footnoteReference w:id="1"/>
      </w:r>
      <w:r w:rsidR="001A20C4" w:rsidRPr="006D73AC">
        <w:rPr>
          <w:rFonts w:ascii="Arial" w:hAnsi="Arial" w:cs="Arial"/>
        </w:rPr>
        <w:t xml:space="preserve"> </w:t>
      </w:r>
      <w:r w:rsidR="001708DE" w:rsidRPr="006D73AC">
        <w:rPr>
          <w:rFonts w:ascii="Arial" w:hAnsi="Arial" w:cs="Arial"/>
        </w:rPr>
        <w:t xml:space="preserve">Digital remains are </w:t>
      </w:r>
      <w:r w:rsidR="000819D6" w:rsidRPr="006D73AC">
        <w:rPr>
          <w:rFonts w:ascii="Arial" w:hAnsi="Arial" w:cs="Arial"/>
        </w:rPr>
        <w:t xml:space="preserve">“the digital content and data which was accumulated and stored online during our lifetime that reflect our digital personality and </w:t>
      </w:r>
      <w:r w:rsidR="006C2B97" w:rsidRPr="006D73AC">
        <w:rPr>
          <w:rFonts w:ascii="Arial" w:hAnsi="Arial" w:cs="Arial"/>
        </w:rPr>
        <w:t>memories</w:t>
      </w:r>
      <w:r w:rsidR="7A21E9BB" w:rsidRPr="006D73AC">
        <w:rPr>
          <w:rFonts w:ascii="Arial" w:hAnsi="Arial" w:cs="Arial"/>
        </w:rPr>
        <w:t>.</w:t>
      </w:r>
      <w:r w:rsidR="000819D6" w:rsidRPr="006D73AC">
        <w:rPr>
          <w:rFonts w:ascii="Arial" w:hAnsi="Arial" w:cs="Arial"/>
        </w:rPr>
        <w:t>”</w:t>
      </w:r>
      <w:r w:rsidR="008E1CC2" w:rsidRPr="006D73AC">
        <w:rPr>
          <w:rStyle w:val="FootnoteReference"/>
          <w:rFonts w:ascii="Arial" w:hAnsi="Arial" w:cs="Arial"/>
        </w:rPr>
        <w:footnoteReference w:id="2"/>
      </w:r>
      <w:r w:rsidR="000819D6" w:rsidRPr="006D73AC">
        <w:rPr>
          <w:rFonts w:ascii="Arial" w:hAnsi="Arial" w:cs="Arial"/>
        </w:rPr>
        <w:t xml:space="preserve"> </w:t>
      </w:r>
      <w:r w:rsidR="00C5357F" w:rsidRPr="006D73AC">
        <w:rPr>
          <w:rFonts w:ascii="Arial" w:hAnsi="Arial" w:cs="Arial"/>
        </w:rPr>
        <w:t xml:space="preserve">When internet users pass away, their digital </w:t>
      </w:r>
      <w:r w:rsidR="001708DE" w:rsidRPr="006D73AC">
        <w:rPr>
          <w:rFonts w:ascii="Arial" w:hAnsi="Arial" w:cs="Arial"/>
        </w:rPr>
        <w:t>remains</w:t>
      </w:r>
      <w:r w:rsidR="00C5357F" w:rsidRPr="006D73AC">
        <w:rPr>
          <w:rFonts w:ascii="Arial" w:hAnsi="Arial" w:cs="Arial"/>
        </w:rPr>
        <w:t xml:space="preserve"> </w:t>
      </w:r>
      <w:r w:rsidR="00971406" w:rsidRPr="006D73AC">
        <w:rPr>
          <w:rFonts w:ascii="Arial" w:hAnsi="Arial" w:cs="Arial"/>
        </w:rPr>
        <w:t>may still be used by the living</w:t>
      </w:r>
      <w:r w:rsidR="00EF759B" w:rsidRPr="006D73AC">
        <w:rPr>
          <w:rFonts w:ascii="Arial" w:hAnsi="Arial" w:cs="Arial"/>
        </w:rPr>
        <w:t xml:space="preserve">. </w:t>
      </w:r>
      <w:r w:rsidR="001A20C4" w:rsidRPr="006D73AC">
        <w:rPr>
          <w:rFonts w:ascii="Arial" w:hAnsi="Arial" w:cs="Arial"/>
        </w:rPr>
        <w:t>For instance, t</w:t>
      </w:r>
      <w:r w:rsidR="00C67576" w:rsidRPr="006D73AC">
        <w:rPr>
          <w:rFonts w:ascii="Arial" w:hAnsi="Arial" w:cs="Arial"/>
        </w:rPr>
        <w:t xml:space="preserve">he living may communicate to </w:t>
      </w:r>
      <w:proofErr w:type="gramStart"/>
      <w:r w:rsidR="00C67576" w:rsidRPr="006D73AC">
        <w:rPr>
          <w:rFonts w:ascii="Arial" w:hAnsi="Arial" w:cs="Arial"/>
        </w:rPr>
        <w:t>chatbots</w:t>
      </w:r>
      <w:proofErr w:type="gramEnd"/>
      <w:r w:rsidR="00C67576" w:rsidRPr="006D73AC">
        <w:rPr>
          <w:rFonts w:ascii="Arial" w:hAnsi="Arial" w:cs="Arial"/>
        </w:rPr>
        <w:t xml:space="preserve"> and avatars created by </w:t>
      </w:r>
      <w:r w:rsidR="7D8A0883" w:rsidRPr="006D73AC">
        <w:rPr>
          <w:rFonts w:ascii="Arial" w:hAnsi="Arial" w:cs="Arial"/>
        </w:rPr>
        <w:t>a</w:t>
      </w:r>
      <w:r w:rsidR="00C67576" w:rsidRPr="006D73AC">
        <w:rPr>
          <w:rFonts w:ascii="Arial" w:hAnsi="Arial" w:cs="Arial"/>
        </w:rPr>
        <w:t xml:space="preserve">rtificial </w:t>
      </w:r>
      <w:r w:rsidR="12D61923" w:rsidRPr="006D73AC">
        <w:rPr>
          <w:rFonts w:ascii="Arial" w:hAnsi="Arial" w:cs="Arial"/>
        </w:rPr>
        <w:t>i</w:t>
      </w:r>
      <w:r w:rsidR="00C67576" w:rsidRPr="006D73AC">
        <w:rPr>
          <w:rFonts w:ascii="Arial" w:hAnsi="Arial" w:cs="Arial"/>
        </w:rPr>
        <w:t xml:space="preserve">ntelligence (AI) </w:t>
      </w:r>
      <w:r w:rsidR="00EC6493" w:rsidRPr="006D73AC">
        <w:rPr>
          <w:rFonts w:ascii="Arial" w:hAnsi="Arial" w:cs="Arial"/>
        </w:rPr>
        <w:t xml:space="preserve">that adopt </w:t>
      </w:r>
      <w:r w:rsidR="00C0661E" w:rsidRPr="006D73AC">
        <w:rPr>
          <w:rFonts w:ascii="Arial" w:hAnsi="Arial" w:cs="Arial"/>
        </w:rPr>
        <w:t>characteristics of the deceased</w:t>
      </w:r>
      <w:r w:rsidR="007C0642" w:rsidRPr="006D73AC">
        <w:rPr>
          <w:rFonts w:ascii="Arial" w:hAnsi="Arial" w:cs="Arial"/>
        </w:rPr>
        <w:t xml:space="preserve"> based on algorithms</w:t>
      </w:r>
      <w:r w:rsidR="00565083" w:rsidRPr="006D73AC">
        <w:rPr>
          <w:rFonts w:ascii="Arial" w:hAnsi="Arial" w:cs="Arial"/>
        </w:rPr>
        <w:t>, an</w:t>
      </w:r>
      <w:r w:rsidR="00CE18F1" w:rsidRPr="006D73AC">
        <w:rPr>
          <w:rFonts w:ascii="Arial" w:hAnsi="Arial" w:cs="Arial"/>
        </w:rPr>
        <w:t>d an</w:t>
      </w:r>
      <w:r w:rsidR="00565083" w:rsidRPr="006D73AC">
        <w:rPr>
          <w:rFonts w:ascii="Arial" w:hAnsi="Arial" w:cs="Arial"/>
        </w:rPr>
        <w:t xml:space="preserve"> executor of a deceased estate may deal with digital assets and social media accounts can be ‘memorialised’.</w:t>
      </w:r>
      <w:r w:rsidR="00BD5523" w:rsidRPr="006D73AC">
        <w:rPr>
          <w:rFonts w:ascii="Arial" w:hAnsi="Arial" w:cs="Arial"/>
        </w:rPr>
        <w:t xml:space="preserve"> </w:t>
      </w:r>
    </w:p>
    <w:p w14:paraId="14CE06EE" w14:textId="10BCE1ED" w:rsidR="000C12F8" w:rsidRPr="005C023F" w:rsidRDefault="008D58F2" w:rsidP="006D73AC">
      <w:pPr>
        <w:spacing w:line="240" w:lineRule="auto"/>
        <w:rPr>
          <w:rStyle w:val="Hyperlink"/>
          <w:rFonts w:ascii="Arial" w:hAnsi="Arial" w:cs="Arial"/>
          <w:color w:val="auto"/>
          <w:u w:val="none"/>
          <w:lang w:val="en-US"/>
        </w:rPr>
      </w:pPr>
      <w:r w:rsidRPr="006D73AC">
        <w:rPr>
          <w:rFonts w:ascii="Arial" w:hAnsi="Arial" w:cs="Arial"/>
        </w:rPr>
        <w:t>Ethical concerns have been raised</w:t>
      </w:r>
      <w:r w:rsidR="001773BF" w:rsidRPr="006D73AC">
        <w:rPr>
          <w:rFonts w:ascii="Arial" w:hAnsi="Arial" w:cs="Arial"/>
        </w:rPr>
        <w:t xml:space="preserve"> </w:t>
      </w:r>
      <w:r w:rsidR="002409C5" w:rsidRPr="006D73AC">
        <w:rPr>
          <w:rFonts w:ascii="Arial" w:hAnsi="Arial" w:cs="Arial"/>
        </w:rPr>
        <w:t>about</w:t>
      </w:r>
      <w:r w:rsidR="001773BF" w:rsidRPr="006D73AC">
        <w:rPr>
          <w:rFonts w:ascii="Arial" w:hAnsi="Arial" w:cs="Arial"/>
        </w:rPr>
        <w:t xml:space="preserve"> having individuals immortalised in the digital space</w:t>
      </w:r>
      <w:r w:rsidRPr="006D73AC">
        <w:rPr>
          <w:rFonts w:ascii="Arial" w:hAnsi="Arial" w:cs="Arial"/>
        </w:rPr>
        <w:t>,</w:t>
      </w:r>
      <w:r w:rsidR="007F1E67" w:rsidRPr="006D73AC">
        <w:rPr>
          <w:rFonts w:ascii="Arial" w:hAnsi="Arial" w:cs="Arial"/>
        </w:rPr>
        <w:t xml:space="preserve"> however</w:t>
      </w:r>
      <w:r w:rsidRPr="006D73AC">
        <w:rPr>
          <w:rFonts w:ascii="Arial" w:hAnsi="Arial" w:cs="Arial"/>
        </w:rPr>
        <w:t>,</w:t>
      </w:r>
      <w:r w:rsidR="007F1E67" w:rsidRPr="006D73AC">
        <w:rPr>
          <w:rFonts w:ascii="Arial" w:hAnsi="Arial" w:cs="Arial"/>
        </w:rPr>
        <w:t xml:space="preserve"> d</w:t>
      </w:r>
      <w:r w:rsidR="004E2B1A" w:rsidRPr="006D73AC">
        <w:rPr>
          <w:rFonts w:ascii="Arial" w:hAnsi="Arial" w:cs="Arial"/>
        </w:rPr>
        <w:t xml:space="preserve">iscourse regarding the legal implications of this </w:t>
      </w:r>
      <w:r w:rsidR="00105C81" w:rsidRPr="006D73AC">
        <w:rPr>
          <w:rFonts w:ascii="Arial" w:hAnsi="Arial" w:cs="Arial"/>
        </w:rPr>
        <w:t xml:space="preserve">emerging </w:t>
      </w:r>
      <w:r w:rsidR="003075C6" w:rsidRPr="006D73AC">
        <w:rPr>
          <w:rFonts w:ascii="Arial" w:hAnsi="Arial" w:cs="Arial"/>
        </w:rPr>
        <w:t xml:space="preserve">issue </w:t>
      </w:r>
      <w:r w:rsidR="004E2B1A" w:rsidRPr="006D73AC">
        <w:rPr>
          <w:rFonts w:ascii="Arial" w:hAnsi="Arial" w:cs="Arial"/>
        </w:rPr>
        <w:t>ha</w:t>
      </w:r>
      <w:r w:rsidR="00F70FB3" w:rsidRPr="006D73AC">
        <w:rPr>
          <w:rFonts w:ascii="Arial" w:hAnsi="Arial" w:cs="Arial"/>
        </w:rPr>
        <w:t>s</w:t>
      </w:r>
      <w:r w:rsidR="004E2B1A" w:rsidRPr="006D73AC">
        <w:rPr>
          <w:rFonts w:ascii="Arial" w:hAnsi="Arial" w:cs="Arial"/>
        </w:rPr>
        <w:t xml:space="preserve"> </w:t>
      </w:r>
      <w:r w:rsidR="007E7D20" w:rsidRPr="006D73AC">
        <w:rPr>
          <w:rFonts w:ascii="Arial" w:hAnsi="Arial" w:cs="Arial"/>
        </w:rPr>
        <w:t>remained</w:t>
      </w:r>
      <w:r w:rsidR="004E2B1A" w:rsidRPr="006D73AC">
        <w:rPr>
          <w:rFonts w:ascii="Arial" w:hAnsi="Arial" w:cs="Arial"/>
        </w:rPr>
        <w:t xml:space="preserve"> limited.</w:t>
      </w:r>
      <w:r w:rsidR="00092706" w:rsidRPr="006D73AC">
        <w:rPr>
          <w:rFonts w:ascii="Arial" w:hAnsi="Arial" w:cs="Arial"/>
        </w:rPr>
        <w:t xml:space="preserve"> </w:t>
      </w:r>
    </w:p>
    <w:p w14:paraId="708C1588" w14:textId="51F2E72C" w:rsidR="00AB63C7" w:rsidRPr="006D73AC" w:rsidRDefault="004E2B1A" w:rsidP="006D73AC">
      <w:pPr>
        <w:pStyle w:val="ListParagraph"/>
        <w:numPr>
          <w:ilvl w:val="0"/>
          <w:numId w:val="4"/>
        </w:numPr>
        <w:spacing w:line="240" w:lineRule="auto"/>
        <w:rPr>
          <w:rStyle w:val="Hyperlink"/>
          <w:rFonts w:ascii="Arial" w:hAnsi="Arial" w:cs="Arial"/>
          <w:b/>
          <w:bCs/>
          <w:color w:val="auto"/>
          <w:u w:val="none"/>
        </w:rPr>
      </w:pPr>
      <w:r w:rsidRPr="70B50E6C">
        <w:rPr>
          <w:rStyle w:val="Hyperlink"/>
          <w:rFonts w:ascii="Arial" w:hAnsi="Arial" w:cs="Arial"/>
          <w:b/>
          <w:bCs/>
          <w:color w:val="auto"/>
          <w:u w:val="none"/>
        </w:rPr>
        <w:t xml:space="preserve">AI and the </w:t>
      </w:r>
      <w:r w:rsidR="003D0D5F" w:rsidRPr="70B50E6C">
        <w:rPr>
          <w:rStyle w:val="Hyperlink"/>
          <w:rFonts w:ascii="Arial" w:hAnsi="Arial" w:cs="Arial"/>
          <w:b/>
          <w:bCs/>
          <w:color w:val="auto"/>
          <w:u w:val="none"/>
        </w:rPr>
        <w:t>D</w:t>
      </w:r>
      <w:r w:rsidRPr="70B50E6C">
        <w:rPr>
          <w:rStyle w:val="Hyperlink"/>
          <w:rFonts w:ascii="Arial" w:hAnsi="Arial" w:cs="Arial"/>
          <w:b/>
          <w:bCs/>
          <w:color w:val="auto"/>
          <w:u w:val="none"/>
        </w:rPr>
        <w:t xml:space="preserve">igital </w:t>
      </w:r>
      <w:r w:rsidR="003D0D5F" w:rsidRPr="70B50E6C">
        <w:rPr>
          <w:rStyle w:val="Hyperlink"/>
          <w:rFonts w:ascii="Arial" w:hAnsi="Arial" w:cs="Arial"/>
          <w:b/>
          <w:bCs/>
          <w:color w:val="auto"/>
          <w:u w:val="none"/>
        </w:rPr>
        <w:t>A</w:t>
      </w:r>
      <w:r w:rsidRPr="70B50E6C">
        <w:rPr>
          <w:rStyle w:val="Hyperlink"/>
          <w:rFonts w:ascii="Arial" w:hAnsi="Arial" w:cs="Arial"/>
          <w:b/>
          <w:bCs/>
          <w:color w:val="auto"/>
          <w:u w:val="none"/>
        </w:rPr>
        <w:t xml:space="preserve">fterlife </w:t>
      </w:r>
      <w:r w:rsidR="003D0D5F" w:rsidRPr="70B50E6C">
        <w:rPr>
          <w:rStyle w:val="Hyperlink"/>
          <w:rFonts w:ascii="Arial" w:hAnsi="Arial" w:cs="Arial"/>
          <w:b/>
          <w:bCs/>
          <w:color w:val="auto"/>
          <w:u w:val="none"/>
        </w:rPr>
        <w:t>I</w:t>
      </w:r>
      <w:r w:rsidRPr="70B50E6C">
        <w:rPr>
          <w:rStyle w:val="Hyperlink"/>
          <w:rFonts w:ascii="Arial" w:hAnsi="Arial" w:cs="Arial"/>
          <w:b/>
          <w:bCs/>
          <w:color w:val="auto"/>
          <w:u w:val="none"/>
        </w:rPr>
        <w:t>ndustr</w:t>
      </w:r>
      <w:r w:rsidR="00AB63C7" w:rsidRPr="70B50E6C">
        <w:rPr>
          <w:rStyle w:val="Hyperlink"/>
          <w:rFonts w:ascii="Arial" w:hAnsi="Arial" w:cs="Arial"/>
          <w:b/>
          <w:bCs/>
          <w:color w:val="auto"/>
          <w:u w:val="none"/>
        </w:rPr>
        <w:t>y</w:t>
      </w:r>
    </w:p>
    <w:p w14:paraId="1D4E14B8" w14:textId="1C5CDDAE" w:rsidR="00CA165B" w:rsidRPr="006D73AC" w:rsidRDefault="00E70E14" w:rsidP="006D73AC">
      <w:pPr>
        <w:spacing w:line="240" w:lineRule="auto"/>
        <w:rPr>
          <w:rStyle w:val="Hyperlink"/>
          <w:rFonts w:ascii="Arial" w:hAnsi="Arial" w:cs="Arial"/>
          <w:color w:val="auto"/>
          <w:u w:val="none"/>
        </w:rPr>
      </w:pPr>
      <w:r w:rsidRPr="006D73AC">
        <w:rPr>
          <w:rFonts w:ascii="Arial" w:hAnsi="Arial" w:cs="Arial"/>
        </w:rPr>
        <w:t xml:space="preserve">The internet has become a space where the dead and the living co-inhabit. </w:t>
      </w:r>
      <w:r w:rsidR="00990AE7" w:rsidRPr="006D73AC">
        <w:rPr>
          <w:rStyle w:val="Hyperlink"/>
          <w:rFonts w:ascii="Arial" w:hAnsi="Arial" w:cs="Arial"/>
          <w:color w:val="auto"/>
          <w:u w:val="none"/>
        </w:rPr>
        <w:t xml:space="preserve">The number of dead </w:t>
      </w:r>
      <w:r w:rsidR="000A33E2" w:rsidRPr="006D73AC">
        <w:rPr>
          <w:rStyle w:val="Hyperlink"/>
          <w:rFonts w:ascii="Arial" w:hAnsi="Arial" w:cs="Arial"/>
          <w:color w:val="auto"/>
          <w:u w:val="none"/>
        </w:rPr>
        <w:t>accounts</w:t>
      </w:r>
      <w:r w:rsidR="00990AE7" w:rsidRPr="006D73AC">
        <w:rPr>
          <w:rStyle w:val="Hyperlink"/>
          <w:rFonts w:ascii="Arial" w:hAnsi="Arial" w:cs="Arial"/>
          <w:color w:val="auto"/>
          <w:u w:val="none"/>
        </w:rPr>
        <w:t xml:space="preserve"> online is expected to surpass the living population</w:t>
      </w:r>
      <w:r w:rsidR="000408A0" w:rsidRPr="006D73AC">
        <w:rPr>
          <w:rStyle w:val="Hyperlink"/>
          <w:rFonts w:ascii="Arial" w:hAnsi="Arial" w:cs="Arial"/>
          <w:color w:val="auto"/>
          <w:u w:val="none"/>
        </w:rPr>
        <w:t xml:space="preserve"> by the end of this century</w:t>
      </w:r>
      <w:r w:rsidR="009D443E" w:rsidRPr="006D73AC">
        <w:rPr>
          <w:rStyle w:val="Hyperlink"/>
          <w:rFonts w:ascii="Arial" w:hAnsi="Arial" w:cs="Arial"/>
          <w:color w:val="auto"/>
          <w:u w:val="none"/>
        </w:rPr>
        <w:t>.</w:t>
      </w:r>
      <w:r w:rsidR="009D443E" w:rsidRPr="006D73AC">
        <w:rPr>
          <w:rStyle w:val="FootnoteReference"/>
          <w:rFonts w:ascii="Arial" w:hAnsi="Arial" w:cs="Arial"/>
        </w:rPr>
        <w:footnoteReference w:id="3"/>
      </w:r>
      <w:r w:rsidR="000408A0" w:rsidRPr="006D73AC">
        <w:rPr>
          <w:rStyle w:val="Hyperlink"/>
          <w:rFonts w:ascii="Arial" w:hAnsi="Arial" w:cs="Arial"/>
          <w:color w:val="auto"/>
          <w:u w:val="none"/>
        </w:rPr>
        <w:t xml:space="preserve"> </w:t>
      </w:r>
      <w:r w:rsidR="000D7809" w:rsidRPr="006D73AC">
        <w:rPr>
          <w:rStyle w:val="Hyperlink"/>
          <w:rFonts w:ascii="Arial" w:hAnsi="Arial" w:cs="Arial"/>
          <w:color w:val="auto"/>
          <w:u w:val="none"/>
        </w:rPr>
        <w:t>Projects</w:t>
      </w:r>
      <w:r w:rsidR="00AF49AF" w:rsidRPr="006D73AC">
        <w:rPr>
          <w:rStyle w:val="Hyperlink"/>
          <w:rFonts w:ascii="Arial" w:hAnsi="Arial" w:cs="Arial"/>
          <w:color w:val="auto"/>
          <w:u w:val="none"/>
        </w:rPr>
        <w:t xml:space="preserve"> including </w:t>
      </w:r>
      <w:hyperlink r:id="rId8" w:history="1">
        <w:proofErr w:type="spellStart"/>
        <w:r w:rsidR="00AA6F0C" w:rsidRPr="006D73AC">
          <w:rPr>
            <w:rStyle w:val="Hyperlink"/>
            <w:rFonts w:ascii="Arial" w:hAnsi="Arial" w:cs="Arial"/>
          </w:rPr>
          <w:t>LifeNaut</w:t>
        </w:r>
        <w:proofErr w:type="spellEnd"/>
      </w:hyperlink>
      <w:r w:rsidR="004B7C8F" w:rsidRPr="006D73AC">
        <w:rPr>
          <w:rStyle w:val="Hyperlink"/>
          <w:rFonts w:ascii="Arial" w:hAnsi="Arial" w:cs="Arial"/>
          <w:color w:val="auto"/>
          <w:u w:val="none"/>
        </w:rPr>
        <w:t>,</w:t>
      </w:r>
      <w:r w:rsidR="00AA6F0C" w:rsidRPr="006D73AC">
        <w:rPr>
          <w:rStyle w:val="Hyperlink"/>
          <w:rFonts w:ascii="Arial" w:hAnsi="Arial" w:cs="Arial"/>
          <w:color w:val="auto"/>
          <w:u w:val="none"/>
        </w:rPr>
        <w:t xml:space="preserve"> </w:t>
      </w:r>
      <w:hyperlink r:id="rId9" w:history="1">
        <w:proofErr w:type="spellStart"/>
        <w:r w:rsidR="00DC3112" w:rsidRPr="006D73AC">
          <w:rPr>
            <w:rStyle w:val="Hyperlink"/>
            <w:rFonts w:ascii="Arial" w:hAnsi="Arial" w:cs="Arial"/>
          </w:rPr>
          <w:t>Eter</w:t>
        </w:r>
        <w:r w:rsidR="006C300E" w:rsidRPr="006D73AC">
          <w:rPr>
            <w:rStyle w:val="Hyperlink"/>
            <w:rFonts w:ascii="Arial" w:hAnsi="Arial" w:cs="Arial"/>
          </w:rPr>
          <w:t>nime</w:t>
        </w:r>
        <w:proofErr w:type="spellEnd"/>
      </w:hyperlink>
      <w:r w:rsidR="006C300E" w:rsidRPr="006D73AC">
        <w:rPr>
          <w:rStyle w:val="Hyperlink"/>
          <w:rFonts w:ascii="Arial" w:hAnsi="Arial" w:cs="Arial"/>
          <w:color w:val="auto"/>
          <w:u w:val="none"/>
        </w:rPr>
        <w:t xml:space="preserve">, </w:t>
      </w:r>
      <w:hyperlink r:id="rId10" w:history="1">
        <w:proofErr w:type="spellStart"/>
        <w:r w:rsidR="006C300E" w:rsidRPr="006D73AC">
          <w:rPr>
            <w:rStyle w:val="Hyperlink"/>
            <w:rFonts w:ascii="Arial" w:hAnsi="Arial" w:cs="Arial"/>
          </w:rPr>
          <w:t>Repli</w:t>
        </w:r>
        <w:r w:rsidR="00C025C3" w:rsidRPr="006D73AC">
          <w:rPr>
            <w:rStyle w:val="Hyperlink"/>
            <w:rFonts w:ascii="Arial" w:hAnsi="Arial" w:cs="Arial"/>
          </w:rPr>
          <w:t>k</w:t>
        </w:r>
        <w:r w:rsidR="006C300E" w:rsidRPr="006D73AC">
          <w:rPr>
            <w:rStyle w:val="Hyperlink"/>
            <w:rFonts w:ascii="Arial" w:hAnsi="Arial" w:cs="Arial"/>
          </w:rPr>
          <w:t>a</w:t>
        </w:r>
        <w:proofErr w:type="spellEnd"/>
      </w:hyperlink>
      <w:r w:rsidR="006C300E" w:rsidRPr="006D73AC">
        <w:rPr>
          <w:rStyle w:val="Hyperlink"/>
          <w:rFonts w:ascii="Arial" w:hAnsi="Arial" w:cs="Arial"/>
          <w:color w:val="auto"/>
          <w:u w:val="none"/>
        </w:rPr>
        <w:t xml:space="preserve">, </w:t>
      </w:r>
      <w:hyperlink r:id="rId11" w:history="1">
        <w:r w:rsidR="004B7C8F" w:rsidRPr="006D73AC">
          <w:rPr>
            <w:rStyle w:val="Hyperlink"/>
            <w:rFonts w:ascii="Arial" w:hAnsi="Arial" w:cs="Arial"/>
          </w:rPr>
          <w:t>Project December</w:t>
        </w:r>
      </w:hyperlink>
      <w:r w:rsidR="004B7C8F" w:rsidRPr="006D73AC">
        <w:rPr>
          <w:rStyle w:val="Hyperlink"/>
          <w:rFonts w:ascii="Arial" w:hAnsi="Arial" w:cs="Arial"/>
          <w:color w:val="auto"/>
          <w:u w:val="none"/>
        </w:rPr>
        <w:t xml:space="preserve"> powered by OpenAI, and</w:t>
      </w:r>
      <w:r w:rsidR="00AA6F0C" w:rsidRPr="006D73AC">
        <w:rPr>
          <w:rStyle w:val="Hyperlink"/>
          <w:rFonts w:ascii="Arial" w:hAnsi="Arial" w:cs="Arial"/>
          <w:color w:val="auto"/>
          <w:u w:val="none"/>
        </w:rPr>
        <w:t xml:space="preserve"> </w:t>
      </w:r>
      <w:hyperlink r:id="rId12" w:history="1">
        <w:r w:rsidR="00AA6F0C" w:rsidRPr="006D73AC">
          <w:rPr>
            <w:rStyle w:val="Hyperlink"/>
            <w:rFonts w:ascii="Arial" w:hAnsi="Arial" w:cs="Arial"/>
          </w:rPr>
          <w:t>ETER9</w:t>
        </w:r>
      </w:hyperlink>
      <w:r w:rsidR="00AF49AF" w:rsidRPr="006D73AC">
        <w:rPr>
          <w:rStyle w:val="Hyperlink"/>
          <w:rFonts w:ascii="Arial" w:hAnsi="Arial" w:cs="Arial"/>
          <w:color w:val="auto"/>
          <w:u w:val="none"/>
        </w:rPr>
        <w:t xml:space="preserve"> have emerged </w:t>
      </w:r>
      <w:r w:rsidR="00BB6752" w:rsidRPr="006D73AC">
        <w:rPr>
          <w:rStyle w:val="Hyperlink"/>
          <w:rFonts w:ascii="Arial" w:hAnsi="Arial" w:cs="Arial"/>
          <w:color w:val="auto"/>
          <w:u w:val="none"/>
        </w:rPr>
        <w:t xml:space="preserve">to take advantage of </w:t>
      </w:r>
      <w:r w:rsidR="00A17569" w:rsidRPr="006D73AC">
        <w:rPr>
          <w:rStyle w:val="Hyperlink"/>
          <w:rFonts w:ascii="Arial" w:hAnsi="Arial" w:cs="Arial"/>
          <w:color w:val="auto"/>
          <w:u w:val="none"/>
        </w:rPr>
        <w:t>the new Digital Afterlife Industry</w:t>
      </w:r>
      <w:r w:rsidR="001741A6" w:rsidRPr="006D73AC">
        <w:rPr>
          <w:rStyle w:val="Hyperlink"/>
          <w:rFonts w:ascii="Arial" w:hAnsi="Arial" w:cs="Arial"/>
          <w:color w:val="auto"/>
          <w:u w:val="none"/>
        </w:rPr>
        <w:t xml:space="preserve"> (</w:t>
      </w:r>
      <w:r w:rsidR="001741A6" w:rsidRPr="70B50E6C">
        <w:rPr>
          <w:rStyle w:val="Hyperlink"/>
          <w:rFonts w:ascii="Arial" w:hAnsi="Arial" w:cs="Arial"/>
          <w:b/>
          <w:bCs/>
          <w:color w:val="auto"/>
          <w:u w:val="none"/>
        </w:rPr>
        <w:t>DAI</w:t>
      </w:r>
      <w:r w:rsidR="001741A6" w:rsidRPr="006D73AC">
        <w:rPr>
          <w:rStyle w:val="Hyperlink"/>
          <w:rFonts w:ascii="Arial" w:hAnsi="Arial" w:cs="Arial"/>
          <w:color w:val="auto"/>
          <w:u w:val="none"/>
        </w:rPr>
        <w:t>)</w:t>
      </w:r>
      <w:r w:rsidR="00BB6752" w:rsidRPr="006D73AC">
        <w:rPr>
          <w:rStyle w:val="Hyperlink"/>
          <w:rFonts w:ascii="Arial" w:hAnsi="Arial" w:cs="Arial"/>
          <w:color w:val="auto"/>
          <w:u w:val="none"/>
        </w:rPr>
        <w:t xml:space="preserve">. </w:t>
      </w:r>
      <w:r w:rsidR="001B268F" w:rsidRPr="006D73AC">
        <w:rPr>
          <w:rStyle w:val="Hyperlink"/>
          <w:rFonts w:ascii="Arial" w:hAnsi="Arial" w:cs="Arial"/>
          <w:color w:val="auto"/>
          <w:u w:val="none"/>
        </w:rPr>
        <w:t>These social networks utilise AI</w:t>
      </w:r>
      <w:r w:rsidR="00127DAD" w:rsidRPr="006D73AC">
        <w:rPr>
          <w:rStyle w:val="Hyperlink"/>
          <w:rFonts w:ascii="Arial" w:hAnsi="Arial" w:cs="Arial"/>
          <w:color w:val="auto"/>
          <w:u w:val="none"/>
        </w:rPr>
        <w:t xml:space="preserve"> </w:t>
      </w:r>
      <w:r w:rsidR="00F30823" w:rsidRPr="006D73AC">
        <w:rPr>
          <w:rStyle w:val="Hyperlink"/>
          <w:rFonts w:ascii="Arial" w:hAnsi="Arial" w:cs="Arial"/>
          <w:color w:val="auto"/>
          <w:u w:val="none"/>
        </w:rPr>
        <w:t>machine</w:t>
      </w:r>
      <w:r w:rsidR="00127DAD" w:rsidRPr="006D73AC">
        <w:rPr>
          <w:rStyle w:val="Hyperlink"/>
          <w:rFonts w:ascii="Arial" w:hAnsi="Arial" w:cs="Arial"/>
          <w:color w:val="auto"/>
          <w:u w:val="none"/>
        </w:rPr>
        <w:t>-</w:t>
      </w:r>
      <w:r w:rsidR="00F30823" w:rsidRPr="006D73AC">
        <w:rPr>
          <w:rStyle w:val="Hyperlink"/>
          <w:rFonts w:ascii="Arial" w:hAnsi="Arial" w:cs="Arial"/>
          <w:color w:val="auto"/>
          <w:u w:val="none"/>
        </w:rPr>
        <w:t>learning technology</w:t>
      </w:r>
      <w:r w:rsidR="00127DAD" w:rsidRPr="006D73AC">
        <w:rPr>
          <w:rStyle w:val="Hyperlink"/>
          <w:rFonts w:ascii="Arial" w:hAnsi="Arial" w:cs="Arial"/>
          <w:color w:val="auto"/>
          <w:u w:val="none"/>
        </w:rPr>
        <w:t xml:space="preserve">, which allows the AI to recognise patterns </w:t>
      </w:r>
      <w:r w:rsidR="00E1244A" w:rsidRPr="006D73AC">
        <w:rPr>
          <w:rStyle w:val="Hyperlink"/>
          <w:rFonts w:ascii="Arial" w:hAnsi="Arial" w:cs="Arial"/>
          <w:color w:val="auto"/>
          <w:u w:val="none"/>
        </w:rPr>
        <w:t xml:space="preserve">in </w:t>
      </w:r>
      <w:r w:rsidR="002C4F3B" w:rsidRPr="006D73AC">
        <w:rPr>
          <w:rStyle w:val="Hyperlink"/>
          <w:rFonts w:ascii="Arial" w:hAnsi="Arial" w:cs="Arial"/>
          <w:color w:val="auto"/>
          <w:u w:val="none"/>
        </w:rPr>
        <w:t>user behaviour</w:t>
      </w:r>
      <w:r w:rsidR="00E1244A" w:rsidRPr="006D73AC">
        <w:rPr>
          <w:rStyle w:val="Hyperlink"/>
          <w:rFonts w:ascii="Arial" w:hAnsi="Arial" w:cs="Arial"/>
          <w:color w:val="auto"/>
          <w:u w:val="none"/>
        </w:rPr>
        <w:t xml:space="preserve"> </w:t>
      </w:r>
      <w:r w:rsidR="002C4F3B" w:rsidRPr="006D73AC">
        <w:rPr>
          <w:rStyle w:val="Hyperlink"/>
          <w:rFonts w:ascii="Arial" w:hAnsi="Arial" w:cs="Arial"/>
          <w:color w:val="auto"/>
          <w:u w:val="none"/>
        </w:rPr>
        <w:t xml:space="preserve">and data </w:t>
      </w:r>
      <w:r w:rsidR="00E1244A" w:rsidRPr="006D73AC">
        <w:rPr>
          <w:rStyle w:val="Hyperlink"/>
          <w:rFonts w:ascii="Arial" w:hAnsi="Arial" w:cs="Arial"/>
          <w:color w:val="auto"/>
          <w:u w:val="none"/>
        </w:rPr>
        <w:t>to</w:t>
      </w:r>
      <w:r w:rsidR="00F83366" w:rsidRPr="006D73AC">
        <w:rPr>
          <w:rStyle w:val="Hyperlink"/>
          <w:rFonts w:ascii="Arial" w:hAnsi="Arial" w:cs="Arial"/>
          <w:color w:val="auto"/>
          <w:u w:val="none"/>
        </w:rPr>
        <w:t xml:space="preserve"> </w:t>
      </w:r>
      <w:r w:rsidR="00AE0B92" w:rsidRPr="006D73AC">
        <w:rPr>
          <w:rStyle w:val="Hyperlink"/>
          <w:rFonts w:ascii="Arial" w:hAnsi="Arial" w:cs="Arial"/>
          <w:color w:val="auto"/>
          <w:u w:val="none"/>
        </w:rPr>
        <w:t>digitally replicate</w:t>
      </w:r>
      <w:r w:rsidR="00E1244A" w:rsidRPr="006D73AC">
        <w:rPr>
          <w:rStyle w:val="Hyperlink"/>
          <w:rFonts w:ascii="Arial" w:hAnsi="Arial" w:cs="Arial"/>
          <w:color w:val="auto"/>
          <w:u w:val="none"/>
        </w:rPr>
        <w:t xml:space="preserve"> </w:t>
      </w:r>
      <w:r w:rsidR="00F83366" w:rsidRPr="006D73AC">
        <w:rPr>
          <w:rStyle w:val="Hyperlink"/>
          <w:rFonts w:ascii="Arial" w:hAnsi="Arial" w:cs="Arial"/>
          <w:color w:val="auto"/>
          <w:u w:val="none"/>
        </w:rPr>
        <w:t>the deceased</w:t>
      </w:r>
      <w:r w:rsidR="00E1244A" w:rsidRPr="006D73AC">
        <w:rPr>
          <w:rStyle w:val="Hyperlink"/>
          <w:rFonts w:ascii="Arial" w:hAnsi="Arial" w:cs="Arial"/>
          <w:color w:val="auto"/>
          <w:u w:val="none"/>
        </w:rPr>
        <w:t>.</w:t>
      </w:r>
      <w:r w:rsidR="00F83366" w:rsidRPr="006D73AC">
        <w:rPr>
          <w:rStyle w:val="Hyperlink"/>
          <w:rFonts w:ascii="Arial" w:hAnsi="Arial" w:cs="Arial"/>
          <w:color w:val="auto"/>
          <w:u w:val="none"/>
        </w:rPr>
        <w:t xml:space="preserve"> </w:t>
      </w:r>
      <w:r w:rsidR="004249D0" w:rsidRPr="006D73AC">
        <w:rPr>
          <w:rStyle w:val="Hyperlink"/>
          <w:rFonts w:ascii="Arial" w:hAnsi="Arial" w:cs="Arial"/>
          <w:color w:val="auto"/>
          <w:u w:val="none"/>
        </w:rPr>
        <w:t>DAI</w:t>
      </w:r>
      <w:r w:rsidR="00D93720" w:rsidRPr="006D73AC">
        <w:rPr>
          <w:rStyle w:val="Hyperlink"/>
          <w:rFonts w:ascii="Arial" w:hAnsi="Arial" w:cs="Arial"/>
          <w:color w:val="auto"/>
          <w:u w:val="none"/>
        </w:rPr>
        <w:t xml:space="preserve"> is defined</w:t>
      </w:r>
      <w:r w:rsidR="004249D0" w:rsidRPr="006D73AC">
        <w:rPr>
          <w:rStyle w:val="Hyperlink"/>
          <w:rFonts w:ascii="Arial" w:hAnsi="Arial" w:cs="Arial"/>
          <w:color w:val="auto"/>
          <w:u w:val="none"/>
        </w:rPr>
        <w:t xml:space="preserve"> as an umbrella term encompassing “any activity of production of commercial goods (or services) that involves online usage of digital remains</w:t>
      </w:r>
      <w:r w:rsidR="6993D44A" w:rsidRPr="006D73AC">
        <w:rPr>
          <w:rStyle w:val="Hyperlink"/>
          <w:rFonts w:ascii="Arial" w:hAnsi="Arial" w:cs="Arial"/>
          <w:color w:val="auto"/>
          <w:u w:val="none"/>
        </w:rPr>
        <w:t>”</w:t>
      </w:r>
      <w:r w:rsidR="004249D0" w:rsidRPr="006D73AC">
        <w:rPr>
          <w:rStyle w:val="Hyperlink"/>
          <w:rFonts w:ascii="Arial" w:hAnsi="Arial" w:cs="Arial"/>
          <w:color w:val="auto"/>
          <w:u w:val="none"/>
        </w:rPr>
        <w:t xml:space="preserve">. </w:t>
      </w:r>
      <w:r w:rsidR="00573D75" w:rsidRPr="006D73AC">
        <w:rPr>
          <w:rStyle w:val="Hyperlink"/>
          <w:rFonts w:ascii="Arial" w:hAnsi="Arial" w:cs="Arial"/>
          <w:color w:val="auto"/>
          <w:u w:val="none"/>
        </w:rPr>
        <w:t>An example is t</w:t>
      </w:r>
      <w:r w:rsidR="004249D0" w:rsidRPr="006D73AC">
        <w:rPr>
          <w:rStyle w:val="Hyperlink"/>
          <w:rFonts w:ascii="Arial" w:hAnsi="Arial" w:cs="Arial"/>
          <w:color w:val="auto"/>
          <w:u w:val="none"/>
        </w:rPr>
        <w:t>wo-way communication with AI</w:t>
      </w:r>
      <w:r w:rsidR="00E862BC" w:rsidRPr="006D73AC">
        <w:rPr>
          <w:rStyle w:val="FootnoteReference"/>
          <w:rFonts w:ascii="Arial" w:hAnsi="Arial" w:cs="Arial"/>
        </w:rPr>
        <w:footnoteReference w:id="4"/>
      </w:r>
      <w:r w:rsidR="00E862BC" w:rsidRPr="006D73AC">
        <w:rPr>
          <w:rStyle w:val="Hyperlink"/>
          <w:rFonts w:ascii="Arial" w:hAnsi="Arial" w:cs="Arial"/>
          <w:color w:val="auto"/>
          <w:u w:val="none"/>
        </w:rPr>
        <w:t xml:space="preserve"> </w:t>
      </w:r>
      <w:r w:rsidR="004249D0" w:rsidRPr="006D73AC">
        <w:rPr>
          <w:rStyle w:val="Hyperlink"/>
          <w:rFonts w:ascii="Arial" w:hAnsi="Arial" w:cs="Arial"/>
          <w:color w:val="auto"/>
          <w:u w:val="none"/>
        </w:rPr>
        <w:t xml:space="preserve">chatbots and avatars </w:t>
      </w:r>
      <w:r w:rsidR="00573D75" w:rsidRPr="006D73AC">
        <w:rPr>
          <w:rStyle w:val="Hyperlink"/>
          <w:rFonts w:ascii="Arial" w:hAnsi="Arial" w:cs="Arial"/>
          <w:color w:val="auto"/>
          <w:u w:val="none"/>
        </w:rPr>
        <w:t>impersonating the deceased</w:t>
      </w:r>
      <w:r w:rsidR="00A83AE9" w:rsidRPr="006D73AC">
        <w:rPr>
          <w:rStyle w:val="Hyperlink"/>
          <w:rFonts w:ascii="Arial" w:hAnsi="Arial" w:cs="Arial"/>
          <w:color w:val="auto"/>
          <w:u w:val="none"/>
        </w:rPr>
        <w:t xml:space="preserve"> (also known as ‘</w:t>
      </w:r>
      <w:proofErr w:type="spellStart"/>
      <w:r w:rsidR="00A83AE9" w:rsidRPr="006D73AC">
        <w:rPr>
          <w:rStyle w:val="Hyperlink"/>
          <w:rFonts w:ascii="Arial" w:hAnsi="Arial" w:cs="Arial"/>
          <w:color w:val="auto"/>
          <w:u w:val="none"/>
        </w:rPr>
        <w:t>griefbots</w:t>
      </w:r>
      <w:proofErr w:type="spellEnd"/>
      <w:r w:rsidR="00A83AE9" w:rsidRPr="006D73AC">
        <w:rPr>
          <w:rStyle w:val="Hyperlink"/>
          <w:rFonts w:ascii="Arial" w:hAnsi="Arial" w:cs="Arial"/>
          <w:color w:val="auto"/>
          <w:u w:val="none"/>
        </w:rPr>
        <w:t>’ or ‘</w:t>
      </w:r>
      <w:proofErr w:type="spellStart"/>
      <w:r w:rsidR="00A83AE9" w:rsidRPr="006D73AC">
        <w:rPr>
          <w:rStyle w:val="Hyperlink"/>
          <w:rFonts w:ascii="Arial" w:hAnsi="Arial" w:cs="Arial"/>
          <w:color w:val="auto"/>
          <w:u w:val="none"/>
        </w:rPr>
        <w:t>deadbots</w:t>
      </w:r>
      <w:proofErr w:type="spellEnd"/>
      <w:r w:rsidR="00A83AE9" w:rsidRPr="006D73AC">
        <w:rPr>
          <w:rStyle w:val="Hyperlink"/>
          <w:rFonts w:ascii="Arial" w:hAnsi="Arial" w:cs="Arial"/>
          <w:color w:val="auto"/>
          <w:u w:val="none"/>
        </w:rPr>
        <w:t>’)</w:t>
      </w:r>
      <w:r w:rsidR="6E809B80" w:rsidRPr="006D73AC">
        <w:rPr>
          <w:rStyle w:val="Hyperlink"/>
          <w:rFonts w:ascii="Arial" w:hAnsi="Arial" w:cs="Arial"/>
          <w:color w:val="auto"/>
          <w:u w:val="none"/>
        </w:rPr>
        <w:t>.</w:t>
      </w:r>
      <w:r w:rsidR="00A83AE9" w:rsidRPr="006D73AC">
        <w:rPr>
          <w:rStyle w:val="FootnoteReference"/>
          <w:rFonts w:ascii="Arial" w:hAnsi="Arial" w:cs="Arial"/>
        </w:rPr>
        <w:footnoteReference w:id="5"/>
      </w:r>
      <w:r w:rsidR="00573D75" w:rsidRPr="006D73AC">
        <w:rPr>
          <w:rStyle w:val="Hyperlink"/>
          <w:rFonts w:ascii="Arial" w:hAnsi="Arial" w:cs="Arial"/>
          <w:color w:val="auto"/>
          <w:u w:val="none"/>
        </w:rPr>
        <w:t xml:space="preserve"> </w:t>
      </w:r>
      <w:r w:rsidR="00A71FE2" w:rsidRPr="006D73AC">
        <w:rPr>
          <w:rStyle w:val="Hyperlink"/>
          <w:rFonts w:ascii="Arial" w:hAnsi="Arial" w:cs="Arial"/>
          <w:color w:val="auto"/>
          <w:u w:val="none"/>
        </w:rPr>
        <w:t>For example, t</w:t>
      </w:r>
      <w:r w:rsidR="00813D46" w:rsidRPr="006D73AC">
        <w:rPr>
          <w:rStyle w:val="Hyperlink"/>
          <w:rFonts w:ascii="Arial" w:hAnsi="Arial" w:cs="Arial"/>
          <w:color w:val="auto"/>
          <w:u w:val="none"/>
        </w:rPr>
        <w:t xml:space="preserve">he AI in </w:t>
      </w:r>
      <w:r w:rsidR="00D24676" w:rsidRPr="006D73AC">
        <w:rPr>
          <w:rStyle w:val="Hyperlink"/>
          <w:rFonts w:ascii="Arial" w:hAnsi="Arial" w:cs="Arial"/>
          <w:color w:val="auto"/>
          <w:u w:val="none"/>
        </w:rPr>
        <w:t>ETER9</w:t>
      </w:r>
      <w:r w:rsidR="00580538" w:rsidRPr="006D73AC">
        <w:rPr>
          <w:rStyle w:val="Hyperlink"/>
          <w:rFonts w:ascii="Arial" w:hAnsi="Arial" w:cs="Arial"/>
          <w:color w:val="auto"/>
          <w:u w:val="none"/>
        </w:rPr>
        <w:t xml:space="preserve"> </w:t>
      </w:r>
      <w:r w:rsidR="00813D46" w:rsidRPr="006D73AC">
        <w:rPr>
          <w:rStyle w:val="Hyperlink"/>
          <w:rFonts w:ascii="Arial" w:hAnsi="Arial" w:cs="Arial"/>
          <w:color w:val="auto"/>
          <w:u w:val="none"/>
        </w:rPr>
        <w:t>creates a virtual counterpart to users (known as ‘Niners’)</w:t>
      </w:r>
      <w:r w:rsidR="009801E1" w:rsidRPr="006D73AC">
        <w:rPr>
          <w:rStyle w:val="Hyperlink"/>
          <w:rFonts w:ascii="Arial" w:hAnsi="Arial" w:cs="Arial"/>
          <w:color w:val="auto"/>
          <w:u w:val="none"/>
        </w:rPr>
        <w:t xml:space="preserve"> that </w:t>
      </w:r>
      <w:r w:rsidR="008951F3" w:rsidRPr="006D73AC">
        <w:rPr>
          <w:rStyle w:val="Hyperlink"/>
          <w:rFonts w:ascii="Arial" w:hAnsi="Arial" w:cs="Arial"/>
          <w:color w:val="auto"/>
          <w:u w:val="none"/>
        </w:rPr>
        <w:t xml:space="preserve">learn and </w:t>
      </w:r>
      <w:r w:rsidR="009801E1" w:rsidRPr="006D73AC">
        <w:rPr>
          <w:rStyle w:val="Hyperlink"/>
          <w:rFonts w:ascii="Arial" w:hAnsi="Arial" w:cs="Arial"/>
          <w:color w:val="auto"/>
          <w:u w:val="none"/>
        </w:rPr>
        <w:t>mimics the users’ online behaviour</w:t>
      </w:r>
      <w:r w:rsidR="00127B81" w:rsidRPr="006D73AC">
        <w:rPr>
          <w:rStyle w:val="Hyperlink"/>
          <w:rFonts w:ascii="Arial" w:hAnsi="Arial" w:cs="Arial"/>
          <w:color w:val="auto"/>
          <w:u w:val="none"/>
        </w:rPr>
        <w:t xml:space="preserve">. These counterparts </w:t>
      </w:r>
      <w:r w:rsidR="005A4D30" w:rsidRPr="006D73AC">
        <w:rPr>
          <w:rStyle w:val="Hyperlink"/>
          <w:rFonts w:ascii="Arial" w:hAnsi="Arial" w:cs="Arial"/>
          <w:color w:val="auto"/>
          <w:u w:val="none"/>
        </w:rPr>
        <w:t>can interact online</w:t>
      </w:r>
      <w:r w:rsidR="00A56AE1" w:rsidRPr="006D73AC">
        <w:rPr>
          <w:rStyle w:val="Hyperlink"/>
          <w:rFonts w:ascii="Arial" w:hAnsi="Arial" w:cs="Arial"/>
          <w:color w:val="auto"/>
          <w:u w:val="none"/>
        </w:rPr>
        <w:t xml:space="preserve"> </w:t>
      </w:r>
      <w:r w:rsidR="00FE740D" w:rsidRPr="006D73AC">
        <w:rPr>
          <w:rStyle w:val="Hyperlink"/>
          <w:rFonts w:ascii="Arial" w:hAnsi="Arial" w:cs="Arial"/>
          <w:color w:val="auto"/>
          <w:u w:val="none"/>
        </w:rPr>
        <w:t>autonomously</w:t>
      </w:r>
      <w:r w:rsidR="005A4D30" w:rsidRPr="006D73AC">
        <w:rPr>
          <w:rStyle w:val="Hyperlink"/>
          <w:rFonts w:ascii="Arial" w:hAnsi="Arial" w:cs="Arial"/>
          <w:color w:val="auto"/>
          <w:u w:val="none"/>
        </w:rPr>
        <w:t>, i.e. post, comment and ‘like’</w:t>
      </w:r>
      <w:r w:rsidR="003C35AB" w:rsidRPr="006D73AC">
        <w:rPr>
          <w:rStyle w:val="Hyperlink"/>
          <w:rFonts w:ascii="Arial" w:hAnsi="Arial" w:cs="Arial"/>
          <w:color w:val="auto"/>
          <w:u w:val="none"/>
        </w:rPr>
        <w:t>, whilst</w:t>
      </w:r>
      <w:r w:rsidR="0070682D" w:rsidRPr="006D73AC">
        <w:rPr>
          <w:rStyle w:val="Hyperlink"/>
          <w:rFonts w:ascii="Arial" w:hAnsi="Arial" w:cs="Arial"/>
          <w:color w:val="auto"/>
          <w:u w:val="none"/>
        </w:rPr>
        <w:t xml:space="preserve"> assuming the user’s personality and </w:t>
      </w:r>
      <w:r w:rsidR="002844ED" w:rsidRPr="006D73AC">
        <w:rPr>
          <w:rStyle w:val="Hyperlink"/>
          <w:rFonts w:ascii="Arial" w:hAnsi="Arial" w:cs="Arial"/>
          <w:color w:val="auto"/>
          <w:u w:val="none"/>
        </w:rPr>
        <w:t>characteristics</w:t>
      </w:r>
      <w:r w:rsidR="005A4D30" w:rsidRPr="006D73AC">
        <w:rPr>
          <w:rStyle w:val="Hyperlink"/>
          <w:rFonts w:ascii="Arial" w:hAnsi="Arial" w:cs="Arial"/>
          <w:color w:val="auto"/>
          <w:u w:val="none"/>
        </w:rPr>
        <w:t xml:space="preserve">, </w:t>
      </w:r>
      <w:r w:rsidR="00606AED" w:rsidRPr="006D73AC">
        <w:rPr>
          <w:rStyle w:val="Hyperlink"/>
          <w:rFonts w:ascii="Arial" w:hAnsi="Arial" w:cs="Arial"/>
          <w:color w:val="auto"/>
          <w:u w:val="none"/>
        </w:rPr>
        <w:t>even</w:t>
      </w:r>
      <w:r w:rsidR="00B37E77" w:rsidRPr="006D73AC">
        <w:rPr>
          <w:rStyle w:val="Hyperlink"/>
          <w:rFonts w:ascii="Arial" w:hAnsi="Arial" w:cs="Arial"/>
          <w:color w:val="auto"/>
          <w:u w:val="none"/>
        </w:rPr>
        <w:t xml:space="preserve"> after the biological user has passed. </w:t>
      </w:r>
      <w:r w:rsidR="000A33E2" w:rsidRPr="006D73AC">
        <w:rPr>
          <w:rStyle w:val="Hyperlink"/>
          <w:rFonts w:ascii="Arial" w:hAnsi="Arial" w:cs="Arial"/>
          <w:color w:val="auto"/>
          <w:u w:val="none"/>
        </w:rPr>
        <w:t>Some people communicate with thes</w:t>
      </w:r>
      <w:r w:rsidR="006B136D" w:rsidRPr="006D73AC">
        <w:rPr>
          <w:rStyle w:val="Hyperlink"/>
          <w:rFonts w:ascii="Arial" w:hAnsi="Arial" w:cs="Arial"/>
          <w:color w:val="auto"/>
          <w:u w:val="none"/>
        </w:rPr>
        <w:t>e deceased’s counterparts to process grief.</w:t>
      </w:r>
      <w:r w:rsidR="00567F39" w:rsidRPr="006D73AC">
        <w:rPr>
          <w:rStyle w:val="FootnoteReference"/>
          <w:rFonts w:ascii="Arial" w:hAnsi="Arial" w:cs="Arial"/>
        </w:rPr>
        <w:footnoteReference w:id="6"/>
      </w:r>
      <w:r w:rsidR="006B136D" w:rsidRPr="006D73AC">
        <w:rPr>
          <w:rStyle w:val="Hyperlink"/>
          <w:rFonts w:ascii="Arial" w:hAnsi="Arial" w:cs="Arial"/>
          <w:color w:val="auto"/>
          <w:u w:val="none"/>
        </w:rPr>
        <w:t xml:space="preserve"> </w:t>
      </w:r>
      <w:r w:rsidR="00BC0A9A" w:rsidRPr="006D73AC">
        <w:rPr>
          <w:rStyle w:val="Hyperlink"/>
          <w:rFonts w:ascii="Arial" w:hAnsi="Arial" w:cs="Arial"/>
          <w:color w:val="auto"/>
          <w:u w:val="none"/>
        </w:rPr>
        <w:t>However, o</w:t>
      </w:r>
      <w:r w:rsidR="003B06CC" w:rsidRPr="006D73AC">
        <w:rPr>
          <w:rStyle w:val="Hyperlink"/>
          <w:rFonts w:ascii="Arial" w:hAnsi="Arial" w:cs="Arial"/>
          <w:color w:val="auto"/>
          <w:u w:val="none"/>
        </w:rPr>
        <w:t xml:space="preserve">nce users </w:t>
      </w:r>
      <w:r w:rsidR="008A15E9" w:rsidRPr="006D73AC">
        <w:rPr>
          <w:rStyle w:val="Hyperlink"/>
          <w:rFonts w:ascii="Arial" w:hAnsi="Arial" w:cs="Arial"/>
          <w:color w:val="auto"/>
          <w:u w:val="none"/>
        </w:rPr>
        <w:t>of these projects die</w:t>
      </w:r>
      <w:r w:rsidR="003B06CC" w:rsidRPr="006D73AC">
        <w:rPr>
          <w:rStyle w:val="Hyperlink"/>
          <w:rFonts w:ascii="Arial" w:hAnsi="Arial" w:cs="Arial"/>
          <w:color w:val="auto"/>
          <w:u w:val="none"/>
        </w:rPr>
        <w:t>, they</w:t>
      </w:r>
      <w:r w:rsidR="002F55EB" w:rsidRPr="006D73AC">
        <w:rPr>
          <w:rStyle w:val="Hyperlink"/>
          <w:rFonts w:ascii="Arial" w:hAnsi="Arial" w:cs="Arial"/>
          <w:color w:val="auto"/>
          <w:u w:val="none"/>
        </w:rPr>
        <w:t xml:space="preserve"> </w:t>
      </w:r>
      <w:r w:rsidR="00974454" w:rsidRPr="006D73AC">
        <w:rPr>
          <w:rStyle w:val="Hyperlink"/>
          <w:rFonts w:ascii="Arial" w:hAnsi="Arial" w:cs="Arial"/>
          <w:color w:val="auto"/>
          <w:u w:val="none"/>
        </w:rPr>
        <w:t>no longer have control over their data</w:t>
      </w:r>
      <w:r w:rsidR="00A02836" w:rsidRPr="006D73AC">
        <w:rPr>
          <w:rStyle w:val="Hyperlink"/>
          <w:rFonts w:ascii="Arial" w:hAnsi="Arial" w:cs="Arial"/>
          <w:color w:val="auto"/>
          <w:u w:val="none"/>
        </w:rPr>
        <w:t xml:space="preserve"> and </w:t>
      </w:r>
      <w:r w:rsidR="00203580" w:rsidRPr="006D73AC">
        <w:rPr>
          <w:rStyle w:val="Hyperlink"/>
          <w:rFonts w:ascii="Arial" w:hAnsi="Arial" w:cs="Arial"/>
          <w:color w:val="auto"/>
          <w:u w:val="none"/>
        </w:rPr>
        <w:t>posthumous self</w:t>
      </w:r>
      <w:r w:rsidR="00974454" w:rsidRPr="006D73AC">
        <w:rPr>
          <w:rStyle w:val="Hyperlink"/>
          <w:rFonts w:ascii="Arial" w:hAnsi="Arial" w:cs="Arial"/>
          <w:color w:val="auto"/>
          <w:u w:val="none"/>
        </w:rPr>
        <w:t>, which has</w:t>
      </w:r>
      <w:r w:rsidR="00974454" w:rsidRPr="006D73AC">
        <w:rPr>
          <w:rStyle w:val="Hyperlink"/>
          <w:rFonts w:ascii="Arial" w:hAnsi="Arial" w:cs="Arial"/>
          <w:color w:val="FF0000"/>
          <w:u w:val="none"/>
        </w:rPr>
        <w:t xml:space="preserve"> </w:t>
      </w:r>
      <w:r w:rsidR="00974454" w:rsidRPr="006D73AC">
        <w:rPr>
          <w:rStyle w:val="Hyperlink"/>
          <w:rFonts w:ascii="Arial" w:hAnsi="Arial" w:cs="Arial"/>
          <w:color w:val="auto"/>
          <w:u w:val="none"/>
        </w:rPr>
        <w:t xml:space="preserve">been </w:t>
      </w:r>
      <w:r w:rsidR="00045F63" w:rsidRPr="006D73AC">
        <w:rPr>
          <w:rStyle w:val="Hyperlink"/>
          <w:rFonts w:ascii="Arial" w:hAnsi="Arial" w:cs="Arial"/>
          <w:color w:val="auto"/>
          <w:u w:val="none"/>
        </w:rPr>
        <w:t xml:space="preserve">permanently left </w:t>
      </w:r>
      <w:r w:rsidR="00033259" w:rsidRPr="006D73AC">
        <w:rPr>
          <w:rStyle w:val="Hyperlink"/>
          <w:rFonts w:ascii="Arial" w:hAnsi="Arial" w:cs="Arial"/>
          <w:color w:val="auto"/>
          <w:u w:val="none"/>
        </w:rPr>
        <w:t xml:space="preserve">on the internet </w:t>
      </w:r>
      <w:r w:rsidR="00A83AE9" w:rsidRPr="006D73AC">
        <w:rPr>
          <w:rStyle w:val="Hyperlink"/>
          <w:rFonts w:ascii="Arial" w:hAnsi="Arial" w:cs="Arial"/>
          <w:color w:val="auto"/>
          <w:u w:val="none"/>
        </w:rPr>
        <w:t xml:space="preserve">to be consumed by the algorithm. </w:t>
      </w:r>
    </w:p>
    <w:p w14:paraId="330F3EF1" w14:textId="6E1A2001" w:rsidR="005B49A8" w:rsidRPr="006D73AC" w:rsidRDefault="009B64DD" w:rsidP="006D73AC">
      <w:pPr>
        <w:pStyle w:val="ListParagraph"/>
        <w:numPr>
          <w:ilvl w:val="0"/>
          <w:numId w:val="4"/>
        </w:numPr>
        <w:spacing w:line="240" w:lineRule="auto"/>
        <w:rPr>
          <w:rStyle w:val="Hyperlink"/>
          <w:rFonts w:ascii="Arial" w:hAnsi="Arial" w:cs="Arial"/>
          <w:b/>
          <w:bCs/>
          <w:color w:val="auto"/>
          <w:u w:val="none"/>
        </w:rPr>
      </w:pPr>
      <w:r w:rsidRPr="006D73AC">
        <w:rPr>
          <w:rStyle w:val="Hyperlink"/>
          <w:rFonts w:ascii="Arial" w:hAnsi="Arial" w:cs="Arial"/>
          <w:b/>
          <w:bCs/>
          <w:color w:val="auto"/>
          <w:u w:val="none"/>
        </w:rPr>
        <w:t>Post</w:t>
      </w:r>
      <w:r w:rsidR="007412D1" w:rsidRPr="006D73AC">
        <w:rPr>
          <w:rStyle w:val="Hyperlink"/>
          <w:rFonts w:ascii="Arial" w:hAnsi="Arial" w:cs="Arial"/>
          <w:b/>
          <w:bCs/>
          <w:color w:val="auto"/>
          <w:u w:val="none"/>
        </w:rPr>
        <w:t xml:space="preserve">-mortem privacy </w:t>
      </w:r>
      <w:r w:rsidRPr="006D73AC">
        <w:rPr>
          <w:rStyle w:val="Hyperlink"/>
          <w:rFonts w:ascii="Arial" w:hAnsi="Arial" w:cs="Arial"/>
          <w:b/>
          <w:bCs/>
          <w:color w:val="auto"/>
          <w:u w:val="none"/>
        </w:rPr>
        <w:t>protection</w:t>
      </w:r>
    </w:p>
    <w:p w14:paraId="2E9AD132" w14:textId="2DA6803B" w:rsidR="007412D1" w:rsidRPr="006D73AC" w:rsidRDefault="009B64DD" w:rsidP="006D73AC">
      <w:pPr>
        <w:tabs>
          <w:tab w:val="left" w:pos="3135"/>
        </w:tabs>
        <w:spacing w:line="240" w:lineRule="auto"/>
        <w:jc w:val="both"/>
        <w:rPr>
          <w:rStyle w:val="Hyperlink"/>
          <w:rFonts w:ascii="Arial" w:hAnsi="Arial" w:cs="Arial"/>
          <w:color w:val="auto"/>
          <w:u w:val="none"/>
        </w:rPr>
      </w:pPr>
      <w:r w:rsidRPr="006D73AC">
        <w:rPr>
          <w:rStyle w:val="Hyperlink"/>
          <w:rFonts w:ascii="Arial" w:hAnsi="Arial" w:cs="Arial"/>
          <w:color w:val="auto"/>
          <w:u w:val="none"/>
        </w:rPr>
        <w:t xml:space="preserve">Issues that arise are the current lack of regulation for </w:t>
      </w:r>
      <w:r w:rsidR="00A74391" w:rsidRPr="006D73AC">
        <w:rPr>
          <w:rStyle w:val="Hyperlink"/>
          <w:rFonts w:ascii="Arial" w:hAnsi="Arial" w:cs="Arial"/>
          <w:color w:val="auto"/>
          <w:u w:val="none"/>
        </w:rPr>
        <w:t>DAI</w:t>
      </w:r>
      <w:r w:rsidRPr="006D73AC">
        <w:rPr>
          <w:rStyle w:val="Hyperlink"/>
          <w:rFonts w:ascii="Arial" w:hAnsi="Arial" w:cs="Arial"/>
          <w:color w:val="auto"/>
          <w:u w:val="none"/>
        </w:rPr>
        <w:t xml:space="preserve"> companies such as ETER9 and the concern for </w:t>
      </w:r>
      <w:r w:rsidR="00C574E9" w:rsidRPr="006D73AC">
        <w:rPr>
          <w:rStyle w:val="Hyperlink"/>
          <w:rFonts w:ascii="Arial" w:hAnsi="Arial" w:cs="Arial"/>
          <w:color w:val="auto"/>
          <w:u w:val="none"/>
        </w:rPr>
        <w:t xml:space="preserve">an </w:t>
      </w:r>
      <w:r w:rsidRPr="006D73AC">
        <w:rPr>
          <w:rStyle w:val="Hyperlink"/>
          <w:rFonts w:ascii="Arial" w:hAnsi="Arial" w:cs="Arial"/>
          <w:color w:val="auto"/>
          <w:u w:val="none"/>
        </w:rPr>
        <w:t>individual’s posthumous privacy protection.</w:t>
      </w:r>
      <w:r w:rsidR="00557327" w:rsidRPr="006D73AC">
        <w:rPr>
          <w:rStyle w:val="Hyperlink"/>
          <w:rFonts w:ascii="Arial" w:hAnsi="Arial" w:cs="Arial"/>
          <w:color w:val="auto"/>
          <w:u w:val="none"/>
        </w:rPr>
        <w:t xml:space="preserve"> </w:t>
      </w:r>
      <w:r w:rsidR="007412D1" w:rsidRPr="006D73AC">
        <w:rPr>
          <w:rFonts w:ascii="Arial" w:hAnsi="Arial" w:cs="Arial"/>
          <w:lang w:val="en-US"/>
        </w:rPr>
        <w:t>The notion of ‘post-</w:t>
      </w:r>
      <w:r w:rsidR="007412D1" w:rsidRPr="006D73AC">
        <w:rPr>
          <w:rFonts w:ascii="Arial" w:hAnsi="Arial" w:cs="Arial"/>
          <w:lang w:val="en-US"/>
        </w:rPr>
        <w:lastRenderedPageBreak/>
        <w:t>mortem privacy’ (</w:t>
      </w:r>
      <w:r w:rsidR="007412D1" w:rsidRPr="70B50E6C">
        <w:rPr>
          <w:rFonts w:ascii="Arial" w:hAnsi="Arial" w:cs="Arial"/>
          <w:b/>
          <w:bCs/>
          <w:lang w:val="en-US"/>
        </w:rPr>
        <w:t>PMP</w:t>
      </w:r>
      <w:r w:rsidR="007412D1" w:rsidRPr="006D73AC">
        <w:rPr>
          <w:rFonts w:ascii="Arial" w:hAnsi="Arial" w:cs="Arial"/>
          <w:lang w:val="en-US"/>
        </w:rPr>
        <w:t>), suggests that privacy, personal data and testamentary freedom forms part of a person’s autonomy and should be respected the same way as a physical body.</w:t>
      </w:r>
      <w:r w:rsidR="007412D1" w:rsidRPr="006D73AC">
        <w:rPr>
          <w:rStyle w:val="FootnoteReference"/>
          <w:rFonts w:ascii="Arial" w:hAnsi="Arial" w:cs="Arial"/>
          <w:lang w:val="en-US"/>
        </w:rPr>
        <w:footnoteReference w:id="7"/>
      </w:r>
      <w:r w:rsidR="007412D1" w:rsidRPr="006D73AC">
        <w:rPr>
          <w:rFonts w:ascii="Arial" w:hAnsi="Arial" w:cs="Arial"/>
          <w:lang w:val="en-US"/>
        </w:rPr>
        <w:t xml:space="preserve"> </w:t>
      </w:r>
      <w:r w:rsidR="007412D1" w:rsidRPr="006D73AC">
        <w:rPr>
          <w:rFonts w:ascii="Arial" w:hAnsi="Arial" w:cs="Arial"/>
        </w:rPr>
        <w:t>PMP has been conceptualised as ‘the right of a person to preserve and control what becomes of his or her reputation, dignity, integrity, secrets or memories after death’.</w:t>
      </w:r>
      <w:r w:rsidR="007412D1" w:rsidRPr="006D73AC">
        <w:rPr>
          <w:rStyle w:val="FootnoteReference"/>
          <w:rFonts w:ascii="Arial" w:hAnsi="Arial" w:cs="Arial"/>
        </w:rPr>
        <w:footnoteReference w:id="8"/>
      </w:r>
      <w:r w:rsidR="007412D1" w:rsidRPr="006D73AC">
        <w:rPr>
          <w:rFonts w:ascii="Arial" w:hAnsi="Arial" w:cs="Arial"/>
        </w:rPr>
        <w:t xml:space="preserve"> </w:t>
      </w:r>
      <w:r w:rsidR="007412D1" w:rsidRPr="006D73AC">
        <w:rPr>
          <w:rFonts w:ascii="Arial" w:hAnsi="Arial" w:cs="Arial"/>
          <w:lang w:val="en-US"/>
        </w:rPr>
        <w:t xml:space="preserve">PMP </w:t>
      </w:r>
      <w:proofErr w:type="spellStart"/>
      <w:r w:rsidR="007412D1" w:rsidRPr="006D73AC">
        <w:rPr>
          <w:rFonts w:ascii="Arial" w:hAnsi="Arial" w:cs="Arial"/>
          <w:lang w:val="en-US"/>
        </w:rPr>
        <w:t>emphasises</w:t>
      </w:r>
      <w:proofErr w:type="spellEnd"/>
      <w:r w:rsidR="007412D1" w:rsidRPr="006D73AC">
        <w:rPr>
          <w:rFonts w:ascii="Arial" w:hAnsi="Arial" w:cs="Arial"/>
          <w:lang w:val="en-US"/>
        </w:rPr>
        <w:t xml:space="preserve"> the importance of a person’s control over their data after death. </w:t>
      </w:r>
      <w:r w:rsidR="007412D1" w:rsidRPr="006D73AC">
        <w:rPr>
          <w:rStyle w:val="Hyperlink"/>
          <w:rFonts w:ascii="Arial" w:hAnsi="Arial" w:cs="Arial"/>
          <w:color w:val="auto"/>
          <w:u w:val="none"/>
        </w:rPr>
        <w:t>However, t</w:t>
      </w:r>
      <w:r w:rsidR="00022134" w:rsidRPr="006D73AC">
        <w:rPr>
          <w:rStyle w:val="Hyperlink"/>
          <w:rFonts w:ascii="Arial" w:hAnsi="Arial" w:cs="Arial"/>
          <w:color w:val="auto"/>
          <w:u w:val="none"/>
        </w:rPr>
        <w:t>he right to privacy does not typically apply to deceased persons.</w:t>
      </w:r>
    </w:p>
    <w:p w14:paraId="1A8AF5B3" w14:textId="41856BAF" w:rsidR="00292E2B" w:rsidRPr="006D73AC" w:rsidRDefault="00CA165B" w:rsidP="006D73AC">
      <w:pPr>
        <w:spacing w:line="240" w:lineRule="auto"/>
        <w:rPr>
          <w:rFonts w:ascii="Arial" w:hAnsi="Arial" w:cs="Arial"/>
        </w:rPr>
      </w:pPr>
      <w:r w:rsidRPr="006D73AC">
        <w:rPr>
          <w:rFonts w:ascii="Arial" w:hAnsi="Arial" w:cs="Arial"/>
        </w:rPr>
        <w:t xml:space="preserve">The </w:t>
      </w:r>
      <w:hyperlink r:id="rId13" w:history="1">
        <w:r w:rsidRPr="70B50E6C">
          <w:rPr>
            <w:rStyle w:val="Hyperlink"/>
            <w:rFonts w:ascii="Arial" w:hAnsi="Arial" w:cs="Arial"/>
            <w:i/>
            <w:iCs/>
          </w:rPr>
          <w:t>General Data Protection Regulation</w:t>
        </w:r>
      </w:hyperlink>
      <w:r w:rsidRPr="006D73AC">
        <w:rPr>
          <w:rFonts w:ascii="Arial" w:hAnsi="Arial" w:cs="Arial"/>
        </w:rPr>
        <w:t xml:space="preserve"> (</w:t>
      </w:r>
      <w:r w:rsidRPr="70B50E6C">
        <w:rPr>
          <w:rFonts w:ascii="Arial" w:hAnsi="Arial" w:cs="Arial"/>
          <w:b/>
          <w:bCs/>
        </w:rPr>
        <w:t>GDPR</w:t>
      </w:r>
      <w:r w:rsidRPr="006D73AC">
        <w:rPr>
          <w:rFonts w:ascii="Arial" w:hAnsi="Arial" w:cs="Arial"/>
        </w:rPr>
        <w:t>)</w:t>
      </w:r>
      <w:r w:rsidR="1050E9DF" w:rsidRPr="006D73AC">
        <w:rPr>
          <w:rFonts w:ascii="Arial" w:hAnsi="Arial" w:cs="Arial"/>
        </w:rPr>
        <w:t>,</w:t>
      </w:r>
      <w:r w:rsidRPr="006D73AC">
        <w:rPr>
          <w:rFonts w:ascii="Arial" w:hAnsi="Arial" w:cs="Arial"/>
        </w:rPr>
        <w:t xml:space="preserve"> introduced in 2014 by the European Union</w:t>
      </w:r>
      <w:r w:rsidR="001F4302" w:rsidRPr="006D73AC">
        <w:rPr>
          <w:rFonts w:ascii="Arial" w:hAnsi="Arial" w:cs="Arial"/>
        </w:rPr>
        <w:t>,</w:t>
      </w:r>
      <w:r w:rsidRPr="006D73AC">
        <w:rPr>
          <w:rFonts w:ascii="Arial" w:hAnsi="Arial" w:cs="Arial"/>
        </w:rPr>
        <w:t xml:space="preserve"> provides the right to be forgotten online</w:t>
      </w:r>
      <w:r w:rsidR="001C1FB5" w:rsidRPr="006D73AC">
        <w:rPr>
          <w:rFonts w:ascii="Arial" w:hAnsi="Arial" w:cs="Arial"/>
        </w:rPr>
        <w:t xml:space="preserve"> with the aim </w:t>
      </w:r>
      <w:r w:rsidR="00D153EC" w:rsidRPr="006D73AC">
        <w:rPr>
          <w:rFonts w:ascii="Arial" w:hAnsi="Arial" w:cs="Arial"/>
        </w:rPr>
        <w:t>of</w:t>
      </w:r>
      <w:r w:rsidR="001C1FB5" w:rsidRPr="006D73AC">
        <w:rPr>
          <w:rFonts w:ascii="Arial" w:hAnsi="Arial" w:cs="Arial"/>
        </w:rPr>
        <w:t xml:space="preserve"> “protect</w:t>
      </w:r>
      <w:r w:rsidR="00D153EC" w:rsidRPr="006D73AC">
        <w:rPr>
          <w:rFonts w:ascii="Arial" w:hAnsi="Arial" w:cs="Arial"/>
        </w:rPr>
        <w:t>[</w:t>
      </w:r>
      <w:proofErr w:type="spellStart"/>
      <w:r w:rsidR="00D153EC" w:rsidRPr="006D73AC">
        <w:rPr>
          <w:rFonts w:ascii="Arial" w:hAnsi="Arial" w:cs="Arial"/>
        </w:rPr>
        <w:t>ing</w:t>
      </w:r>
      <w:proofErr w:type="spellEnd"/>
      <w:r w:rsidR="00D153EC" w:rsidRPr="006D73AC">
        <w:rPr>
          <w:rFonts w:ascii="Arial" w:hAnsi="Arial" w:cs="Arial"/>
        </w:rPr>
        <w:t>]</w:t>
      </w:r>
      <w:r w:rsidR="001C1FB5" w:rsidRPr="006D73AC">
        <w:rPr>
          <w:rFonts w:ascii="Arial" w:hAnsi="Arial" w:cs="Arial"/>
        </w:rPr>
        <w:t xml:space="preserve"> fundamental rights and freedoms of </w:t>
      </w:r>
      <w:r w:rsidR="001C1FB5" w:rsidRPr="70B50E6C">
        <w:rPr>
          <w:rFonts w:ascii="Arial" w:hAnsi="Arial" w:cs="Arial"/>
          <w:i/>
          <w:iCs/>
        </w:rPr>
        <w:t xml:space="preserve">natural persons </w:t>
      </w:r>
      <w:r w:rsidR="001C1FB5" w:rsidRPr="006D73AC">
        <w:rPr>
          <w:rFonts w:ascii="Arial" w:hAnsi="Arial" w:cs="Arial"/>
        </w:rPr>
        <w:t>and in particular their right to the protection of personal data”.</w:t>
      </w:r>
      <w:r w:rsidR="001C1FB5" w:rsidRPr="006D73AC">
        <w:rPr>
          <w:rStyle w:val="FootnoteReference"/>
          <w:rFonts w:ascii="Arial" w:hAnsi="Arial" w:cs="Arial"/>
        </w:rPr>
        <w:footnoteReference w:id="9"/>
      </w:r>
      <w:r w:rsidR="001C1FB5" w:rsidRPr="006D73AC">
        <w:rPr>
          <w:rFonts w:ascii="Arial" w:hAnsi="Arial" w:cs="Arial"/>
        </w:rPr>
        <w:t xml:space="preserve"> </w:t>
      </w:r>
      <w:r w:rsidRPr="006D73AC">
        <w:rPr>
          <w:rFonts w:ascii="Arial" w:hAnsi="Arial" w:cs="Arial"/>
        </w:rPr>
        <w:t xml:space="preserve"> ‘Natural persons’ do</w:t>
      </w:r>
      <w:r w:rsidR="00022134" w:rsidRPr="006D73AC">
        <w:rPr>
          <w:rFonts w:ascii="Arial" w:hAnsi="Arial" w:cs="Arial"/>
        </w:rPr>
        <w:t>es</w:t>
      </w:r>
      <w:r w:rsidRPr="006D73AC">
        <w:rPr>
          <w:rFonts w:ascii="Arial" w:hAnsi="Arial" w:cs="Arial"/>
        </w:rPr>
        <w:t xml:space="preserve"> not include dead persons. </w:t>
      </w:r>
      <w:r w:rsidR="001C1FB5" w:rsidRPr="006D73AC">
        <w:rPr>
          <w:rFonts w:ascii="Arial" w:hAnsi="Arial" w:cs="Arial"/>
        </w:rPr>
        <w:t>Similarly</w:t>
      </w:r>
      <w:r w:rsidR="003F0F5D" w:rsidRPr="006D73AC">
        <w:rPr>
          <w:rFonts w:ascii="Arial" w:hAnsi="Arial" w:cs="Arial"/>
        </w:rPr>
        <w:t xml:space="preserve">, the Australian </w:t>
      </w:r>
      <w:r w:rsidR="003F0F5D" w:rsidRPr="70B50E6C">
        <w:rPr>
          <w:rFonts w:ascii="Arial" w:hAnsi="Arial" w:cs="Arial"/>
          <w:i/>
          <w:iCs/>
        </w:rPr>
        <w:t>Privacy Act</w:t>
      </w:r>
      <w:r w:rsidR="009A62BE" w:rsidRPr="70B50E6C">
        <w:rPr>
          <w:rFonts w:ascii="Arial" w:hAnsi="Arial" w:cs="Arial"/>
          <w:i/>
          <w:iCs/>
        </w:rPr>
        <w:t xml:space="preserve"> 1988 </w:t>
      </w:r>
      <w:r w:rsidR="009A62BE" w:rsidRPr="006D73AC">
        <w:rPr>
          <w:rFonts w:ascii="Arial" w:hAnsi="Arial" w:cs="Arial"/>
        </w:rPr>
        <w:t>(</w:t>
      </w:r>
      <w:proofErr w:type="spellStart"/>
      <w:r w:rsidR="009A62BE" w:rsidRPr="006D73AC">
        <w:rPr>
          <w:rFonts w:ascii="Arial" w:hAnsi="Arial" w:cs="Arial"/>
        </w:rPr>
        <w:t>Cth</w:t>
      </w:r>
      <w:proofErr w:type="spellEnd"/>
      <w:r w:rsidR="009A62BE" w:rsidRPr="006D73AC">
        <w:rPr>
          <w:rFonts w:ascii="Arial" w:hAnsi="Arial" w:cs="Arial"/>
        </w:rPr>
        <w:t>)</w:t>
      </w:r>
      <w:r w:rsidR="003F0F5D" w:rsidRPr="70B50E6C">
        <w:rPr>
          <w:rFonts w:ascii="Arial" w:hAnsi="Arial" w:cs="Arial"/>
          <w:i/>
          <w:iCs/>
        </w:rPr>
        <w:t xml:space="preserve"> </w:t>
      </w:r>
      <w:r w:rsidR="003F0F5D" w:rsidRPr="006D73AC">
        <w:rPr>
          <w:rFonts w:ascii="Arial" w:hAnsi="Arial" w:cs="Arial"/>
        </w:rPr>
        <w:t xml:space="preserve">does not extend </w:t>
      </w:r>
      <w:r w:rsidR="001C1FB5" w:rsidRPr="006D73AC">
        <w:rPr>
          <w:rFonts w:ascii="Arial" w:hAnsi="Arial" w:cs="Arial"/>
        </w:rPr>
        <w:t xml:space="preserve">the right to be forgotten to </w:t>
      </w:r>
      <w:r w:rsidR="00022134" w:rsidRPr="006D73AC">
        <w:rPr>
          <w:rFonts w:ascii="Arial" w:hAnsi="Arial" w:cs="Arial"/>
        </w:rPr>
        <w:t xml:space="preserve">the deceased. </w:t>
      </w:r>
      <w:r w:rsidR="00FB52E3" w:rsidRPr="006D73AC">
        <w:rPr>
          <w:rFonts w:ascii="Arial" w:hAnsi="Arial" w:cs="Arial"/>
        </w:rPr>
        <w:t xml:space="preserve">However, </w:t>
      </w:r>
      <w:r w:rsidR="00832453" w:rsidRPr="006D73AC">
        <w:rPr>
          <w:rFonts w:ascii="Arial" w:hAnsi="Arial" w:cs="Arial"/>
        </w:rPr>
        <w:t>there have been some instances</w:t>
      </w:r>
      <w:r w:rsidR="00D2604D" w:rsidRPr="006D73AC">
        <w:rPr>
          <w:rFonts w:ascii="Arial" w:hAnsi="Arial" w:cs="Arial"/>
        </w:rPr>
        <w:t xml:space="preserve"> where the possibility of providing privacy protection to </w:t>
      </w:r>
      <w:r w:rsidR="005E5928" w:rsidRPr="006D73AC">
        <w:rPr>
          <w:rFonts w:ascii="Arial" w:hAnsi="Arial" w:cs="Arial"/>
        </w:rPr>
        <w:t xml:space="preserve">the </w:t>
      </w:r>
      <w:r w:rsidR="00D2604D" w:rsidRPr="006D73AC">
        <w:rPr>
          <w:rFonts w:ascii="Arial" w:hAnsi="Arial" w:cs="Arial"/>
        </w:rPr>
        <w:t xml:space="preserve">deceased </w:t>
      </w:r>
      <w:r w:rsidR="000D79FF" w:rsidRPr="006D73AC">
        <w:rPr>
          <w:rFonts w:ascii="Arial" w:hAnsi="Arial" w:cs="Arial"/>
        </w:rPr>
        <w:t>has</w:t>
      </w:r>
      <w:r w:rsidR="00D2604D" w:rsidRPr="006D73AC">
        <w:rPr>
          <w:rFonts w:ascii="Arial" w:hAnsi="Arial" w:cs="Arial"/>
        </w:rPr>
        <w:t xml:space="preserve"> been shown. S</w:t>
      </w:r>
      <w:r w:rsidR="00771277" w:rsidRPr="006D73AC">
        <w:rPr>
          <w:rFonts w:ascii="Arial" w:hAnsi="Arial" w:cs="Arial"/>
        </w:rPr>
        <w:t xml:space="preserve">ection 9 of </w:t>
      </w:r>
      <w:r w:rsidR="00FB52E3" w:rsidRPr="006D73AC">
        <w:rPr>
          <w:rFonts w:ascii="Arial" w:hAnsi="Arial" w:cs="Arial"/>
        </w:rPr>
        <w:t xml:space="preserve">the </w:t>
      </w:r>
      <w:r w:rsidR="00FB52E3" w:rsidRPr="70B50E6C">
        <w:rPr>
          <w:rFonts w:ascii="Arial" w:hAnsi="Arial" w:cs="Arial"/>
          <w:i/>
          <w:iCs/>
        </w:rPr>
        <w:t xml:space="preserve">Personal Data Protection Act </w:t>
      </w:r>
      <w:r w:rsidR="00771277" w:rsidRPr="70B50E6C">
        <w:rPr>
          <w:rFonts w:ascii="Arial" w:hAnsi="Arial" w:cs="Arial"/>
          <w:i/>
          <w:iCs/>
        </w:rPr>
        <w:t xml:space="preserve">2018 </w:t>
      </w:r>
      <w:r w:rsidR="00771277" w:rsidRPr="006D73AC">
        <w:rPr>
          <w:rFonts w:ascii="Arial" w:hAnsi="Arial" w:cs="Arial"/>
        </w:rPr>
        <w:t>of E</w:t>
      </w:r>
      <w:r w:rsidR="00E65DD1" w:rsidRPr="006D73AC">
        <w:rPr>
          <w:rFonts w:ascii="Arial" w:hAnsi="Arial" w:cs="Arial"/>
        </w:rPr>
        <w:t xml:space="preserve">stonia provides that </w:t>
      </w:r>
      <w:r w:rsidR="00BC073C" w:rsidRPr="006D73AC">
        <w:rPr>
          <w:rFonts w:ascii="Arial" w:hAnsi="Arial" w:cs="Arial"/>
        </w:rPr>
        <w:t>the consent of processing personal data is “valid during the lifetime of the data subject and for 10 years after the death of the subject matter.”</w:t>
      </w:r>
      <w:r w:rsidR="00D2604D" w:rsidRPr="006D73AC">
        <w:rPr>
          <w:rFonts w:ascii="Arial" w:hAnsi="Arial" w:cs="Arial"/>
        </w:rPr>
        <w:t xml:space="preserve"> </w:t>
      </w:r>
      <w:r w:rsidR="00551232" w:rsidRPr="006D73AC">
        <w:rPr>
          <w:rFonts w:ascii="Arial" w:hAnsi="Arial" w:cs="Arial"/>
        </w:rPr>
        <w:t xml:space="preserve">This approach may be considered by common law countries in the future. </w:t>
      </w:r>
    </w:p>
    <w:p w14:paraId="77317C38" w14:textId="54C2F0BC" w:rsidR="005E5928" w:rsidRPr="006D73AC" w:rsidRDefault="00CA165B" w:rsidP="006D73AC">
      <w:pPr>
        <w:spacing w:line="240" w:lineRule="auto"/>
        <w:rPr>
          <w:rStyle w:val="Hyperlink"/>
          <w:rFonts w:ascii="Arial" w:hAnsi="Arial" w:cs="Arial"/>
          <w:color w:val="auto"/>
          <w:u w:val="none"/>
        </w:rPr>
      </w:pPr>
      <w:r w:rsidRPr="006D73AC">
        <w:rPr>
          <w:rFonts w:ascii="Arial" w:hAnsi="Arial" w:cs="Arial"/>
        </w:rPr>
        <w:t xml:space="preserve">Allowing AI to utilise the digital remains of deceased people </w:t>
      </w:r>
      <w:r w:rsidR="00292E2B" w:rsidRPr="006D73AC">
        <w:rPr>
          <w:rFonts w:ascii="Arial" w:hAnsi="Arial" w:cs="Arial"/>
        </w:rPr>
        <w:t>might also</w:t>
      </w:r>
      <w:r w:rsidRPr="006D73AC">
        <w:rPr>
          <w:rFonts w:ascii="Arial" w:hAnsi="Arial" w:cs="Arial"/>
        </w:rPr>
        <w:t xml:space="preserve"> be considered a violation of their dignity.</w:t>
      </w:r>
      <w:r w:rsidR="00102EB9" w:rsidRPr="006D73AC">
        <w:rPr>
          <w:rStyle w:val="FootnoteReference"/>
          <w:rFonts w:ascii="Arial" w:hAnsi="Arial" w:cs="Arial"/>
        </w:rPr>
        <w:footnoteReference w:id="10"/>
      </w:r>
      <w:r w:rsidRPr="006D73AC">
        <w:rPr>
          <w:rFonts w:ascii="Arial" w:hAnsi="Arial" w:cs="Arial"/>
        </w:rPr>
        <w:t xml:space="preserve"> However, the protection of an individual’s dignity is currently only recognised in common law (i.e. </w:t>
      </w:r>
      <w:r w:rsidR="00887186" w:rsidRPr="006D73AC">
        <w:rPr>
          <w:rFonts w:ascii="Arial" w:hAnsi="Arial" w:cs="Arial"/>
        </w:rPr>
        <w:t xml:space="preserve">against </w:t>
      </w:r>
      <w:r w:rsidRPr="006D73AC">
        <w:rPr>
          <w:rFonts w:ascii="Arial" w:hAnsi="Arial" w:cs="Arial"/>
        </w:rPr>
        <w:t>defamation) and does not extend post</w:t>
      </w:r>
      <w:r w:rsidR="001F4302" w:rsidRPr="006D73AC">
        <w:rPr>
          <w:rFonts w:ascii="Arial" w:hAnsi="Arial" w:cs="Arial"/>
        </w:rPr>
        <w:t>-</w:t>
      </w:r>
      <w:r w:rsidRPr="006D73AC">
        <w:rPr>
          <w:rFonts w:ascii="Arial" w:hAnsi="Arial" w:cs="Arial"/>
        </w:rPr>
        <w:t xml:space="preserve">mortem. </w:t>
      </w:r>
    </w:p>
    <w:p w14:paraId="76334C26" w14:textId="060973F1" w:rsidR="007412D1" w:rsidRPr="006D73AC" w:rsidRDefault="007412D1" w:rsidP="006D73AC">
      <w:pPr>
        <w:tabs>
          <w:tab w:val="left" w:pos="3135"/>
        </w:tabs>
        <w:spacing w:line="240" w:lineRule="auto"/>
        <w:jc w:val="both"/>
        <w:rPr>
          <w:rStyle w:val="Hyperlink"/>
          <w:rFonts w:ascii="Arial" w:hAnsi="Arial" w:cs="Arial"/>
          <w:color w:val="auto"/>
          <w:u w:val="none"/>
          <w:lang w:val="en-US"/>
        </w:rPr>
      </w:pPr>
      <w:r w:rsidRPr="006D73AC">
        <w:rPr>
          <w:rFonts w:ascii="Arial" w:hAnsi="Arial" w:cs="Arial"/>
          <w:lang w:val="en-US"/>
        </w:rPr>
        <w:t xml:space="preserve">While, PMP </w:t>
      </w:r>
      <w:r w:rsidRPr="006D73AC">
        <w:rPr>
          <w:rFonts w:ascii="Arial" w:hAnsi="Arial" w:cs="Arial"/>
        </w:rPr>
        <w:t xml:space="preserve">is currently not recognised under succession laws or privacy, an individual could clarify their </w:t>
      </w:r>
      <w:r w:rsidRPr="006D73AC">
        <w:rPr>
          <w:rFonts w:ascii="Arial" w:hAnsi="Arial" w:cs="Arial"/>
          <w:lang w:val="en-US"/>
        </w:rPr>
        <w:t xml:space="preserve">intentions of their digital assets by way of </w:t>
      </w:r>
      <w:r w:rsidR="005B3D77" w:rsidRPr="006D73AC">
        <w:rPr>
          <w:rFonts w:ascii="Arial" w:hAnsi="Arial" w:cs="Arial"/>
          <w:lang w:val="en-US"/>
        </w:rPr>
        <w:t>social media</w:t>
      </w:r>
      <w:r w:rsidRPr="006D73AC">
        <w:rPr>
          <w:rFonts w:ascii="Arial" w:hAnsi="Arial" w:cs="Arial"/>
          <w:lang w:val="en-US"/>
        </w:rPr>
        <w:t xml:space="preserve"> providers’ online tools</w:t>
      </w:r>
      <w:r w:rsidR="005B3D77" w:rsidRPr="006D73AC">
        <w:rPr>
          <w:rFonts w:ascii="Arial" w:hAnsi="Arial" w:cs="Arial"/>
          <w:lang w:val="en-US"/>
        </w:rPr>
        <w:t xml:space="preserve"> (</w:t>
      </w:r>
      <w:proofErr w:type="spellStart"/>
      <w:r w:rsidR="005B3D77" w:rsidRPr="006D73AC">
        <w:rPr>
          <w:rFonts w:ascii="Arial" w:hAnsi="Arial" w:cs="Arial"/>
          <w:lang w:val="en-US"/>
        </w:rPr>
        <w:t>eg</w:t>
      </w:r>
      <w:proofErr w:type="spellEnd"/>
      <w:r w:rsidR="005B3D77" w:rsidRPr="006D73AC">
        <w:rPr>
          <w:rFonts w:ascii="Arial" w:hAnsi="Arial" w:cs="Arial"/>
          <w:lang w:val="en-US"/>
        </w:rPr>
        <w:t xml:space="preserve"> social media legacy contacts or similar) </w:t>
      </w:r>
      <w:r w:rsidRPr="006D73AC">
        <w:rPr>
          <w:rFonts w:ascii="Arial" w:hAnsi="Arial" w:cs="Arial"/>
          <w:lang w:val="en-US"/>
        </w:rPr>
        <w:t>or testamentary dispositions.</w:t>
      </w:r>
    </w:p>
    <w:p w14:paraId="1D310FCA" w14:textId="31E533CB" w:rsidR="00DD6673" w:rsidRPr="006D73AC" w:rsidRDefault="00DD6673" w:rsidP="006D73AC">
      <w:pPr>
        <w:pStyle w:val="ListParagraph"/>
        <w:numPr>
          <w:ilvl w:val="0"/>
          <w:numId w:val="4"/>
        </w:numPr>
        <w:spacing w:line="240" w:lineRule="auto"/>
        <w:rPr>
          <w:rStyle w:val="Hyperlink"/>
          <w:rFonts w:ascii="Arial" w:hAnsi="Arial" w:cs="Arial"/>
          <w:b/>
          <w:bCs/>
          <w:color w:val="auto"/>
          <w:u w:val="none"/>
        </w:rPr>
      </w:pPr>
      <w:r w:rsidRPr="006D73AC">
        <w:rPr>
          <w:rStyle w:val="Hyperlink"/>
          <w:rFonts w:ascii="Arial" w:hAnsi="Arial" w:cs="Arial"/>
          <w:b/>
          <w:bCs/>
          <w:color w:val="auto"/>
          <w:u w:val="none"/>
        </w:rPr>
        <w:t xml:space="preserve">Social media </w:t>
      </w:r>
    </w:p>
    <w:p w14:paraId="12219D3F" w14:textId="77777777" w:rsidR="001A20C4" w:rsidRPr="006D73AC" w:rsidRDefault="0016610A" w:rsidP="006D73AC">
      <w:pPr>
        <w:spacing w:line="240" w:lineRule="auto"/>
        <w:rPr>
          <w:rStyle w:val="Hyperlink"/>
          <w:rFonts w:ascii="Arial" w:hAnsi="Arial" w:cs="Arial"/>
          <w:color w:val="auto"/>
          <w:u w:val="none"/>
        </w:rPr>
      </w:pPr>
      <w:r w:rsidRPr="006D73AC">
        <w:rPr>
          <w:rStyle w:val="Hyperlink"/>
          <w:rFonts w:ascii="Arial" w:hAnsi="Arial" w:cs="Arial"/>
          <w:color w:val="auto"/>
          <w:u w:val="none"/>
        </w:rPr>
        <w:t xml:space="preserve">Social media platforms are also part of the </w:t>
      </w:r>
      <w:r w:rsidR="0046786B" w:rsidRPr="006D73AC">
        <w:rPr>
          <w:rStyle w:val="Hyperlink"/>
          <w:rFonts w:ascii="Arial" w:hAnsi="Arial" w:cs="Arial"/>
          <w:color w:val="auto"/>
          <w:u w:val="none"/>
        </w:rPr>
        <w:t>DAI</w:t>
      </w:r>
      <w:r w:rsidR="00B44FF6" w:rsidRPr="006D73AC">
        <w:rPr>
          <w:rStyle w:val="Hyperlink"/>
          <w:rFonts w:ascii="Arial" w:hAnsi="Arial" w:cs="Arial"/>
          <w:color w:val="auto"/>
          <w:u w:val="none"/>
        </w:rPr>
        <w:t xml:space="preserve">, with some allowing </w:t>
      </w:r>
      <w:r w:rsidRPr="006D73AC">
        <w:rPr>
          <w:rStyle w:val="Hyperlink"/>
          <w:rFonts w:ascii="Arial" w:hAnsi="Arial" w:cs="Arial"/>
          <w:color w:val="auto"/>
          <w:u w:val="none"/>
        </w:rPr>
        <w:t>inactive profiles to remain as a place of remembrance</w:t>
      </w:r>
      <w:r w:rsidR="00B44FF6" w:rsidRPr="006D73AC">
        <w:rPr>
          <w:rStyle w:val="Hyperlink"/>
          <w:rFonts w:ascii="Arial" w:hAnsi="Arial" w:cs="Arial"/>
          <w:color w:val="auto"/>
          <w:u w:val="none"/>
        </w:rPr>
        <w:t xml:space="preserve"> for the deceased</w:t>
      </w:r>
      <w:r w:rsidRPr="006D73AC">
        <w:rPr>
          <w:rStyle w:val="Hyperlink"/>
          <w:rFonts w:ascii="Arial" w:hAnsi="Arial" w:cs="Arial"/>
          <w:color w:val="auto"/>
          <w:u w:val="none"/>
        </w:rPr>
        <w:t>. This has been described as ‘online cemeteries’.</w:t>
      </w:r>
      <w:r w:rsidR="008F175B" w:rsidRPr="006D73AC">
        <w:rPr>
          <w:rStyle w:val="FootnoteReference"/>
          <w:rFonts w:ascii="Arial" w:hAnsi="Arial" w:cs="Arial"/>
        </w:rPr>
        <w:t xml:space="preserve"> </w:t>
      </w:r>
      <w:r w:rsidR="008F175B" w:rsidRPr="006D73AC">
        <w:rPr>
          <w:rStyle w:val="FootnoteReference"/>
          <w:rFonts w:ascii="Arial" w:hAnsi="Arial" w:cs="Arial"/>
        </w:rPr>
        <w:footnoteReference w:id="11"/>
      </w:r>
      <w:r w:rsidRPr="006D73AC">
        <w:rPr>
          <w:rStyle w:val="Hyperlink"/>
          <w:rFonts w:ascii="Arial" w:hAnsi="Arial" w:cs="Arial"/>
          <w:color w:val="auto"/>
          <w:u w:val="none"/>
        </w:rPr>
        <w:t xml:space="preserve"> In 2009, Facebook introduced a </w:t>
      </w:r>
      <w:hyperlink r:id="rId14" w:history="1">
        <w:r w:rsidRPr="006D73AC">
          <w:rPr>
            <w:rStyle w:val="Hyperlink"/>
            <w:rFonts w:ascii="Arial" w:hAnsi="Arial" w:cs="Arial"/>
          </w:rPr>
          <w:t>legacy contact function</w:t>
        </w:r>
      </w:hyperlink>
      <w:r w:rsidRPr="006D73AC">
        <w:rPr>
          <w:rStyle w:val="Hyperlink"/>
          <w:rFonts w:ascii="Arial" w:hAnsi="Arial" w:cs="Arial"/>
          <w:color w:val="auto"/>
          <w:u w:val="none"/>
        </w:rPr>
        <w:t>, which allows users to appoint a person to manage their memorialised main profile or have their account permanently deleted. T</w:t>
      </w:r>
      <w:r w:rsidR="00850BD8" w:rsidRPr="006D73AC">
        <w:rPr>
          <w:rStyle w:val="Hyperlink"/>
          <w:rFonts w:ascii="Arial" w:hAnsi="Arial" w:cs="Arial"/>
          <w:color w:val="auto"/>
          <w:u w:val="none"/>
        </w:rPr>
        <w:t xml:space="preserve">he legacy contact may post a final message, </w:t>
      </w:r>
      <w:r w:rsidR="005504D7" w:rsidRPr="006D73AC">
        <w:rPr>
          <w:rStyle w:val="Hyperlink"/>
          <w:rFonts w:ascii="Arial" w:hAnsi="Arial" w:cs="Arial"/>
          <w:color w:val="auto"/>
          <w:u w:val="none"/>
        </w:rPr>
        <w:t>respond to</w:t>
      </w:r>
      <w:r w:rsidR="00850BD8" w:rsidRPr="006D73AC">
        <w:rPr>
          <w:rStyle w:val="Hyperlink"/>
          <w:rFonts w:ascii="Arial" w:hAnsi="Arial" w:cs="Arial"/>
          <w:color w:val="auto"/>
          <w:u w:val="none"/>
        </w:rPr>
        <w:t xml:space="preserve"> friend requests, and update the profile </w:t>
      </w:r>
      <w:r w:rsidR="005504D7" w:rsidRPr="006D73AC">
        <w:rPr>
          <w:rStyle w:val="Hyperlink"/>
          <w:rFonts w:ascii="Arial" w:hAnsi="Arial" w:cs="Arial"/>
          <w:color w:val="auto"/>
          <w:u w:val="none"/>
        </w:rPr>
        <w:t>photo;</w:t>
      </w:r>
      <w:r w:rsidR="00850BD8" w:rsidRPr="006D73AC">
        <w:rPr>
          <w:rStyle w:val="Hyperlink"/>
          <w:rFonts w:ascii="Arial" w:hAnsi="Arial" w:cs="Arial"/>
          <w:color w:val="auto"/>
          <w:u w:val="none"/>
        </w:rPr>
        <w:t xml:space="preserve"> however, they are unable to access </w:t>
      </w:r>
      <w:r w:rsidR="005504D7" w:rsidRPr="006D73AC">
        <w:rPr>
          <w:rStyle w:val="Hyperlink"/>
          <w:rFonts w:ascii="Arial" w:hAnsi="Arial" w:cs="Arial"/>
          <w:color w:val="auto"/>
          <w:u w:val="none"/>
        </w:rPr>
        <w:t xml:space="preserve">the account and the user’s private messages. </w:t>
      </w:r>
      <w:r w:rsidRPr="006D73AC">
        <w:rPr>
          <w:rStyle w:val="Hyperlink"/>
          <w:rFonts w:ascii="Arial" w:hAnsi="Arial" w:cs="Arial"/>
          <w:color w:val="auto"/>
          <w:u w:val="none"/>
        </w:rPr>
        <w:t xml:space="preserve">Accounts on </w:t>
      </w:r>
      <w:hyperlink r:id="rId15" w:history="1">
        <w:r w:rsidRPr="006D73AC">
          <w:rPr>
            <w:rStyle w:val="Hyperlink"/>
            <w:rFonts w:ascii="Arial" w:hAnsi="Arial" w:cs="Arial"/>
          </w:rPr>
          <w:t>Instagram</w:t>
        </w:r>
      </w:hyperlink>
      <w:r w:rsidRPr="006D73AC">
        <w:rPr>
          <w:rStyle w:val="Hyperlink"/>
          <w:rFonts w:ascii="Arial" w:hAnsi="Arial" w:cs="Arial"/>
          <w:color w:val="auto"/>
          <w:u w:val="none"/>
        </w:rPr>
        <w:t xml:space="preserve"> may also be memorialised, with the word ‘Remembering’ appearing next to the deceased’s profile name. People can also appoint an ‘</w:t>
      </w:r>
      <w:hyperlink r:id="rId16" w:history="1">
        <w:r w:rsidRPr="006D73AC">
          <w:rPr>
            <w:rStyle w:val="Hyperlink"/>
            <w:rFonts w:ascii="Arial" w:hAnsi="Arial" w:cs="Arial"/>
          </w:rPr>
          <w:t>Inactive Account Manager</w:t>
        </w:r>
      </w:hyperlink>
      <w:r w:rsidRPr="006D73AC">
        <w:rPr>
          <w:rStyle w:val="Hyperlink"/>
          <w:rFonts w:ascii="Arial" w:hAnsi="Arial" w:cs="Arial"/>
          <w:color w:val="auto"/>
          <w:u w:val="none"/>
        </w:rPr>
        <w:t xml:space="preserve">’ for their Google account. </w:t>
      </w:r>
    </w:p>
    <w:p w14:paraId="3122E929" w14:textId="31F94653" w:rsidR="00C01CE9" w:rsidRPr="006D73AC" w:rsidRDefault="001A20C4" w:rsidP="006D73AC">
      <w:pPr>
        <w:pStyle w:val="ListParagraph"/>
        <w:numPr>
          <w:ilvl w:val="0"/>
          <w:numId w:val="4"/>
        </w:numPr>
        <w:spacing w:line="240" w:lineRule="auto"/>
        <w:rPr>
          <w:rStyle w:val="Hyperlink"/>
          <w:rFonts w:ascii="Arial" w:hAnsi="Arial" w:cs="Arial"/>
          <w:b/>
          <w:bCs/>
          <w:color w:val="auto"/>
          <w:u w:val="none"/>
        </w:rPr>
      </w:pPr>
      <w:r w:rsidRPr="006D73AC">
        <w:rPr>
          <w:rStyle w:val="Hyperlink"/>
          <w:rFonts w:ascii="Arial" w:hAnsi="Arial" w:cs="Arial"/>
          <w:b/>
          <w:bCs/>
          <w:color w:val="auto"/>
          <w:u w:val="none"/>
        </w:rPr>
        <w:t>Digital assets</w:t>
      </w:r>
      <w:r w:rsidR="00AE5D3A" w:rsidRPr="006D73AC">
        <w:rPr>
          <w:rStyle w:val="Hyperlink"/>
          <w:rFonts w:ascii="Arial" w:hAnsi="Arial" w:cs="Arial"/>
          <w:b/>
          <w:bCs/>
          <w:color w:val="auto"/>
          <w:u w:val="none"/>
        </w:rPr>
        <w:t xml:space="preserve"> and the law</w:t>
      </w:r>
    </w:p>
    <w:p w14:paraId="0F16528C" w14:textId="77777777" w:rsidR="00C01CE9" w:rsidRPr="006D73AC" w:rsidRDefault="00C01CE9" w:rsidP="006D73AC">
      <w:pPr>
        <w:tabs>
          <w:tab w:val="left" w:pos="3135"/>
        </w:tabs>
        <w:spacing w:line="240" w:lineRule="auto"/>
        <w:jc w:val="both"/>
        <w:rPr>
          <w:rFonts w:ascii="Arial" w:hAnsi="Arial" w:cs="Arial"/>
          <w:lang w:val="en-US"/>
        </w:rPr>
      </w:pPr>
      <w:r w:rsidRPr="006D73AC">
        <w:rPr>
          <w:rFonts w:ascii="Arial" w:hAnsi="Arial" w:cs="Arial"/>
          <w:lang w:val="en-US"/>
        </w:rPr>
        <w:lastRenderedPageBreak/>
        <w:t xml:space="preserve">Digital assets are described as ‘any digital file on a person’s electronic device as well as any online accounts and </w:t>
      </w:r>
      <w:proofErr w:type="gramStart"/>
      <w:r w:rsidRPr="006D73AC">
        <w:rPr>
          <w:rFonts w:ascii="Arial" w:hAnsi="Arial" w:cs="Arial"/>
          <w:lang w:val="en-US"/>
        </w:rPr>
        <w:t>memberships’</w:t>
      </w:r>
      <w:proofErr w:type="gramEnd"/>
      <w:r w:rsidRPr="006D73AC">
        <w:rPr>
          <w:rFonts w:ascii="Arial" w:hAnsi="Arial" w:cs="Arial"/>
          <w:lang w:val="en-US"/>
        </w:rPr>
        <w:t xml:space="preserve">. These assets include (but are not limited to) email accounts, social media accounts, digital photos, digital videos, cryptocurrency and online subscription accounts. Digital assets, to be identified clearly, can be </w:t>
      </w:r>
      <w:proofErr w:type="spellStart"/>
      <w:r w:rsidRPr="006D73AC">
        <w:rPr>
          <w:rFonts w:ascii="Arial" w:hAnsi="Arial" w:cs="Arial"/>
          <w:lang w:val="en-US"/>
        </w:rPr>
        <w:t>categorised</w:t>
      </w:r>
      <w:proofErr w:type="spellEnd"/>
      <w:r w:rsidRPr="006D73AC">
        <w:rPr>
          <w:rFonts w:ascii="Arial" w:hAnsi="Arial" w:cs="Arial"/>
          <w:lang w:val="en-US"/>
        </w:rPr>
        <w:t xml:space="preserve"> into different kinds of value. Nonetheless, the asset can be </w:t>
      </w:r>
      <w:proofErr w:type="spellStart"/>
      <w:r w:rsidRPr="006D73AC">
        <w:rPr>
          <w:rFonts w:ascii="Arial" w:hAnsi="Arial" w:cs="Arial"/>
          <w:lang w:val="en-US"/>
        </w:rPr>
        <w:t>categorised</w:t>
      </w:r>
      <w:proofErr w:type="spellEnd"/>
      <w:r w:rsidRPr="006D73AC">
        <w:rPr>
          <w:rFonts w:ascii="Arial" w:hAnsi="Arial" w:cs="Arial"/>
          <w:lang w:val="en-US"/>
        </w:rPr>
        <w:t xml:space="preserve"> into more than one value. </w:t>
      </w:r>
    </w:p>
    <w:p w14:paraId="16946D4C" w14:textId="0B29D820" w:rsidR="00C01CE9" w:rsidRPr="006D73AC" w:rsidRDefault="00C01CE9" w:rsidP="006D73AC">
      <w:pPr>
        <w:tabs>
          <w:tab w:val="left" w:pos="3135"/>
        </w:tabs>
        <w:spacing w:line="240" w:lineRule="auto"/>
        <w:jc w:val="both"/>
        <w:rPr>
          <w:rStyle w:val="Hyperlink"/>
          <w:rFonts w:ascii="Arial" w:hAnsi="Arial" w:cs="Arial"/>
          <w:color w:val="auto"/>
          <w:u w:val="none"/>
        </w:rPr>
      </w:pPr>
      <w:r w:rsidRPr="006D73AC">
        <w:rPr>
          <w:rFonts w:ascii="Arial" w:hAnsi="Arial" w:cs="Arial"/>
          <w:lang w:val="en-US"/>
        </w:rPr>
        <w:t>Digital assets can have financial, sentimental, social and intellectual value.</w:t>
      </w:r>
      <w:r w:rsidRPr="006D73AC">
        <w:rPr>
          <w:rStyle w:val="FootnoteReference"/>
          <w:rFonts w:ascii="Arial" w:hAnsi="Arial" w:cs="Arial"/>
          <w:lang w:val="en-US"/>
        </w:rPr>
        <w:footnoteReference w:id="12"/>
      </w:r>
      <w:r w:rsidRPr="006D73AC">
        <w:rPr>
          <w:rFonts w:ascii="Arial" w:hAnsi="Arial" w:cs="Arial"/>
          <w:lang w:val="en-US"/>
        </w:rPr>
        <w:t xml:space="preserve"> Digital assets with financial value include bank accounts and cryptocurrency. These assets have a definite monetary value. Digital assets with sentimental value do not have monetary value, but rather sentimental in nature such as photographs and videos. Digital assets with social value include social media platforms where users have curated their accounts which allows them to connect with new people and portray their lives. Digital assets with intellectual value </w:t>
      </w:r>
      <w:r w:rsidRPr="006D73AC">
        <w:rPr>
          <w:rFonts w:ascii="Arial" w:hAnsi="Arial" w:cs="Arial"/>
        </w:rPr>
        <w:t xml:space="preserve">include emails, blogs, social media posts (written and visual material) that is published material. However, an asset with intellectual value may become a liability if the published material is defamatory to another individual. A deceased person cannot be sued; however, an estate of a deceased person can be sued if their published material is libel. </w:t>
      </w:r>
    </w:p>
    <w:p w14:paraId="374E7F50" w14:textId="2357A1A3" w:rsidR="00481C27" w:rsidRPr="006D73AC" w:rsidRDefault="00481C27" w:rsidP="006D73AC">
      <w:pPr>
        <w:spacing w:line="240" w:lineRule="auto"/>
        <w:rPr>
          <w:rStyle w:val="Hyperlink"/>
          <w:rFonts w:ascii="Arial" w:hAnsi="Arial" w:cs="Arial"/>
          <w:color w:val="auto"/>
          <w:u w:val="none"/>
        </w:rPr>
      </w:pPr>
      <w:r w:rsidRPr="006D73AC">
        <w:rPr>
          <w:rStyle w:val="Hyperlink"/>
          <w:rFonts w:ascii="Arial" w:hAnsi="Arial" w:cs="Arial"/>
          <w:color w:val="auto"/>
          <w:u w:val="none"/>
        </w:rPr>
        <w:t xml:space="preserve">Currently, there is a lack of guidelines in Australia for how someone can access a deceased’s digital assets. The United States introduced the </w:t>
      </w:r>
      <w:r w:rsidRPr="006D73AC">
        <w:rPr>
          <w:rStyle w:val="Hyperlink"/>
          <w:rFonts w:ascii="Arial" w:hAnsi="Arial" w:cs="Arial"/>
          <w:i/>
          <w:iCs/>
          <w:color w:val="auto"/>
          <w:u w:val="none"/>
        </w:rPr>
        <w:t>Revised Uniform Fiduciary Access to Digital Assets Act 2015</w:t>
      </w:r>
      <w:r w:rsidR="00767F4B" w:rsidRPr="006D73AC">
        <w:rPr>
          <w:rStyle w:val="FootnoteReference"/>
          <w:rFonts w:ascii="Arial" w:hAnsi="Arial" w:cs="Arial"/>
          <w:i/>
          <w:iCs/>
        </w:rPr>
        <w:footnoteReference w:id="13"/>
      </w:r>
      <w:r w:rsidRPr="006D73AC">
        <w:rPr>
          <w:rStyle w:val="Hyperlink"/>
          <w:rFonts w:ascii="Arial" w:hAnsi="Arial" w:cs="Arial"/>
          <w:i/>
          <w:iCs/>
          <w:color w:val="auto"/>
          <w:u w:val="none"/>
        </w:rPr>
        <w:t xml:space="preserve"> </w:t>
      </w:r>
      <w:r w:rsidRPr="006D73AC">
        <w:rPr>
          <w:rStyle w:val="Hyperlink"/>
          <w:rFonts w:ascii="Arial" w:hAnsi="Arial" w:cs="Arial"/>
          <w:color w:val="auto"/>
          <w:u w:val="none"/>
        </w:rPr>
        <w:t xml:space="preserve">and Canada enacted a similar legislation in 2016 called the </w:t>
      </w:r>
      <w:r w:rsidRPr="006D73AC">
        <w:rPr>
          <w:rStyle w:val="Hyperlink"/>
          <w:rFonts w:ascii="Arial" w:hAnsi="Arial" w:cs="Arial"/>
          <w:i/>
          <w:iCs/>
          <w:color w:val="auto"/>
          <w:u w:val="none"/>
        </w:rPr>
        <w:t>Uniform Access to Digital Assets by Fiduciaries Act.</w:t>
      </w:r>
      <w:r w:rsidR="00E6623E" w:rsidRPr="006D73AC">
        <w:rPr>
          <w:rStyle w:val="FootnoteReference"/>
          <w:rFonts w:ascii="Arial" w:hAnsi="Arial" w:cs="Arial"/>
          <w:i/>
          <w:iCs/>
        </w:rPr>
        <w:footnoteReference w:id="14"/>
      </w:r>
      <w:r w:rsidRPr="006D73AC">
        <w:rPr>
          <w:rStyle w:val="Hyperlink"/>
          <w:rFonts w:ascii="Arial" w:hAnsi="Arial" w:cs="Arial"/>
          <w:i/>
          <w:iCs/>
          <w:color w:val="auto"/>
          <w:u w:val="none"/>
        </w:rPr>
        <w:t xml:space="preserve"> </w:t>
      </w:r>
      <w:r w:rsidRPr="006D73AC">
        <w:rPr>
          <w:rStyle w:val="Hyperlink"/>
          <w:rFonts w:ascii="Arial" w:hAnsi="Arial" w:cs="Arial"/>
          <w:color w:val="auto"/>
          <w:u w:val="none"/>
        </w:rPr>
        <w:t>These laws authorise a representative to access digital assets if that power was expressed in the deceased’s will</w:t>
      </w:r>
      <w:r w:rsidRPr="006D73AC">
        <w:rPr>
          <w:rStyle w:val="Hyperlink"/>
          <w:rFonts w:ascii="Arial" w:hAnsi="Arial" w:cs="Arial"/>
          <w:i/>
          <w:iCs/>
          <w:color w:val="auto"/>
          <w:u w:val="none"/>
        </w:rPr>
        <w:t xml:space="preserve"> </w:t>
      </w:r>
      <w:r w:rsidRPr="006D73AC">
        <w:rPr>
          <w:rStyle w:val="Hyperlink"/>
          <w:rFonts w:ascii="Arial" w:hAnsi="Arial" w:cs="Arial"/>
          <w:color w:val="auto"/>
          <w:u w:val="none"/>
        </w:rPr>
        <w:t xml:space="preserve">or other legal document such as a power of attorney. In 2022, the Australian Attorney-General’s Department released the </w:t>
      </w:r>
      <w:r w:rsidRPr="006D73AC">
        <w:rPr>
          <w:rStyle w:val="Hyperlink"/>
          <w:rFonts w:ascii="Arial" w:hAnsi="Arial" w:cs="Arial"/>
          <w:i/>
          <w:iCs/>
          <w:color w:val="auto"/>
          <w:u w:val="none"/>
        </w:rPr>
        <w:t>Privacy Act Review Report</w:t>
      </w:r>
      <w:r w:rsidR="002D2530" w:rsidRPr="006D73AC">
        <w:rPr>
          <w:rStyle w:val="FootnoteReference"/>
          <w:rFonts w:ascii="Arial" w:hAnsi="Arial" w:cs="Arial"/>
          <w:i/>
          <w:iCs/>
        </w:rPr>
        <w:footnoteReference w:id="15"/>
      </w:r>
      <w:r w:rsidRPr="006D73AC">
        <w:rPr>
          <w:rStyle w:val="Hyperlink"/>
          <w:rFonts w:ascii="Arial" w:hAnsi="Arial" w:cs="Arial"/>
          <w:i/>
          <w:iCs/>
          <w:color w:val="auto"/>
          <w:u w:val="none"/>
        </w:rPr>
        <w:t xml:space="preserve"> </w:t>
      </w:r>
      <w:r w:rsidRPr="006D73AC">
        <w:rPr>
          <w:rStyle w:val="Hyperlink"/>
          <w:rFonts w:ascii="Arial" w:hAnsi="Arial" w:cs="Arial"/>
          <w:color w:val="auto"/>
          <w:u w:val="none"/>
        </w:rPr>
        <w:t xml:space="preserve">endorsing the introduction of an access scheme for digital records. The Australian Government </w:t>
      </w:r>
      <w:r w:rsidR="009619D4" w:rsidRPr="006D73AC">
        <w:rPr>
          <w:rStyle w:val="Hyperlink"/>
          <w:rFonts w:ascii="Arial" w:hAnsi="Arial" w:cs="Arial"/>
          <w:color w:val="auto"/>
          <w:u w:val="none"/>
        </w:rPr>
        <w:t xml:space="preserve">is yet to implement the recommendations in this report. </w:t>
      </w:r>
    </w:p>
    <w:p w14:paraId="76EC8ED0" w14:textId="64107DD5" w:rsidR="0039063A" w:rsidRPr="006D73AC" w:rsidRDefault="0039063A" w:rsidP="006D73AC">
      <w:pPr>
        <w:pStyle w:val="ListParagraph"/>
        <w:numPr>
          <w:ilvl w:val="0"/>
          <w:numId w:val="4"/>
        </w:numPr>
        <w:tabs>
          <w:tab w:val="left" w:pos="3135"/>
        </w:tabs>
        <w:spacing w:line="240" w:lineRule="auto"/>
        <w:rPr>
          <w:rFonts w:ascii="Arial" w:hAnsi="Arial" w:cs="Arial"/>
          <w:b/>
          <w:bCs/>
          <w:lang w:val="en-US"/>
        </w:rPr>
      </w:pPr>
      <w:r w:rsidRPr="006D73AC">
        <w:rPr>
          <w:rFonts w:ascii="Arial" w:hAnsi="Arial" w:cs="Arial"/>
          <w:b/>
          <w:bCs/>
          <w:lang w:val="en-US"/>
        </w:rPr>
        <w:t xml:space="preserve">Digital assets and succession </w:t>
      </w:r>
    </w:p>
    <w:p w14:paraId="6C2FB71F" w14:textId="0156AB76" w:rsidR="0039063A" w:rsidRPr="006D73AC" w:rsidRDefault="0039063A" w:rsidP="006D73AC">
      <w:pPr>
        <w:tabs>
          <w:tab w:val="left" w:pos="3135"/>
        </w:tabs>
        <w:spacing w:line="240" w:lineRule="auto"/>
        <w:jc w:val="both"/>
        <w:rPr>
          <w:rFonts w:ascii="Arial" w:hAnsi="Arial" w:cs="Arial"/>
          <w:lang w:val="en-US"/>
        </w:rPr>
      </w:pPr>
      <w:r w:rsidRPr="006D73AC">
        <w:rPr>
          <w:rFonts w:ascii="Arial" w:hAnsi="Arial" w:cs="Arial"/>
          <w:lang w:val="en-US"/>
        </w:rPr>
        <w:t>In Australia, there are no laws that require testamentary acts to include digital assets, such as what directions the executor is given to either continue or delete social media profiles, online subscriptions or emails. It is up to the discretion of solicitors to raise what digital assets the testator owns as well as discussing with the client that they should provide their executor with their passwords upon their death to allow the executor to access and close or manage accounts. The NSW Law Reform Commission (</w:t>
      </w:r>
      <w:r w:rsidRPr="70B50E6C">
        <w:rPr>
          <w:rFonts w:ascii="Arial" w:hAnsi="Arial" w:cs="Arial"/>
          <w:b/>
          <w:bCs/>
          <w:lang w:val="en-US"/>
        </w:rPr>
        <w:t>‘NSWLRC’</w:t>
      </w:r>
      <w:r w:rsidRPr="006D73AC">
        <w:rPr>
          <w:rFonts w:ascii="Arial" w:hAnsi="Arial" w:cs="Arial"/>
          <w:lang w:val="en-US"/>
        </w:rPr>
        <w:t xml:space="preserve">) published a report ‘Access to Digital Records Upon Death or Incapacity’ in 2019 </w:t>
      </w:r>
      <w:r w:rsidR="619C66F6" w:rsidRPr="006D73AC">
        <w:rPr>
          <w:rFonts w:ascii="Arial" w:hAnsi="Arial" w:cs="Arial"/>
          <w:lang w:val="en-US"/>
        </w:rPr>
        <w:t xml:space="preserve">that </w:t>
      </w:r>
      <w:r w:rsidRPr="006D73AC">
        <w:rPr>
          <w:rFonts w:ascii="Arial" w:hAnsi="Arial" w:cs="Arial"/>
          <w:lang w:val="en-US"/>
        </w:rPr>
        <w:t>thoroughly discussed amendments that need to be made to the current succession laws and estate laws to reflect digital assets, and to provide education to legal practitioners to assist clients in their decision-making when preparing their testamentary dispositions and providing their directions to their executor/s, trustees, guardians and attorneys.</w:t>
      </w:r>
      <w:r w:rsidRPr="006D73AC">
        <w:rPr>
          <w:rStyle w:val="FootnoteReference"/>
          <w:rFonts w:ascii="Arial" w:hAnsi="Arial" w:cs="Arial"/>
          <w:lang w:val="en-US"/>
        </w:rPr>
        <w:footnoteReference w:id="16"/>
      </w:r>
      <w:r w:rsidRPr="006D73AC">
        <w:rPr>
          <w:rFonts w:ascii="Arial" w:hAnsi="Arial" w:cs="Arial"/>
          <w:lang w:val="en-US"/>
        </w:rPr>
        <w:t xml:space="preserve"> </w:t>
      </w:r>
    </w:p>
    <w:p w14:paraId="7D912050" w14:textId="5930F5A4" w:rsidR="0039063A" w:rsidRPr="006D73AC" w:rsidRDefault="0039063A" w:rsidP="006D73AC">
      <w:pPr>
        <w:tabs>
          <w:tab w:val="left" w:pos="3135"/>
        </w:tabs>
        <w:spacing w:line="240" w:lineRule="auto"/>
        <w:jc w:val="both"/>
        <w:rPr>
          <w:rFonts w:ascii="Arial" w:hAnsi="Arial" w:cs="Arial"/>
          <w:lang w:val="en-US"/>
        </w:rPr>
      </w:pPr>
      <w:r w:rsidRPr="70B50E6C">
        <w:rPr>
          <w:rFonts w:ascii="Arial" w:hAnsi="Arial" w:cs="Arial"/>
          <w:lang w:val="en-US"/>
        </w:rPr>
        <w:lastRenderedPageBreak/>
        <w:t>The NSWLRC conducted two surveys to understand how digital assets should be dealt with upon death or incapacity. The first survey was asking the public “what should happen to your social media when you die?”, and the second survey was asking legal practitioners 43 questions ranging from “do you practice estate planning” and “</w:t>
      </w:r>
      <w:proofErr w:type="spellStart"/>
      <w:r w:rsidR="4292ED2B" w:rsidRPr="70B50E6C">
        <w:rPr>
          <w:rFonts w:ascii="Arial" w:hAnsi="Arial" w:cs="Arial"/>
          <w:lang w:val="en-US"/>
        </w:rPr>
        <w:t>i</w:t>
      </w:r>
      <w:proofErr w:type="spellEnd"/>
      <w:r w:rsidRPr="70B50E6C">
        <w:rPr>
          <w:rFonts w:ascii="Arial" w:hAnsi="Arial" w:cs="Arial"/>
        </w:rPr>
        <w:t>s advising personal representatives about administering deceased estates part of your practice?”. The results concluded that not many people have thought about their digital assets.</w:t>
      </w:r>
    </w:p>
    <w:p w14:paraId="4391873C" w14:textId="3C36B5F1" w:rsidR="0039063A" w:rsidRPr="006D73AC" w:rsidRDefault="0039063A" w:rsidP="006D73AC">
      <w:pPr>
        <w:tabs>
          <w:tab w:val="left" w:pos="3135"/>
        </w:tabs>
        <w:spacing w:line="240" w:lineRule="auto"/>
        <w:rPr>
          <w:rFonts w:ascii="Arial" w:hAnsi="Arial" w:cs="Arial"/>
          <w:lang w:val="en-US"/>
        </w:rPr>
      </w:pPr>
      <w:r w:rsidRPr="006D73AC">
        <w:rPr>
          <w:rFonts w:ascii="Arial" w:hAnsi="Arial" w:cs="Arial"/>
          <w:lang w:val="en-US"/>
        </w:rPr>
        <w:t xml:space="preserve">The results can be found </w:t>
      </w:r>
      <w:hyperlink r:id="rId17" w:history="1">
        <w:r w:rsidRPr="006D73AC">
          <w:rPr>
            <w:rStyle w:val="Hyperlink"/>
            <w:rFonts w:ascii="Arial" w:hAnsi="Arial" w:cs="Arial"/>
            <w:lang w:val="en-US"/>
          </w:rPr>
          <w:t>here</w:t>
        </w:r>
      </w:hyperlink>
      <w:r w:rsidRPr="006D73AC">
        <w:rPr>
          <w:rFonts w:ascii="Arial" w:hAnsi="Arial" w:cs="Arial"/>
          <w:lang w:val="en-US"/>
        </w:rPr>
        <w:t>.</w:t>
      </w:r>
    </w:p>
    <w:p w14:paraId="0F80FA0B" w14:textId="77777777" w:rsidR="00854E62" w:rsidRPr="006D73AC" w:rsidRDefault="00854E62" w:rsidP="006D73AC">
      <w:pPr>
        <w:spacing w:line="240" w:lineRule="auto"/>
        <w:rPr>
          <w:rStyle w:val="Hyperlink"/>
          <w:rFonts w:ascii="Arial" w:hAnsi="Arial" w:cs="Arial"/>
          <w:b/>
          <w:bCs/>
          <w:color w:val="auto"/>
          <w:u w:val="none"/>
        </w:rPr>
      </w:pPr>
    </w:p>
    <w:p w14:paraId="02E424A2" w14:textId="77777777" w:rsidR="00223138" w:rsidRPr="006D73AC" w:rsidRDefault="00223138" w:rsidP="006D73AC">
      <w:pPr>
        <w:spacing w:line="240" w:lineRule="auto"/>
        <w:rPr>
          <w:rStyle w:val="Hyperlink"/>
          <w:rFonts w:ascii="Arial" w:hAnsi="Arial" w:cs="Arial"/>
          <w:b/>
          <w:bCs/>
          <w:color w:val="auto"/>
          <w:u w:val="none"/>
        </w:rPr>
      </w:pPr>
    </w:p>
    <w:sectPr w:rsidR="00223138" w:rsidRPr="006D73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EA647" w14:textId="77777777" w:rsidR="004F1052" w:rsidRDefault="004F1052" w:rsidP="008D7032">
      <w:pPr>
        <w:spacing w:after="0" w:line="240" w:lineRule="auto"/>
      </w:pPr>
      <w:r>
        <w:separator/>
      </w:r>
    </w:p>
  </w:endnote>
  <w:endnote w:type="continuationSeparator" w:id="0">
    <w:p w14:paraId="527D7416" w14:textId="77777777" w:rsidR="004F1052" w:rsidRDefault="004F1052" w:rsidP="008D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48EF5" w14:textId="77777777" w:rsidR="004F1052" w:rsidRDefault="004F1052" w:rsidP="008D7032">
      <w:pPr>
        <w:spacing w:after="0" w:line="240" w:lineRule="auto"/>
      </w:pPr>
      <w:r>
        <w:separator/>
      </w:r>
    </w:p>
  </w:footnote>
  <w:footnote w:type="continuationSeparator" w:id="0">
    <w:p w14:paraId="20E7775D" w14:textId="77777777" w:rsidR="004F1052" w:rsidRDefault="004F1052" w:rsidP="008D7032">
      <w:pPr>
        <w:spacing w:after="0" w:line="240" w:lineRule="auto"/>
      </w:pPr>
      <w:r>
        <w:continuationSeparator/>
      </w:r>
    </w:p>
  </w:footnote>
  <w:footnote w:id="1">
    <w:p w14:paraId="77799090" w14:textId="77777777" w:rsidR="001A20C4" w:rsidRDefault="001A20C4" w:rsidP="001A20C4">
      <w:pPr>
        <w:pStyle w:val="FootnoteText"/>
      </w:pPr>
      <w:r>
        <w:rPr>
          <w:rStyle w:val="FootnoteReference"/>
        </w:rPr>
        <w:footnoteRef/>
      </w:r>
      <w:r>
        <w:t xml:space="preserve"> Maggi </w:t>
      </w:r>
      <w:r w:rsidRPr="001B71FC">
        <w:t>Savin-Baden and Victoria Mason-Robbie, Digital Afterlife:</w:t>
      </w:r>
      <w:r w:rsidRPr="001B71FC">
        <w:rPr>
          <w:i/>
          <w:iCs/>
        </w:rPr>
        <w:t xml:space="preserve"> Death Matters in a Digital Age (CRC Press LLC, 2020)</w:t>
      </w:r>
      <w:r>
        <w:t>, 12-3.</w:t>
      </w:r>
    </w:p>
  </w:footnote>
  <w:footnote w:id="2">
    <w:p w14:paraId="42D46CB3" w14:textId="76C5B6CA" w:rsidR="008E1CC2" w:rsidRPr="00A81DCB" w:rsidRDefault="008E1CC2">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1F4C0E" w:rsidRPr="00A81DCB">
        <w:rPr>
          <w:rFonts w:ascii="Arial" w:hAnsi="Arial" w:cs="Arial"/>
        </w:rPr>
        <w:t xml:space="preserve">Maggi Savin-Baden and Victoria Mason-Robbie (ed), </w:t>
      </w:r>
      <w:r w:rsidR="001F4C0E" w:rsidRPr="00A81DCB">
        <w:rPr>
          <w:rFonts w:ascii="Arial" w:hAnsi="Arial" w:cs="Arial"/>
          <w:i/>
          <w:iCs/>
        </w:rPr>
        <w:t xml:space="preserve">Digital Afterlife: Death Matters in a Digital Age </w:t>
      </w:r>
      <w:r w:rsidR="001F4C0E" w:rsidRPr="00A81DCB">
        <w:rPr>
          <w:rFonts w:ascii="Arial" w:hAnsi="Arial" w:cs="Arial"/>
        </w:rPr>
        <w:t xml:space="preserve">(CRC Press LLC, 2020), </w:t>
      </w:r>
      <w:r w:rsidRPr="00A81DCB">
        <w:rPr>
          <w:rFonts w:ascii="Arial" w:hAnsi="Arial" w:cs="Arial"/>
        </w:rPr>
        <w:t>13.</w:t>
      </w:r>
    </w:p>
  </w:footnote>
  <w:footnote w:id="3">
    <w:p w14:paraId="2EAA017B" w14:textId="706F2BC1" w:rsidR="009D443E" w:rsidRPr="00A81DCB" w:rsidRDefault="00567F39">
      <w:pPr>
        <w:pStyle w:val="FootnoteText"/>
        <w:rPr>
          <w:rFonts w:ascii="Arial" w:hAnsi="Arial" w:cs="Arial"/>
        </w:rPr>
      </w:pPr>
      <w:r w:rsidRPr="00A81DCB">
        <w:rPr>
          <w:rStyle w:val="FootnoteReference"/>
          <w:rFonts w:ascii="Arial" w:hAnsi="Arial" w:cs="Arial"/>
        </w:rPr>
        <w:footnoteRef/>
      </w:r>
      <w:r w:rsidR="009D443E" w:rsidRPr="00A81DCB">
        <w:rPr>
          <w:rStyle w:val="FootnoteReference"/>
          <w:rFonts w:ascii="Arial" w:hAnsi="Arial" w:cs="Arial"/>
        </w:rPr>
        <w:footnoteRef/>
      </w:r>
      <w:r w:rsidR="009D443E" w:rsidRPr="00A81DCB">
        <w:rPr>
          <w:rFonts w:ascii="Arial" w:hAnsi="Arial" w:cs="Arial"/>
        </w:rPr>
        <w:t xml:space="preserve"> </w:t>
      </w:r>
      <w:r w:rsidR="001F4C0E" w:rsidRPr="00A81DCB">
        <w:rPr>
          <w:rFonts w:ascii="Arial" w:hAnsi="Arial" w:cs="Arial"/>
        </w:rPr>
        <w:t>Ibid</w:t>
      </w:r>
      <w:r w:rsidR="00F40AD8" w:rsidRPr="00A81DCB">
        <w:rPr>
          <w:rFonts w:ascii="Arial" w:hAnsi="Arial" w:cs="Arial"/>
        </w:rPr>
        <w:t>, 139.</w:t>
      </w:r>
      <w:r w:rsidR="00AF49AF" w:rsidRPr="00A81DCB">
        <w:rPr>
          <w:rFonts w:ascii="Arial" w:hAnsi="Arial" w:cs="Arial"/>
        </w:rPr>
        <w:t xml:space="preserve"> </w:t>
      </w:r>
    </w:p>
  </w:footnote>
  <w:footnote w:id="4">
    <w:p w14:paraId="7BC4C4EF" w14:textId="07C9F8E8" w:rsidR="00E862BC" w:rsidRPr="00A81DCB" w:rsidRDefault="00E862BC" w:rsidP="00AD5362">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742A29" w:rsidRPr="00A81DCB">
        <w:rPr>
          <w:rFonts w:ascii="Arial" w:hAnsi="Arial" w:cs="Arial"/>
        </w:rPr>
        <w:t xml:space="preserve">Tal Morse, ‘Digital necromancy: users’ perceptions of digital afterlife and posthumous communication technologies.’ (2024) 27(2) </w:t>
      </w:r>
      <w:r w:rsidR="00742A29" w:rsidRPr="00A81DCB">
        <w:rPr>
          <w:rFonts w:ascii="Arial" w:hAnsi="Arial" w:cs="Arial"/>
          <w:i/>
          <w:iCs/>
        </w:rPr>
        <w:t>Information, communication &amp; society</w:t>
      </w:r>
      <w:r w:rsidR="00742A29" w:rsidRPr="00A81DCB">
        <w:rPr>
          <w:rFonts w:ascii="Arial" w:hAnsi="Arial" w:cs="Arial"/>
        </w:rPr>
        <w:t xml:space="preserve">, 240, </w:t>
      </w:r>
      <w:r w:rsidR="00476E68" w:rsidRPr="00A81DCB">
        <w:rPr>
          <w:rFonts w:ascii="Arial" w:hAnsi="Arial" w:cs="Arial"/>
        </w:rPr>
        <w:t>245</w:t>
      </w:r>
      <w:r w:rsidR="00742A29" w:rsidRPr="00A81DCB">
        <w:rPr>
          <w:rFonts w:ascii="Arial" w:hAnsi="Arial" w:cs="Arial"/>
        </w:rPr>
        <w:t>.</w:t>
      </w:r>
    </w:p>
  </w:footnote>
  <w:footnote w:id="5">
    <w:p w14:paraId="78304C00" w14:textId="7B9270DE" w:rsidR="00A83AE9" w:rsidRPr="00A81DCB" w:rsidRDefault="00A83AE9" w:rsidP="00AD5362">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8D3DAD" w:rsidRPr="00A81DCB">
        <w:rPr>
          <w:rFonts w:ascii="Arial" w:hAnsi="Arial" w:cs="Arial"/>
        </w:rPr>
        <w:t xml:space="preserve">Tomasz </w:t>
      </w:r>
      <w:proofErr w:type="spellStart"/>
      <w:r w:rsidR="008D3DAD" w:rsidRPr="00A81DCB">
        <w:rPr>
          <w:rFonts w:ascii="Arial" w:hAnsi="Arial" w:cs="Arial"/>
        </w:rPr>
        <w:t>Hollanek</w:t>
      </w:r>
      <w:proofErr w:type="spellEnd"/>
      <w:r w:rsidR="008D3DAD" w:rsidRPr="00A81DCB">
        <w:rPr>
          <w:rFonts w:ascii="Arial" w:hAnsi="Arial" w:cs="Arial"/>
        </w:rPr>
        <w:t xml:space="preserve"> and Katarzyna Nowaczyk-Basińska, ‘</w:t>
      </w:r>
      <w:proofErr w:type="spellStart"/>
      <w:r w:rsidR="008D3DAD" w:rsidRPr="00A81DCB">
        <w:rPr>
          <w:rFonts w:ascii="Arial" w:hAnsi="Arial" w:cs="Arial"/>
        </w:rPr>
        <w:t>Griefbots</w:t>
      </w:r>
      <w:proofErr w:type="spellEnd"/>
      <w:r w:rsidR="008D3DAD" w:rsidRPr="00A81DCB">
        <w:rPr>
          <w:rFonts w:ascii="Arial" w:hAnsi="Arial" w:cs="Arial"/>
        </w:rPr>
        <w:t xml:space="preserve">, </w:t>
      </w:r>
      <w:proofErr w:type="spellStart"/>
      <w:r w:rsidR="008D3DAD" w:rsidRPr="00A81DCB">
        <w:rPr>
          <w:rFonts w:ascii="Arial" w:hAnsi="Arial" w:cs="Arial"/>
        </w:rPr>
        <w:t>Deadbots</w:t>
      </w:r>
      <w:proofErr w:type="spellEnd"/>
      <w:r w:rsidR="008D3DAD" w:rsidRPr="00A81DCB">
        <w:rPr>
          <w:rFonts w:ascii="Arial" w:hAnsi="Arial" w:cs="Arial"/>
        </w:rPr>
        <w:t xml:space="preserve">, Postmortem Avatars: On Responsible Applications of Generative AI in the Digital Afterlife Industry’ (2024) 37(2) </w:t>
      </w:r>
      <w:r w:rsidR="008D3DAD" w:rsidRPr="00A81DCB">
        <w:rPr>
          <w:rFonts w:ascii="Arial" w:hAnsi="Arial" w:cs="Arial"/>
          <w:i/>
          <w:iCs/>
        </w:rPr>
        <w:t>Philosophy &amp; Technology</w:t>
      </w:r>
      <w:r w:rsidR="008D3DAD" w:rsidRPr="00A81DCB">
        <w:rPr>
          <w:rFonts w:ascii="Arial" w:hAnsi="Arial" w:cs="Arial"/>
        </w:rPr>
        <w:t>, 63</w:t>
      </w:r>
      <w:r w:rsidR="00B215E4" w:rsidRPr="00A81DCB">
        <w:rPr>
          <w:rFonts w:ascii="Arial" w:hAnsi="Arial" w:cs="Arial"/>
        </w:rPr>
        <w:t>, 63.</w:t>
      </w:r>
    </w:p>
  </w:footnote>
  <w:footnote w:id="6">
    <w:p w14:paraId="200A83B2" w14:textId="0695ED7A" w:rsidR="00567F39" w:rsidRPr="00A81DCB" w:rsidRDefault="00567F39">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047121" w:rsidRPr="00A81DCB">
        <w:rPr>
          <w:rFonts w:ascii="Arial" w:hAnsi="Arial" w:cs="Arial"/>
        </w:rPr>
        <w:t xml:space="preserve">Belén Jiménez-Alonso and Ignacio </w:t>
      </w:r>
      <w:proofErr w:type="spellStart"/>
      <w:r w:rsidR="00047121" w:rsidRPr="00A81DCB">
        <w:rPr>
          <w:rFonts w:ascii="Arial" w:hAnsi="Arial" w:cs="Arial"/>
        </w:rPr>
        <w:t>Brescó</w:t>
      </w:r>
      <w:proofErr w:type="spellEnd"/>
      <w:r w:rsidR="00047121" w:rsidRPr="00A81DCB">
        <w:rPr>
          <w:rFonts w:ascii="Arial" w:hAnsi="Arial" w:cs="Arial"/>
        </w:rPr>
        <w:t xml:space="preserve"> de Luna, ‘</w:t>
      </w:r>
      <w:proofErr w:type="spellStart"/>
      <w:r w:rsidR="002A0861" w:rsidRPr="00A81DCB">
        <w:rPr>
          <w:rFonts w:ascii="Arial" w:hAnsi="Arial" w:cs="Arial"/>
        </w:rPr>
        <w:t>Griefbots</w:t>
      </w:r>
      <w:proofErr w:type="spellEnd"/>
      <w:r w:rsidR="002A0861" w:rsidRPr="00A81DCB">
        <w:rPr>
          <w:rFonts w:ascii="Arial" w:hAnsi="Arial" w:cs="Arial"/>
        </w:rPr>
        <w:t xml:space="preserve">. A New Way of Communicating </w:t>
      </w:r>
      <w:proofErr w:type="gramStart"/>
      <w:r w:rsidR="002A0861" w:rsidRPr="00A81DCB">
        <w:rPr>
          <w:rFonts w:ascii="Arial" w:hAnsi="Arial" w:cs="Arial"/>
        </w:rPr>
        <w:t>With</w:t>
      </w:r>
      <w:proofErr w:type="gramEnd"/>
      <w:r w:rsidR="002A0861" w:rsidRPr="00A81DCB">
        <w:rPr>
          <w:rFonts w:ascii="Arial" w:hAnsi="Arial" w:cs="Arial"/>
        </w:rPr>
        <w:t xml:space="preserve"> The Dead?’</w:t>
      </w:r>
      <w:r w:rsidR="00321443" w:rsidRPr="00A81DCB">
        <w:rPr>
          <w:rFonts w:ascii="Arial" w:hAnsi="Arial" w:cs="Arial"/>
        </w:rPr>
        <w:t xml:space="preserve"> </w:t>
      </w:r>
      <w:r w:rsidR="00321443" w:rsidRPr="00A81DCB">
        <w:rPr>
          <w:rFonts w:ascii="Arial" w:hAnsi="Arial" w:cs="Arial"/>
          <w:i/>
          <w:iCs/>
        </w:rPr>
        <w:t xml:space="preserve">Integrative Physiological and </w:t>
      </w:r>
      <w:proofErr w:type="spellStart"/>
      <w:r w:rsidR="00321443" w:rsidRPr="00A81DCB">
        <w:rPr>
          <w:rFonts w:ascii="Arial" w:hAnsi="Arial" w:cs="Arial"/>
          <w:i/>
          <w:iCs/>
        </w:rPr>
        <w:t>Behavioral</w:t>
      </w:r>
      <w:proofErr w:type="spellEnd"/>
      <w:r w:rsidR="00321443" w:rsidRPr="00A81DCB">
        <w:rPr>
          <w:rFonts w:ascii="Arial" w:hAnsi="Arial" w:cs="Arial"/>
          <w:i/>
          <w:iCs/>
        </w:rPr>
        <w:t xml:space="preserve"> Science</w:t>
      </w:r>
      <w:r w:rsidR="00321443" w:rsidRPr="00A81DCB">
        <w:rPr>
          <w:rFonts w:ascii="Arial" w:hAnsi="Arial" w:cs="Arial"/>
        </w:rPr>
        <w:t>,</w:t>
      </w:r>
      <w:r w:rsidR="002A0861" w:rsidRPr="00A81DCB">
        <w:rPr>
          <w:rFonts w:ascii="Arial" w:hAnsi="Arial" w:cs="Arial"/>
        </w:rPr>
        <w:t xml:space="preserve"> (2023) 57(2)</w:t>
      </w:r>
      <w:r w:rsidR="00EB33CA" w:rsidRPr="00A81DCB">
        <w:rPr>
          <w:rFonts w:ascii="Arial" w:hAnsi="Arial" w:cs="Arial"/>
        </w:rPr>
        <w:t>, 466.</w:t>
      </w:r>
    </w:p>
  </w:footnote>
  <w:footnote w:id="7">
    <w:p w14:paraId="5EA0DDB5" w14:textId="77777777" w:rsidR="007412D1" w:rsidRDefault="007412D1" w:rsidP="007412D1">
      <w:pPr>
        <w:pStyle w:val="FootnoteText"/>
      </w:pPr>
      <w:r>
        <w:rPr>
          <w:rStyle w:val="FootnoteReference"/>
        </w:rPr>
        <w:footnoteRef/>
      </w:r>
      <w:r>
        <w:t xml:space="preserve"> </w:t>
      </w:r>
      <w:r w:rsidRPr="00F56575">
        <w:t>Edina</w:t>
      </w:r>
      <w:r>
        <w:t xml:space="preserve"> </w:t>
      </w:r>
      <w:proofErr w:type="spellStart"/>
      <w:r w:rsidRPr="00F56575">
        <w:t>Harbinja</w:t>
      </w:r>
      <w:proofErr w:type="spellEnd"/>
      <w:r w:rsidRPr="00F56575">
        <w:t xml:space="preserve">, </w:t>
      </w:r>
      <w:r w:rsidRPr="00F56575">
        <w:rPr>
          <w:i/>
          <w:iCs/>
        </w:rPr>
        <w:t xml:space="preserve">Digital Death, Digital Assets and Post-Mortem Privacy </w:t>
      </w:r>
      <w:r w:rsidRPr="00F56575">
        <w:t>(Edinburgh University Press, 2022)</w:t>
      </w:r>
      <w:r>
        <w:t>, 54.</w:t>
      </w:r>
    </w:p>
  </w:footnote>
  <w:footnote w:id="8">
    <w:p w14:paraId="5C6659E5" w14:textId="77777777" w:rsidR="007412D1" w:rsidRDefault="007412D1" w:rsidP="007412D1">
      <w:pPr>
        <w:pStyle w:val="FootnoteText"/>
      </w:pPr>
      <w:r>
        <w:rPr>
          <w:rStyle w:val="FootnoteReference"/>
        </w:rPr>
        <w:footnoteRef/>
      </w:r>
      <w:r>
        <w:t xml:space="preserve"> Ibid.</w:t>
      </w:r>
    </w:p>
  </w:footnote>
  <w:footnote w:id="9">
    <w:p w14:paraId="3319AD87" w14:textId="74CACB51" w:rsidR="001C1FB5" w:rsidRPr="00A81DCB" w:rsidRDefault="001C1FB5" w:rsidP="00AD5362">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A9264D" w:rsidRPr="00A81DCB">
        <w:rPr>
          <w:rFonts w:ascii="Arial" w:hAnsi="Arial" w:cs="Arial"/>
          <w:i/>
          <w:iCs/>
        </w:rPr>
        <w:t>General Data Protection Regulation</w:t>
      </w:r>
      <w:r w:rsidR="00A9264D" w:rsidRPr="00A81DCB">
        <w:rPr>
          <w:rFonts w:ascii="Arial" w:hAnsi="Arial" w:cs="Arial"/>
        </w:rPr>
        <w:t xml:space="preserve"> (EU) 2016/679, [2016] OJ L119/1, art 1 (emphasis added).</w:t>
      </w:r>
    </w:p>
  </w:footnote>
  <w:footnote w:id="10">
    <w:p w14:paraId="52955CE5" w14:textId="56C0CE4B" w:rsidR="00102EB9" w:rsidRPr="00A81DCB" w:rsidRDefault="00102EB9" w:rsidP="00E71F3A">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3B4A63" w:rsidRPr="00A81DCB">
        <w:rPr>
          <w:rFonts w:ascii="Arial" w:hAnsi="Arial" w:cs="Arial"/>
        </w:rPr>
        <w:t xml:space="preserve">Carl Öhman and Luciano </w:t>
      </w:r>
      <w:proofErr w:type="spellStart"/>
      <w:r w:rsidR="003B4A63" w:rsidRPr="00A81DCB">
        <w:rPr>
          <w:rFonts w:ascii="Arial" w:hAnsi="Arial" w:cs="Arial"/>
        </w:rPr>
        <w:t>Floridi</w:t>
      </w:r>
      <w:proofErr w:type="spellEnd"/>
      <w:r w:rsidR="003B4A63" w:rsidRPr="00A81DCB">
        <w:rPr>
          <w:rFonts w:ascii="Arial" w:hAnsi="Arial" w:cs="Arial"/>
        </w:rPr>
        <w:t>, ‘The Political Economy of Death in the Age of Information: A Critical Approach to the Digital Afterlife Industry’ (2017) 27(4</w:t>
      </w:r>
      <w:proofErr w:type="gramStart"/>
      <w:r w:rsidR="003B4A63" w:rsidRPr="00A81DCB">
        <w:rPr>
          <w:rFonts w:ascii="Arial" w:hAnsi="Arial" w:cs="Arial"/>
        </w:rPr>
        <w:t xml:space="preserve">),  </w:t>
      </w:r>
      <w:r w:rsidR="003B4A63" w:rsidRPr="00A81DCB">
        <w:rPr>
          <w:rFonts w:ascii="Arial" w:hAnsi="Arial" w:cs="Arial"/>
          <w:i/>
          <w:iCs/>
        </w:rPr>
        <w:t>Minds</w:t>
      </w:r>
      <w:proofErr w:type="gramEnd"/>
      <w:r w:rsidR="003B4A63" w:rsidRPr="00A81DCB">
        <w:rPr>
          <w:rFonts w:ascii="Arial" w:hAnsi="Arial" w:cs="Arial"/>
          <w:i/>
          <w:iCs/>
        </w:rPr>
        <w:t xml:space="preserve"> and Machines (Dordrecht), </w:t>
      </w:r>
      <w:r w:rsidR="003B4A63" w:rsidRPr="00A81DCB">
        <w:rPr>
          <w:rFonts w:ascii="Arial" w:hAnsi="Arial" w:cs="Arial"/>
        </w:rPr>
        <w:t xml:space="preserve">639, </w:t>
      </w:r>
      <w:r w:rsidRPr="00A81DCB">
        <w:rPr>
          <w:rFonts w:ascii="Arial" w:hAnsi="Arial" w:cs="Arial"/>
        </w:rPr>
        <w:t xml:space="preserve">639. </w:t>
      </w:r>
    </w:p>
  </w:footnote>
  <w:footnote w:id="11">
    <w:p w14:paraId="0DAAC4E5" w14:textId="77777777" w:rsidR="008F175B" w:rsidRPr="00A81DCB" w:rsidRDefault="008F175B" w:rsidP="006D2648">
      <w:pPr>
        <w:spacing w:after="0" w:line="240" w:lineRule="auto"/>
        <w:rPr>
          <w:rFonts w:ascii="Arial" w:hAnsi="Arial" w:cs="Arial"/>
          <w:sz w:val="20"/>
          <w:szCs w:val="20"/>
        </w:rPr>
      </w:pPr>
      <w:r w:rsidRPr="00A81DCB">
        <w:rPr>
          <w:rStyle w:val="FootnoteReference"/>
          <w:rFonts w:ascii="Arial" w:hAnsi="Arial" w:cs="Arial"/>
          <w:sz w:val="20"/>
          <w:szCs w:val="20"/>
        </w:rPr>
        <w:footnoteRef/>
      </w:r>
      <w:r w:rsidRPr="00A81DCB">
        <w:rPr>
          <w:rFonts w:ascii="Arial" w:hAnsi="Arial" w:cs="Arial"/>
          <w:sz w:val="20"/>
          <w:szCs w:val="20"/>
        </w:rPr>
        <w:t xml:space="preserve"> Chloe Cooper, ‘Mourning the dead in the digital afterlife’ (2020) </w:t>
      </w:r>
      <w:r w:rsidRPr="00A81DCB">
        <w:rPr>
          <w:rFonts w:ascii="Arial" w:hAnsi="Arial" w:cs="Arial"/>
          <w:i/>
          <w:iCs/>
          <w:sz w:val="20"/>
          <w:szCs w:val="20"/>
        </w:rPr>
        <w:t xml:space="preserve">Kill Your Darlings New Fiction, Essays, Commentary and Reviews </w:t>
      </w:r>
      <w:r w:rsidRPr="00A81DCB">
        <w:rPr>
          <w:rFonts w:ascii="Arial" w:hAnsi="Arial" w:cs="Arial"/>
          <w:sz w:val="20"/>
          <w:szCs w:val="20"/>
        </w:rPr>
        <w:t>136, 137.</w:t>
      </w:r>
    </w:p>
  </w:footnote>
  <w:footnote w:id="12">
    <w:p w14:paraId="54442AD5" w14:textId="77777777" w:rsidR="00C01CE9" w:rsidRDefault="00C01CE9" w:rsidP="00C01CE9">
      <w:pPr>
        <w:pStyle w:val="FootnoteText"/>
      </w:pPr>
      <w:r>
        <w:rPr>
          <w:rStyle w:val="FootnoteReference"/>
        </w:rPr>
        <w:footnoteRef/>
      </w:r>
      <w:r>
        <w:t xml:space="preserve"> Ibid 131-2.</w:t>
      </w:r>
    </w:p>
  </w:footnote>
  <w:footnote w:id="13">
    <w:p w14:paraId="10FF8194" w14:textId="535ED9F1" w:rsidR="00767F4B" w:rsidRPr="00A81DCB" w:rsidRDefault="00767F4B" w:rsidP="006D2648">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E6623E" w:rsidRPr="00A81DCB">
        <w:rPr>
          <w:rFonts w:ascii="Arial" w:hAnsi="Arial" w:cs="Arial"/>
          <w:i/>
          <w:iCs/>
        </w:rPr>
        <w:t>Revised Uniform Fiduciary Access to Digital Assets Act</w:t>
      </w:r>
      <w:r w:rsidR="00E6623E" w:rsidRPr="00A81DCB">
        <w:rPr>
          <w:rFonts w:ascii="Arial" w:hAnsi="Arial" w:cs="Arial"/>
        </w:rPr>
        <w:t xml:space="preserve"> (2015) (Uniform Law Commission)</w:t>
      </w:r>
      <w:r w:rsidR="006D2648" w:rsidRPr="00A81DCB">
        <w:rPr>
          <w:rFonts w:ascii="Arial" w:hAnsi="Arial" w:cs="Arial"/>
        </w:rPr>
        <w:t>.</w:t>
      </w:r>
    </w:p>
  </w:footnote>
  <w:footnote w:id="14">
    <w:p w14:paraId="509CF1F6" w14:textId="65B7449C" w:rsidR="00E6623E" w:rsidRPr="00A81DCB" w:rsidRDefault="00E6623E">
      <w:pPr>
        <w:pStyle w:val="FootnoteText"/>
        <w:rPr>
          <w:rFonts w:ascii="Arial" w:hAnsi="Arial" w:cs="Arial"/>
        </w:rPr>
      </w:pPr>
      <w:r w:rsidRPr="00A81DCB">
        <w:rPr>
          <w:rStyle w:val="FootnoteReference"/>
          <w:rFonts w:ascii="Arial" w:hAnsi="Arial" w:cs="Arial"/>
        </w:rPr>
        <w:footnoteRef/>
      </w:r>
      <w:r w:rsidRPr="00A81DCB">
        <w:rPr>
          <w:rFonts w:ascii="Arial" w:hAnsi="Arial" w:cs="Arial"/>
        </w:rPr>
        <w:t xml:space="preserve"> </w:t>
      </w:r>
      <w:r w:rsidR="006D2648" w:rsidRPr="00A81DCB">
        <w:rPr>
          <w:rFonts w:ascii="Arial" w:hAnsi="Arial" w:cs="Arial"/>
          <w:i/>
          <w:iCs/>
        </w:rPr>
        <w:t>Uniform Access to Digital Assets by Fiduciaries Act</w:t>
      </w:r>
      <w:r w:rsidR="006D2648" w:rsidRPr="00A81DCB">
        <w:rPr>
          <w:rFonts w:ascii="Arial" w:hAnsi="Arial" w:cs="Arial"/>
        </w:rPr>
        <w:t xml:space="preserve"> (2020) (Uniform Law Conference of Canada).</w:t>
      </w:r>
    </w:p>
  </w:footnote>
  <w:footnote w:id="15">
    <w:p w14:paraId="7A071CCD" w14:textId="39E4C096" w:rsidR="002D2530" w:rsidRPr="00A81DCB" w:rsidRDefault="002D2530" w:rsidP="002D2530">
      <w:pPr>
        <w:ind w:left="720" w:hanging="720"/>
        <w:rPr>
          <w:rFonts w:ascii="Arial" w:hAnsi="Arial" w:cs="Arial"/>
          <w:sz w:val="20"/>
          <w:szCs w:val="20"/>
        </w:rPr>
      </w:pPr>
      <w:r w:rsidRPr="00A81DCB">
        <w:rPr>
          <w:rStyle w:val="FootnoteReference"/>
          <w:rFonts w:ascii="Arial" w:hAnsi="Arial" w:cs="Arial"/>
          <w:sz w:val="20"/>
          <w:szCs w:val="20"/>
        </w:rPr>
        <w:footnoteRef/>
      </w:r>
      <w:r w:rsidRPr="00A81DCB">
        <w:rPr>
          <w:rFonts w:ascii="Arial" w:hAnsi="Arial" w:cs="Arial"/>
          <w:sz w:val="20"/>
          <w:szCs w:val="20"/>
        </w:rPr>
        <w:t xml:space="preserve"> Attorney-General’s Department (Commonwealth), </w:t>
      </w:r>
      <w:r w:rsidRPr="00A81DCB">
        <w:rPr>
          <w:rFonts w:ascii="Arial" w:hAnsi="Arial" w:cs="Arial"/>
          <w:i/>
          <w:iCs/>
          <w:sz w:val="20"/>
          <w:szCs w:val="20"/>
        </w:rPr>
        <w:t xml:space="preserve">Privacy Act Review Report 2022 </w:t>
      </w:r>
      <w:r w:rsidRPr="00A81DCB">
        <w:rPr>
          <w:rFonts w:ascii="Arial" w:hAnsi="Arial" w:cs="Arial"/>
          <w:sz w:val="20"/>
          <w:szCs w:val="20"/>
        </w:rPr>
        <w:t>(2022).</w:t>
      </w:r>
    </w:p>
  </w:footnote>
  <w:footnote w:id="16">
    <w:p w14:paraId="40FDF179" w14:textId="77777777" w:rsidR="0039063A" w:rsidRDefault="0039063A" w:rsidP="0039063A">
      <w:pPr>
        <w:pStyle w:val="FootnoteText"/>
      </w:pPr>
      <w:r>
        <w:rPr>
          <w:rStyle w:val="FootnoteReference"/>
        </w:rPr>
        <w:footnoteRef/>
      </w:r>
      <w:r>
        <w:t xml:space="preserve"> </w:t>
      </w:r>
      <w:r w:rsidRPr="00A3783E">
        <w:t xml:space="preserve">New South Wales Law Reform Commission, </w:t>
      </w:r>
      <w:r w:rsidRPr="00A3783E">
        <w:rPr>
          <w:i/>
          <w:iCs/>
        </w:rPr>
        <w:t xml:space="preserve">Access to digital records upon death or incapacity </w:t>
      </w:r>
      <w:r w:rsidRPr="00A3783E">
        <w:t>(Report No 147, December 2019)</w:t>
      </w:r>
      <w:r>
        <w:t>, xvii.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E04D7"/>
    <w:multiLevelType w:val="hybridMultilevel"/>
    <w:tmpl w:val="0AB28E30"/>
    <w:lvl w:ilvl="0" w:tplc="3EF49A7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DC0E0F"/>
    <w:multiLevelType w:val="multilevel"/>
    <w:tmpl w:val="31F6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43157"/>
    <w:multiLevelType w:val="hybridMultilevel"/>
    <w:tmpl w:val="0B0E83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B810CE"/>
    <w:multiLevelType w:val="hybridMultilevel"/>
    <w:tmpl w:val="12B28C7A"/>
    <w:lvl w:ilvl="0" w:tplc="D5B66054">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0874656">
    <w:abstractNumId w:val="1"/>
  </w:num>
  <w:num w:numId="2" w16cid:durableId="1291134130">
    <w:abstractNumId w:val="3"/>
  </w:num>
  <w:num w:numId="3" w16cid:durableId="372576867">
    <w:abstractNumId w:val="0"/>
  </w:num>
  <w:num w:numId="4" w16cid:durableId="182565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B0"/>
    <w:rsid w:val="000004F7"/>
    <w:rsid w:val="000113D2"/>
    <w:rsid w:val="000219A4"/>
    <w:rsid w:val="00022134"/>
    <w:rsid w:val="00022405"/>
    <w:rsid w:val="00033259"/>
    <w:rsid w:val="00034554"/>
    <w:rsid w:val="000408A0"/>
    <w:rsid w:val="000420AB"/>
    <w:rsid w:val="00042926"/>
    <w:rsid w:val="00045F63"/>
    <w:rsid w:val="00047121"/>
    <w:rsid w:val="000559ED"/>
    <w:rsid w:val="0005645A"/>
    <w:rsid w:val="000567A1"/>
    <w:rsid w:val="00065090"/>
    <w:rsid w:val="00065DA2"/>
    <w:rsid w:val="00072596"/>
    <w:rsid w:val="00074667"/>
    <w:rsid w:val="000819D6"/>
    <w:rsid w:val="000873BE"/>
    <w:rsid w:val="00092706"/>
    <w:rsid w:val="000A33E2"/>
    <w:rsid w:val="000C12F8"/>
    <w:rsid w:val="000C1694"/>
    <w:rsid w:val="000C18E5"/>
    <w:rsid w:val="000C3183"/>
    <w:rsid w:val="000D6EC0"/>
    <w:rsid w:val="000D7809"/>
    <w:rsid w:val="000D79FF"/>
    <w:rsid w:val="000E5905"/>
    <w:rsid w:val="000F15E1"/>
    <w:rsid w:val="000F60D9"/>
    <w:rsid w:val="00102EB9"/>
    <w:rsid w:val="00105C81"/>
    <w:rsid w:val="00114FDC"/>
    <w:rsid w:val="00121A0E"/>
    <w:rsid w:val="00124E92"/>
    <w:rsid w:val="00127B81"/>
    <w:rsid w:val="00127DAD"/>
    <w:rsid w:val="0013003F"/>
    <w:rsid w:val="00142D56"/>
    <w:rsid w:val="00150B04"/>
    <w:rsid w:val="0016610A"/>
    <w:rsid w:val="001708DE"/>
    <w:rsid w:val="001741A6"/>
    <w:rsid w:val="00175A28"/>
    <w:rsid w:val="001773BF"/>
    <w:rsid w:val="00181FE4"/>
    <w:rsid w:val="00182B81"/>
    <w:rsid w:val="0018529A"/>
    <w:rsid w:val="001854C7"/>
    <w:rsid w:val="00192F40"/>
    <w:rsid w:val="00195268"/>
    <w:rsid w:val="00197ED8"/>
    <w:rsid w:val="001A20C4"/>
    <w:rsid w:val="001A5129"/>
    <w:rsid w:val="001B268F"/>
    <w:rsid w:val="001C1FB5"/>
    <w:rsid w:val="001C4BAE"/>
    <w:rsid w:val="001C6656"/>
    <w:rsid w:val="001C706B"/>
    <w:rsid w:val="001D2B2C"/>
    <w:rsid w:val="001F4302"/>
    <w:rsid w:val="001F4C0E"/>
    <w:rsid w:val="001F71BE"/>
    <w:rsid w:val="00203580"/>
    <w:rsid w:val="00212520"/>
    <w:rsid w:val="002159D9"/>
    <w:rsid w:val="002221F3"/>
    <w:rsid w:val="00223138"/>
    <w:rsid w:val="002334D2"/>
    <w:rsid w:val="00233C0D"/>
    <w:rsid w:val="002409C5"/>
    <w:rsid w:val="0024106E"/>
    <w:rsid w:val="002415B1"/>
    <w:rsid w:val="00241FA7"/>
    <w:rsid w:val="0027664B"/>
    <w:rsid w:val="00277974"/>
    <w:rsid w:val="0028141A"/>
    <w:rsid w:val="00282FDF"/>
    <w:rsid w:val="002844ED"/>
    <w:rsid w:val="00292E2B"/>
    <w:rsid w:val="00296D4C"/>
    <w:rsid w:val="002A0861"/>
    <w:rsid w:val="002A1344"/>
    <w:rsid w:val="002B5B57"/>
    <w:rsid w:val="002B67BD"/>
    <w:rsid w:val="002C4F3B"/>
    <w:rsid w:val="002D2530"/>
    <w:rsid w:val="002E5730"/>
    <w:rsid w:val="002F2189"/>
    <w:rsid w:val="002F4F0D"/>
    <w:rsid w:val="002F55EB"/>
    <w:rsid w:val="003075C6"/>
    <w:rsid w:val="00312CE4"/>
    <w:rsid w:val="003140E4"/>
    <w:rsid w:val="003159B0"/>
    <w:rsid w:val="00321443"/>
    <w:rsid w:val="003333F3"/>
    <w:rsid w:val="003378DA"/>
    <w:rsid w:val="00341CCF"/>
    <w:rsid w:val="0037279E"/>
    <w:rsid w:val="00374B05"/>
    <w:rsid w:val="00374EAA"/>
    <w:rsid w:val="00386A68"/>
    <w:rsid w:val="0039063A"/>
    <w:rsid w:val="003A0B3E"/>
    <w:rsid w:val="003A0F4F"/>
    <w:rsid w:val="003B06CC"/>
    <w:rsid w:val="003B4A63"/>
    <w:rsid w:val="003C35AB"/>
    <w:rsid w:val="003C429A"/>
    <w:rsid w:val="003D0D5F"/>
    <w:rsid w:val="003F0937"/>
    <w:rsid w:val="003F0F5D"/>
    <w:rsid w:val="003F406F"/>
    <w:rsid w:val="004011FB"/>
    <w:rsid w:val="00402580"/>
    <w:rsid w:val="00404469"/>
    <w:rsid w:val="004052F0"/>
    <w:rsid w:val="00420E5F"/>
    <w:rsid w:val="00424751"/>
    <w:rsid w:val="004249D0"/>
    <w:rsid w:val="004342AF"/>
    <w:rsid w:val="004452F7"/>
    <w:rsid w:val="00466C86"/>
    <w:rsid w:val="00467839"/>
    <w:rsid w:val="0046786B"/>
    <w:rsid w:val="00476E68"/>
    <w:rsid w:val="00481C27"/>
    <w:rsid w:val="004849A9"/>
    <w:rsid w:val="0048556F"/>
    <w:rsid w:val="00491B04"/>
    <w:rsid w:val="004968FA"/>
    <w:rsid w:val="004A046F"/>
    <w:rsid w:val="004A19EB"/>
    <w:rsid w:val="004A394F"/>
    <w:rsid w:val="004A5641"/>
    <w:rsid w:val="004B0844"/>
    <w:rsid w:val="004B20E3"/>
    <w:rsid w:val="004B7C8F"/>
    <w:rsid w:val="004C0B64"/>
    <w:rsid w:val="004D3617"/>
    <w:rsid w:val="004E2B1A"/>
    <w:rsid w:val="004F1052"/>
    <w:rsid w:val="004F31E4"/>
    <w:rsid w:val="004F3DCD"/>
    <w:rsid w:val="004F7C2B"/>
    <w:rsid w:val="00504124"/>
    <w:rsid w:val="00516548"/>
    <w:rsid w:val="00524A25"/>
    <w:rsid w:val="00525845"/>
    <w:rsid w:val="005310BB"/>
    <w:rsid w:val="00545817"/>
    <w:rsid w:val="005504D7"/>
    <w:rsid w:val="00551232"/>
    <w:rsid w:val="00553B6F"/>
    <w:rsid w:val="005550B7"/>
    <w:rsid w:val="00555D32"/>
    <w:rsid w:val="00557327"/>
    <w:rsid w:val="00565083"/>
    <w:rsid w:val="00567F39"/>
    <w:rsid w:val="00570335"/>
    <w:rsid w:val="00573D75"/>
    <w:rsid w:val="005757EF"/>
    <w:rsid w:val="00577276"/>
    <w:rsid w:val="00580538"/>
    <w:rsid w:val="00583FF6"/>
    <w:rsid w:val="005865F8"/>
    <w:rsid w:val="00591577"/>
    <w:rsid w:val="0059276F"/>
    <w:rsid w:val="00594A04"/>
    <w:rsid w:val="00597B26"/>
    <w:rsid w:val="005A4D30"/>
    <w:rsid w:val="005B0FD7"/>
    <w:rsid w:val="005B3D77"/>
    <w:rsid w:val="005B40D8"/>
    <w:rsid w:val="005B49A8"/>
    <w:rsid w:val="005C023F"/>
    <w:rsid w:val="005C4482"/>
    <w:rsid w:val="005D242C"/>
    <w:rsid w:val="005E1136"/>
    <w:rsid w:val="005E4C9D"/>
    <w:rsid w:val="005E5928"/>
    <w:rsid w:val="005F4270"/>
    <w:rsid w:val="005F6EB0"/>
    <w:rsid w:val="006059D4"/>
    <w:rsid w:val="00606AED"/>
    <w:rsid w:val="00612BF0"/>
    <w:rsid w:val="006141B0"/>
    <w:rsid w:val="00627297"/>
    <w:rsid w:val="006529E7"/>
    <w:rsid w:val="00653C84"/>
    <w:rsid w:val="006544C5"/>
    <w:rsid w:val="00660181"/>
    <w:rsid w:val="00663AAB"/>
    <w:rsid w:val="00690324"/>
    <w:rsid w:val="006930B7"/>
    <w:rsid w:val="00695381"/>
    <w:rsid w:val="006B136D"/>
    <w:rsid w:val="006C2B97"/>
    <w:rsid w:val="006C300E"/>
    <w:rsid w:val="006D13FD"/>
    <w:rsid w:val="006D2648"/>
    <w:rsid w:val="006D29E5"/>
    <w:rsid w:val="006D34D2"/>
    <w:rsid w:val="006D57BD"/>
    <w:rsid w:val="006D73AC"/>
    <w:rsid w:val="006F0297"/>
    <w:rsid w:val="006F1778"/>
    <w:rsid w:val="006F1C59"/>
    <w:rsid w:val="00702BDC"/>
    <w:rsid w:val="007057F5"/>
    <w:rsid w:val="0070682D"/>
    <w:rsid w:val="00723E47"/>
    <w:rsid w:val="00727A97"/>
    <w:rsid w:val="007336C0"/>
    <w:rsid w:val="007412D1"/>
    <w:rsid w:val="00742A29"/>
    <w:rsid w:val="00743685"/>
    <w:rsid w:val="00751826"/>
    <w:rsid w:val="00760CC3"/>
    <w:rsid w:val="00767F4B"/>
    <w:rsid w:val="00770248"/>
    <w:rsid w:val="00771277"/>
    <w:rsid w:val="00776DBC"/>
    <w:rsid w:val="0077776D"/>
    <w:rsid w:val="00777A2E"/>
    <w:rsid w:val="0079438D"/>
    <w:rsid w:val="00796632"/>
    <w:rsid w:val="00796DBE"/>
    <w:rsid w:val="007B6838"/>
    <w:rsid w:val="007C0642"/>
    <w:rsid w:val="007C3B90"/>
    <w:rsid w:val="007C7B40"/>
    <w:rsid w:val="007D10AA"/>
    <w:rsid w:val="007D6498"/>
    <w:rsid w:val="007E06E5"/>
    <w:rsid w:val="007E7D20"/>
    <w:rsid w:val="007F1E67"/>
    <w:rsid w:val="008004FB"/>
    <w:rsid w:val="008008D3"/>
    <w:rsid w:val="0080767F"/>
    <w:rsid w:val="00807788"/>
    <w:rsid w:val="00813D46"/>
    <w:rsid w:val="00824257"/>
    <w:rsid w:val="00832453"/>
    <w:rsid w:val="00834603"/>
    <w:rsid w:val="00836E15"/>
    <w:rsid w:val="00837803"/>
    <w:rsid w:val="00843250"/>
    <w:rsid w:val="00844E89"/>
    <w:rsid w:val="00850BD8"/>
    <w:rsid w:val="00852DAB"/>
    <w:rsid w:val="00854E62"/>
    <w:rsid w:val="00863283"/>
    <w:rsid w:val="00871A76"/>
    <w:rsid w:val="008836C9"/>
    <w:rsid w:val="00887186"/>
    <w:rsid w:val="008905E0"/>
    <w:rsid w:val="008951F3"/>
    <w:rsid w:val="008973FC"/>
    <w:rsid w:val="008A15E9"/>
    <w:rsid w:val="008A1D36"/>
    <w:rsid w:val="008B2A55"/>
    <w:rsid w:val="008C4796"/>
    <w:rsid w:val="008D1822"/>
    <w:rsid w:val="008D3DAD"/>
    <w:rsid w:val="008D58F2"/>
    <w:rsid w:val="008D7032"/>
    <w:rsid w:val="008E1302"/>
    <w:rsid w:val="008E1CC2"/>
    <w:rsid w:val="008E466C"/>
    <w:rsid w:val="008E4BDD"/>
    <w:rsid w:val="008E708B"/>
    <w:rsid w:val="008E7A81"/>
    <w:rsid w:val="008E7ADF"/>
    <w:rsid w:val="008F175B"/>
    <w:rsid w:val="00900A70"/>
    <w:rsid w:val="00902C15"/>
    <w:rsid w:val="0090765F"/>
    <w:rsid w:val="00910323"/>
    <w:rsid w:val="00915B79"/>
    <w:rsid w:val="00937AA8"/>
    <w:rsid w:val="00954421"/>
    <w:rsid w:val="009619D4"/>
    <w:rsid w:val="009619DF"/>
    <w:rsid w:val="00966772"/>
    <w:rsid w:val="00971406"/>
    <w:rsid w:val="009737D7"/>
    <w:rsid w:val="00974454"/>
    <w:rsid w:val="0097454D"/>
    <w:rsid w:val="009801E1"/>
    <w:rsid w:val="00982BAF"/>
    <w:rsid w:val="0099065E"/>
    <w:rsid w:val="00990888"/>
    <w:rsid w:val="00990AE7"/>
    <w:rsid w:val="00991795"/>
    <w:rsid w:val="009A0257"/>
    <w:rsid w:val="009A62BE"/>
    <w:rsid w:val="009B5308"/>
    <w:rsid w:val="009B64DD"/>
    <w:rsid w:val="009B7591"/>
    <w:rsid w:val="009C2063"/>
    <w:rsid w:val="009C5B1D"/>
    <w:rsid w:val="009C6122"/>
    <w:rsid w:val="009D3715"/>
    <w:rsid w:val="009D37A1"/>
    <w:rsid w:val="009D3A59"/>
    <w:rsid w:val="009D443E"/>
    <w:rsid w:val="009E22D2"/>
    <w:rsid w:val="009E63C0"/>
    <w:rsid w:val="009F0F69"/>
    <w:rsid w:val="00A00249"/>
    <w:rsid w:val="00A02836"/>
    <w:rsid w:val="00A14323"/>
    <w:rsid w:val="00A1615E"/>
    <w:rsid w:val="00A17569"/>
    <w:rsid w:val="00A178DB"/>
    <w:rsid w:val="00A21001"/>
    <w:rsid w:val="00A3656F"/>
    <w:rsid w:val="00A451AD"/>
    <w:rsid w:val="00A45BE8"/>
    <w:rsid w:val="00A526A4"/>
    <w:rsid w:val="00A53BBE"/>
    <w:rsid w:val="00A53F3E"/>
    <w:rsid w:val="00A54DC9"/>
    <w:rsid w:val="00A56AE1"/>
    <w:rsid w:val="00A71FE2"/>
    <w:rsid w:val="00A74391"/>
    <w:rsid w:val="00A81DCB"/>
    <w:rsid w:val="00A83AE9"/>
    <w:rsid w:val="00A923D7"/>
    <w:rsid w:val="00A9264D"/>
    <w:rsid w:val="00A95B58"/>
    <w:rsid w:val="00A95D6D"/>
    <w:rsid w:val="00A967EE"/>
    <w:rsid w:val="00AA5EBB"/>
    <w:rsid w:val="00AA6F0C"/>
    <w:rsid w:val="00AB0A99"/>
    <w:rsid w:val="00AB63C7"/>
    <w:rsid w:val="00AC02BC"/>
    <w:rsid w:val="00AC4A05"/>
    <w:rsid w:val="00AD47E8"/>
    <w:rsid w:val="00AD5362"/>
    <w:rsid w:val="00AE0B92"/>
    <w:rsid w:val="00AE17ED"/>
    <w:rsid w:val="00AE5D3A"/>
    <w:rsid w:val="00AE7165"/>
    <w:rsid w:val="00AF3101"/>
    <w:rsid w:val="00AF49AF"/>
    <w:rsid w:val="00B010A9"/>
    <w:rsid w:val="00B05DA6"/>
    <w:rsid w:val="00B111AC"/>
    <w:rsid w:val="00B16A1A"/>
    <w:rsid w:val="00B1705E"/>
    <w:rsid w:val="00B20A4A"/>
    <w:rsid w:val="00B20ED8"/>
    <w:rsid w:val="00B215E4"/>
    <w:rsid w:val="00B21782"/>
    <w:rsid w:val="00B249C8"/>
    <w:rsid w:val="00B25A39"/>
    <w:rsid w:val="00B3075D"/>
    <w:rsid w:val="00B339DF"/>
    <w:rsid w:val="00B379C3"/>
    <w:rsid w:val="00B37E77"/>
    <w:rsid w:val="00B423CC"/>
    <w:rsid w:val="00B44FF6"/>
    <w:rsid w:val="00B530E2"/>
    <w:rsid w:val="00B53527"/>
    <w:rsid w:val="00B706CB"/>
    <w:rsid w:val="00B85160"/>
    <w:rsid w:val="00BB2F29"/>
    <w:rsid w:val="00BB6752"/>
    <w:rsid w:val="00BC073C"/>
    <w:rsid w:val="00BC0A9A"/>
    <w:rsid w:val="00BD5523"/>
    <w:rsid w:val="00BE1D87"/>
    <w:rsid w:val="00BE3AAE"/>
    <w:rsid w:val="00BF1A3E"/>
    <w:rsid w:val="00BF24C7"/>
    <w:rsid w:val="00BF31E3"/>
    <w:rsid w:val="00BF4DF8"/>
    <w:rsid w:val="00BF5228"/>
    <w:rsid w:val="00BF7374"/>
    <w:rsid w:val="00C01CE9"/>
    <w:rsid w:val="00C025C3"/>
    <w:rsid w:val="00C0661E"/>
    <w:rsid w:val="00C178B7"/>
    <w:rsid w:val="00C22E9D"/>
    <w:rsid w:val="00C2595C"/>
    <w:rsid w:val="00C34AF5"/>
    <w:rsid w:val="00C3585C"/>
    <w:rsid w:val="00C44AED"/>
    <w:rsid w:val="00C469B4"/>
    <w:rsid w:val="00C5357F"/>
    <w:rsid w:val="00C574E9"/>
    <w:rsid w:val="00C67576"/>
    <w:rsid w:val="00C71FDD"/>
    <w:rsid w:val="00C76961"/>
    <w:rsid w:val="00C871E9"/>
    <w:rsid w:val="00C8734D"/>
    <w:rsid w:val="00C922E3"/>
    <w:rsid w:val="00CA165B"/>
    <w:rsid w:val="00CB40EF"/>
    <w:rsid w:val="00CB6794"/>
    <w:rsid w:val="00CB7F8E"/>
    <w:rsid w:val="00CC05C1"/>
    <w:rsid w:val="00CC22C8"/>
    <w:rsid w:val="00CC496B"/>
    <w:rsid w:val="00CC4E3D"/>
    <w:rsid w:val="00CC5283"/>
    <w:rsid w:val="00CE18F1"/>
    <w:rsid w:val="00D040F3"/>
    <w:rsid w:val="00D1354F"/>
    <w:rsid w:val="00D153EC"/>
    <w:rsid w:val="00D24676"/>
    <w:rsid w:val="00D25885"/>
    <w:rsid w:val="00D2604D"/>
    <w:rsid w:val="00D441A4"/>
    <w:rsid w:val="00D47300"/>
    <w:rsid w:val="00D71F22"/>
    <w:rsid w:val="00D72279"/>
    <w:rsid w:val="00D72DB5"/>
    <w:rsid w:val="00D74C9D"/>
    <w:rsid w:val="00D75B6A"/>
    <w:rsid w:val="00D90666"/>
    <w:rsid w:val="00D93720"/>
    <w:rsid w:val="00D97D33"/>
    <w:rsid w:val="00DA711C"/>
    <w:rsid w:val="00DB72C1"/>
    <w:rsid w:val="00DC3112"/>
    <w:rsid w:val="00DD6673"/>
    <w:rsid w:val="00DF124E"/>
    <w:rsid w:val="00E02234"/>
    <w:rsid w:val="00E04ADE"/>
    <w:rsid w:val="00E111D2"/>
    <w:rsid w:val="00E1244A"/>
    <w:rsid w:val="00E21BC4"/>
    <w:rsid w:val="00E22FA4"/>
    <w:rsid w:val="00E338C3"/>
    <w:rsid w:val="00E3687F"/>
    <w:rsid w:val="00E41906"/>
    <w:rsid w:val="00E5262F"/>
    <w:rsid w:val="00E6255E"/>
    <w:rsid w:val="00E63332"/>
    <w:rsid w:val="00E65495"/>
    <w:rsid w:val="00E655B6"/>
    <w:rsid w:val="00E65DD1"/>
    <w:rsid w:val="00E6623E"/>
    <w:rsid w:val="00E67564"/>
    <w:rsid w:val="00E70E14"/>
    <w:rsid w:val="00E71F3A"/>
    <w:rsid w:val="00E72641"/>
    <w:rsid w:val="00E77368"/>
    <w:rsid w:val="00E862BC"/>
    <w:rsid w:val="00E86DDE"/>
    <w:rsid w:val="00EA079D"/>
    <w:rsid w:val="00EA7557"/>
    <w:rsid w:val="00EA79B4"/>
    <w:rsid w:val="00EB1E90"/>
    <w:rsid w:val="00EB2257"/>
    <w:rsid w:val="00EB33CA"/>
    <w:rsid w:val="00EC6493"/>
    <w:rsid w:val="00ED0043"/>
    <w:rsid w:val="00ED0E23"/>
    <w:rsid w:val="00ED64F8"/>
    <w:rsid w:val="00EE2355"/>
    <w:rsid w:val="00EF3D76"/>
    <w:rsid w:val="00EF759B"/>
    <w:rsid w:val="00F01274"/>
    <w:rsid w:val="00F027B8"/>
    <w:rsid w:val="00F051AB"/>
    <w:rsid w:val="00F20FBE"/>
    <w:rsid w:val="00F27A76"/>
    <w:rsid w:val="00F30823"/>
    <w:rsid w:val="00F31719"/>
    <w:rsid w:val="00F40AD8"/>
    <w:rsid w:val="00F44BAE"/>
    <w:rsid w:val="00F6054B"/>
    <w:rsid w:val="00F67387"/>
    <w:rsid w:val="00F67943"/>
    <w:rsid w:val="00F70FB3"/>
    <w:rsid w:val="00F7796A"/>
    <w:rsid w:val="00F83366"/>
    <w:rsid w:val="00F92A6C"/>
    <w:rsid w:val="00FA65A1"/>
    <w:rsid w:val="00FB0895"/>
    <w:rsid w:val="00FB2DA9"/>
    <w:rsid w:val="00FB52E3"/>
    <w:rsid w:val="00FB6D45"/>
    <w:rsid w:val="00FC696D"/>
    <w:rsid w:val="00FC7195"/>
    <w:rsid w:val="00FE36DB"/>
    <w:rsid w:val="00FE740D"/>
    <w:rsid w:val="026505DD"/>
    <w:rsid w:val="0986403F"/>
    <w:rsid w:val="0E5A8276"/>
    <w:rsid w:val="1050E9DF"/>
    <w:rsid w:val="12D61923"/>
    <w:rsid w:val="2B3CF46B"/>
    <w:rsid w:val="2FB8064C"/>
    <w:rsid w:val="4292ED2B"/>
    <w:rsid w:val="4BF2EDFF"/>
    <w:rsid w:val="619C66F6"/>
    <w:rsid w:val="6993D44A"/>
    <w:rsid w:val="6E809B80"/>
    <w:rsid w:val="70B50E6C"/>
    <w:rsid w:val="75CB9AFC"/>
    <w:rsid w:val="7A21E9BB"/>
    <w:rsid w:val="7D8A08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BBF95"/>
  <w15:chartTrackingRefBased/>
  <w15:docId w15:val="{9B078D7A-FBAB-439E-9A56-97E94161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9B0"/>
    <w:rPr>
      <w:rFonts w:eastAsiaTheme="majorEastAsia" w:cstheme="majorBidi"/>
      <w:color w:val="272727" w:themeColor="text1" w:themeTint="D8"/>
    </w:rPr>
  </w:style>
  <w:style w:type="paragraph" w:styleId="Title">
    <w:name w:val="Title"/>
    <w:basedOn w:val="Normal"/>
    <w:next w:val="Normal"/>
    <w:link w:val="TitleChar"/>
    <w:uiPriority w:val="10"/>
    <w:qFormat/>
    <w:rsid w:val="00315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9B0"/>
    <w:pPr>
      <w:spacing w:before="160"/>
      <w:jc w:val="center"/>
    </w:pPr>
    <w:rPr>
      <w:i/>
      <w:iCs/>
      <w:color w:val="404040" w:themeColor="text1" w:themeTint="BF"/>
    </w:rPr>
  </w:style>
  <w:style w:type="character" w:customStyle="1" w:styleId="QuoteChar">
    <w:name w:val="Quote Char"/>
    <w:basedOn w:val="DefaultParagraphFont"/>
    <w:link w:val="Quote"/>
    <w:uiPriority w:val="29"/>
    <w:rsid w:val="003159B0"/>
    <w:rPr>
      <w:i/>
      <w:iCs/>
      <w:color w:val="404040" w:themeColor="text1" w:themeTint="BF"/>
    </w:rPr>
  </w:style>
  <w:style w:type="paragraph" w:styleId="ListParagraph">
    <w:name w:val="List Paragraph"/>
    <w:basedOn w:val="Normal"/>
    <w:uiPriority w:val="34"/>
    <w:qFormat/>
    <w:rsid w:val="003159B0"/>
    <w:pPr>
      <w:ind w:left="720"/>
      <w:contextualSpacing/>
    </w:pPr>
  </w:style>
  <w:style w:type="character" w:styleId="IntenseEmphasis">
    <w:name w:val="Intense Emphasis"/>
    <w:basedOn w:val="DefaultParagraphFont"/>
    <w:uiPriority w:val="21"/>
    <w:qFormat/>
    <w:rsid w:val="003159B0"/>
    <w:rPr>
      <w:i/>
      <w:iCs/>
      <w:color w:val="0F4761" w:themeColor="accent1" w:themeShade="BF"/>
    </w:rPr>
  </w:style>
  <w:style w:type="paragraph" w:styleId="IntenseQuote">
    <w:name w:val="Intense Quote"/>
    <w:basedOn w:val="Normal"/>
    <w:next w:val="Normal"/>
    <w:link w:val="IntenseQuoteChar"/>
    <w:uiPriority w:val="30"/>
    <w:qFormat/>
    <w:rsid w:val="0031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9B0"/>
    <w:rPr>
      <w:i/>
      <w:iCs/>
      <w:color w:val="0F4761" w:themeColor="accent1" w:themeShade="BF"/>
    </w:rPr>
  </w:style>
  <w:style w:type="character" w:styleId="IntenseReference">
    <w:name w:val="Intense Reference"/>
    <w:basedOn w:val="DefaultParagraphFont"/>
    <w:uiPriority w:val="32"/>
    <w:qFormat/>
    <w:rsid w:val="003159B0"/>
    <w:rPr>
      <w:b/>
      <w:bCs/>
      <w:smallCaps/>
      <w:color w:val="0F4761" w:themeColor="accent1" w:themeShade="BF"/>
      <w:spacing w:val="5"/>
    </w:rPr>
  </w:style>
  <w:style w:type="character" w:styleId="Hyperlink">
    <w:name w:val="Hyperlink"/>
    <w:basedOn w:val="DefaultParagraphFont"/>
    <w:uiPriority w:val="99"/>
    <w:unhideWhenUsed/>
    <w:rsid w:val="003159B0"/>
    <w:rPr>
      <w:color w:val="467886" w:themeColor="hyperlink"/>
      <w:u w:val="single"/>
    </w:rPr>
  </w:style>
  <w:style w:type="character" w:styleId="UnresolvedMention">
    <w:name w:val="Unresolved Mention"/>
    <w:basedOn w:val="DefaultParagraphFont"/>
    <w:uiPriority w:val="99"/>
    <w:semiHidden/>
    <w:unhideWhenUsed/>
    <w:rsid w:val="003159B0"/>
    <w:rPr>
      <w:color w:val="605E5C"/>
      <w:shd w:val="clear" w:color="auto" w:fill="E1DFDD"/>
    </w:rPr>
  </w:style>
  <w:style w:type="character" w:styleId="FollowedHyperlink">
    <w:name w:val="FollowedHyperlink"/>
    <w:basedOn w:val="DefaultParagraphFont"/>
    <w:uiPriority w:val="99"/>
    <w:semiHidden/>
    <w:unhideWhenUsed/>
    <w:rsid w:val="009B5308"/>
    <w:rPr>
      <w:color w:val="96607D" w:themeColor="followedHyperlink"/>
      <w:u w:val="single"/>
    </w:rPr>
  </w:style>
  <w:style w:type="paragraph" w:styleId="FootnoteText">
    <w:name w:val="footnote text"/>
    <w:basedOn w:val="Normal"/>
    <w:link w:val="FootnoteTextChar"/>
    <w:uiPriority w:val="99"/>
    <w:semiHidden/>
    <w:unhideWhenUsed/>
    <w:rsid w:val="008D70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032"/>
    <w:rPr>
      <w:sz w:val="20"/>
      <w:szCs w:val="20"/>
    </w:rPr>
  </w:style>
  <w:style w:type="character" w:styleId="FootnoteReference">
    <w:name w:val="footnote reference"/>
    <w:basedOn w:val="DefaultParagraphFont"/>
    <w:uiPriority w:val="99"/>
    <w:semiHidden/>
    <w:unhideWhenUsed/>
    <w:rsid w:val="008D7032"/>
    <w:rPr>
      <w:vertAlign w:val="superscript"/>
    </w:rPr>
  </w:style>
  <w:style w:type="table" w:styleId="TableGrid">
    <w:name w:val="Table Grid"/>
    <w:basedOn w:val="TableNormal"/>
    <w:uiPriority w:val="39"/>
    <w:rsid w:val="00E86DDE"/>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4782">
      <w:bodyDiv w:val="1"/>
      <w:marLeft w:val="0"/>
      <w:marRight w:val="0"/>
      <w:marTop w:val="0"/>
      <w:marBottom w:val="0"/>
      <w:divBdr>
        <w:top w:val="none" w:sz="0" w:space="0" w:color="auto"/>
        <w:left w:val="none" w:sz="0" w:space="0" w:color="auto"/>
        <w:bottom w:val="none" w:sz="0" w:space="0" w:color="auto"/>
        <w:right w:val="none" w:sz="0" w:space="0" w:color="auto"/>
      </w:divBdr>
    </w:div>
    <w:div w:id="100154089">
      <w:bodyDiv w:val="1"/>
      <w:marLeft w:val="0"/>
      <w:marRight w:val="0"/>
      <w:marTop w:val="0"/>
      <w:marBottom w:val="0"/>
      <w:divBdr>
        <w:top w:val="none" w:sz="0" w:space="0" w:color="auto"/>
        <w:left w:val="none" w:sz="0" w:space="0" w:color="auto"/>
        <w:bottom w:val="none" w:sz="0" w:space="0" w:color="auto"/>
        <w:right w:val="none" w:sz="0" w:space="0" w:color="auto"/>
      </w:divBdr>
    </w:div>
    <w:div w:id="1361123123">
      <w:bodyDiv w:val="1"/>
      <w:marLeft w:val="0"/>
      <w:marRight w:val="0"/>
      <w:marTop w:val="0"/>
      <w:marBottom w:val="0"/>
      <w:divBdr>
        <w:top w:val="none" w:sz="0" w:space="0" w:color="auto"/>
        <w:left w:val="none" w:sz="0" w:space="0" w:color="auto"/>
        <w:bottom w:val="none" w:sz="0" w:space="0" w:color="auto"/>
        <w:right w:val="none" w:sz="0" w:space="0" w:color="auto"/>
      </w:divBdr>
      <w:divsChild>
        <w:div w:id="1949965613">
          <w:marLeft w:val="0"/>
          <w:marRight w:val="0"/>
          <w:marTop w:val="0"/>
          <w:marBottom w:val="0"/>
          <w:divBdr>
            <w:top w:val="none" w:sz="0" w:space="0" w:color="auto"/>
            <w:left w:val="none" w:sz="0" w:space="0" w:color="auto"/>
            <w:bottom w:val="none" w:sz="0" w:space="0" w:color="auto"/>
            <w:right w:val="none" w:sz="0" w:space="0" w:color="auto"/>
          </w:divBdr>
        </w:div>
      </w:divsChild>
    </w:div>
    <w:div w:id="1598053308">
      <w:bodyDiv w:val="1"/>
      <w:marLeft w:val="0"/>
      <w:marRight w:val="0"/>
      <w:marTop w:val="0"/>
      <w:marBottom w:val="0"/>
      <w:divBdr>
        <w:top w:val="none" w:sz="0" w:space="0" w:color="auto"/>
        <w:left w:val="none" w:sz="0" w:space="0" w:color="auto"/>
        <w:bottom w:val="none" w:sz="0" w:space="0" w:color="auto"/>
        <w:right w:val="none" w:sz="0" w:space="0" w:color="auto"/>
      </w:divBdr>
      <w:divsChild>
        <w:div w:id="1774859103">
          <w:marLeft w:val="0"/>
          <w:marRight w:val="0"/>
          <w:marTop w:val="0"/>
          <w:marBottom w:val="0"/>
          <w:divBdr>
            <w:top w:val="none" w:sz="0" w:space="0" w:color="auto"/>
            <w:left w:val="none" w:sz="0" w:space="0" w:color="auto"/>
            <w:bottom w:val="none" w:sz="0" w:space="0" w:color="auto"/>
            <w:right w:val="none" w:sz="0" w:space="0" w:color="auto"/>
          </w:divBdr>
        </w:div>
      </w:divsChild>
    </w:div>
    <w:div w:id="1867402171">
      <w:bodyDiv w:val="1"/>
      <w:marLeft w:val="0"/>
      <w:marRight w:val="0"/>
      <w:marTop w:val="0"/>
      <w:marBottom w:val="0"/>
      <w:divBdr>
        <w:top w:val="none" w:sz="0" w:space="0" w:color="auto"/>
        <w:left w:val="none" w:sz="0" w:space="0" w:color="auto"/>
        <w:bottom w:val="none" w:sz="0" w:space="0" w:color="auto"/>
        <w:right w:val="none" w:sz="0" w:space="0" w:color="auto"/>
      </w:divBdr>
    </w:div>
    <w:div w:id="18837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naut.com/" TargetMode="External"/><Relationship Id="rId13" Type="http://schemas.openxmlformats.org/officeDocument/2006/relationships/hyperlink" Target="https://gdpr-info.e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ter9.com/" TargetMode="External"/><Relationship Id="rId17" Type="http://schemas.openxmlformats.org/officeDocument/2006/relationships/hyperlink" Target="https://lawreform.nsw.gov.au/documents/Publications/Other-Publications/Research-Reports/RR15.pdf" TargetMode="External"/><Relationship Id="rId2" Type="http://schemas.openxmlformats.org/officeDocument/2006/relationships/numbering" Target="numbering.xml"/><Relationship Id="rId16" Type="http://schemas.openxmlformats.org/officeDocument/2006/relationships/hyperlink" Target="https://support.google.com/accounts/answer/3036546?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december.net/" TargetMode="External"/><Relationship Id="rId5" Type="http://schemas.openxmlformats.org/officeDocument/2006/relationships/webSettings" Target="webSettings.xml"/><Relationship Id="rId15" Type="http://schemas.openxmlformats.org/officeDocument/2006/relationships/hyperlink" Target="https://help.instagram.com/231764660354188?helpref=faq_content" TargetMode="External"/><Relationship Id="rId10" Type="http://schemas.openxmlformats.org/officeDocument/2006/relationships/hyperlink" Target="https://replik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ternime.breezy.hr/" TargetMode="External"/><Relationship Id="rId14" Type="http://schemas.openxmlformats.org/officeDocument/2006/relationships/hyperlink" Target="https://www.facebook.com/help/1568013990080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28AFF-B7C6-495C-B8B4-7B2FBE62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1377</Words>
  <Characters>8141</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Ellisia Taylor</dc:creator>
  <cp:keywords/>
  <dc:description/>
  <cp:lastModifiedBy>Marie Hadley</cp:lastModifiedBy>
  <cp:revision>25</cp:revision>
  <dcterms:created xsi:type="dcterms:W3CDTF">2025-01-07T06:59:00Z</dcterms:created>
  <dcterms:modified xsi:type="dcterms:W3CDTF">2025-01-14T02:43:00Z</dcterms:modified>
</cp:coreProperties>
</file>