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5FABA" w14:textId="7C379F40" w:rsidR="00C61C03" w:rsidRPr="000F4DB2" w:rsidRDefault="007D707C">
      <w:pPr>
        <w:rPr>
          <w:rFonts w:ascii="Arial" w:hAnsi="Arial" w:cs="Arial"/>
          <w:b/>
          <w:bCs/>
          <w:sz w:val="24"/>
          <w:szCs w:val="24"/>
          <w:lang w:val="en-US"/>
        </w:rPr>
      </w:pPr>
      <w:r w:rsidRPr="000F4DB2">
        <w:rPr>
          <w:rFonts w:ascii="Arial" w:hAnsi="Arial" w:cs="Arial"/>
          <w:b/>
          <w:bCs/>
          <w:sz w:val="24"/>
          <w:szCs w:val="24"/>
          <w:lang w:val="en-US"/>
        </w:rPr>
        <w:t xml:space="preserve">6 </w:t>
      </w:r>
      <w:r w:rsidR="00F65274" w:rsidRPr="000F4DB2">
        <w:rPr>
          <w:rFonts w:ascii="Arial" w:hAnsi="Arial" w:cs="Arial"/>
          <w:b/>
          <w:bCs/>
          <w:sz w:val="24"/>
          <w:szCs w:val="24"/>
          <w:lang w:val="en-US"/>
        </w:rPr>
        <w:t xml:space="preserve">Digital </w:t>
      </w:r>
      <w:r w:rsidR="00A67D40" w:rsidRPr="000F4DB2">
        <w:rPr>
          <w:rFonts w:ascii="Arial" w:hAnsi="Arial" w:cs="Arial"/>
          <w:b/>
          <w:bCs/>
          <w:sz w:val="24"/>
          <w:szCs w:val="24"/>
          <w:lang w:val="en-US"/>
        </w:rPr>
        <w:t>Products</w:t>
      </w:r>
    </w:p>
    <w:p w14:paraId="243ADF5D" w14:textId="7650B59B" w:rsidR="00171974" w:rsidRPr="000F4DB2" w:rsidRDefault="00A67D40">
      <w:pPr>
        <w:rPr>
          <w:rFonts w:ascii="Arial" w:hAnsi="Arial" w:cs="Arial"/>
          <w:b/>
          <w:bCs/>
          <w:sz w:val="24"/>
          <w:szCs w:val="24"/>
          <w:lang w:val="en-US"/>
        </w:rPr>
      </w:pPr>
      <w:r w:rsidRPr="000F4DB2">
        <w:rPr>
          <w:rFonts w:ascii="Arial" w:hAnsi="Arial" w:cs="Arial"/>
          <w:b/>
          <w:bCs/>
          <w:sz w:val="24"/>
          <w:szCs w:val="24"/>
          <w:lang w:val="en-US"/>
        </w:rPr>
        <w:t xml:space="preserve">What is a </w:t>
      </w:r>
      <w:r w:rsidR="00171974" w:rsidRPr="000F4DB2">
        <w:rPr>
          <w:rFonts w:ascii="Arial" w:hAnsi="Arial" w:cs="Arial"/>
          <w:b/>
          <w:bCs/>
          <w:sz w:val="24"/>
          <w:szCs w:val="24"/>
          <w:lang w:val="en-US"/>
        </w:rPr>
        <w:t xml:space="preserve">Digital </w:t>
      </w:r>
      <w:r w:rsidRPr="000F4DB2">
        <w:rPr>
          <w:rFonts w:ascii="Arial" w:hAnsi="Arial" w:cs="Arial"/>
          <w:b/>
          <w:bCs/>
          <w:sz w:val="24"/>
          <w:szCs w:val="24"/>
          <w:lang w:val="en-US"/>
        </w:rPr>
        <w:t>Product?</w:t>
      </w:r>
    </w:p>
    <w:p w14:paraId="00A8F00E" w14:textId="11902413" w:rsidR="00976104" w:rsidRPr="000F4DB2" w:rsidRDefault="00171974" w:rsidP="00171974">
      <w:pPr>
        <w:jc w:val="both"/>
        <w:rPr>
          <w:rFonts w:ascii="Arial" w:hAnsi="Arial" w:cs="Arial"/>
          <w:sz w:val="24"/>
          <w:szCs w:val="24"/>
          <w:lang w:val="en-US"/>
        </w:rPr>
      </w:pPr>
      <w:r w:rsidRPr="000F4DB2">
        <w:rPr>
          <w:rFonts w:ascii="Arial" w:hAnsi="Arial" w:cs="Arial"/>
          <w:sz w:val="24"/>
          <w:szCs w:val="24"/>
          <w:lang w:val="en-US"/>
        </w:rPr>
        <w:t xml:space="preserve">The term digital </w:t>
      </w:r>
      <w:r w:rsidR="00A67D40" w:rsidRPr="000F4DB2">
        <w:rPr>
          <w:rFonts w:ascii="Arial" w:hAnsi="Arial" w:cs="Arial"/>
          <w:sz w:val="24"/>
          <w:szCs w:val="24"/>
          <w:lang w:val="en-US"/>
        </w:rPr>
        <w:t>product</w:t>
      </w:r>
      <w:r w:rsidRPr="000F4DB2">
        <w:rPr>
          <w:rFonts w:ascii="Arial" w:hAnsi="Arial" w:cs="Arial"/>
          <w:sz w:val="24"/>
          <w:szCs w:val="24"/>
          <w:lang w:val="en-US"/>
        </w:rPr>
        <w:t xml:space="preserve"> encompasses any </w:t>
      </w:r>
      <w:r w:rsidR="001224F9" w:rsidRPr="000F4DB2">
        <w:rPr>
          <w:rFonts w:ascii="Arial" w:hAnsi="Arial" w:cs="Arial"/>
          <w:sz w:val="24"/>
          <w:szCs w:val="24"/>
          <w:lang w:val="en-US"/>
        </w:rPr>
        <w:t>item on the internet that can only be accessed via a technological device</w:t>
      </w:r>
      <w:r w:rsidR="00E26692" w:rsidRPr="000F4DB2">
        <w:rPr>
          <w:rFonts w:ascii="Arial" w:hAnsi="Arial" w:cs="Arial"/>
          <w:sz w:val="24"/>
          <w:szCs w:val="24"/>
          <w:lang w:val="en-US"/>
        </w:rPr>
        <w:t>, that the user has ‘earned’ the right to use through a transaction, usually financial</w:t>
      </w:r>
      <w:r w:rsidR="001224F9" w:rsidRPr="000F4DB2">
        <w:rPr>
          <w:rFonts w:ascii="Arial" w:hAnsi="Arial" w:cs="Arial"/>
          <w:sz w:val="24"/>
          <w:szCs w:val="24"/>
          <w:lang w:val="en-US"/>
        </w:rPr>
        <w:t>.</w:t>
      </w:r>
      <w:r w:rsidR="00E26692" w:rsidRPr="000F4DB2">
        <w:rPr>
          <w:rStyle w:val="FootnoteReference"/>
          <w:rFonts w:ascii="Arial" w:hAnsi="Arial" w:cs="Arial"/>
          <w:sz w:val="24"/>
          <w:szCs w:val="24"/>
          <w:lang w:val="en-US"/>
        </w:rPr>
        <w:footnoteReference w:id="1"/>
      </w:r>
      <w:r w:rsidR="001224F9" w:rsidRPr="000F4DB2">
        <w:rPr>
          <w:rFonts w:ascii="Arial" w:hAnsi="Arial" w:cs="Arial"/>
          <w:sz w:val="24"/>
          <w:szCs w:val="24"/>
          <w:lang w:val="en-US"/>
        </w:rPr>
        <w:t xml:space="preserve"> Examples include e-books, video game files and movie</w:t>
      </w:r>
      <w:r w:rsidR="00E26692" w:rsidRPr="000F4DB2">
        <w:rPr>
          <w:rFonts w:ascii="Arial" w:hAnsi="Arial" w:cs="Arial"/>
          <w:sz w:val="24"/>
          <w:szCs w:val="24"/>
          <w:lang w:val="en-US"/>
        </w:rPr>
        <w:t xml:space="preserve"> downloads. </w:t>
      </w:r>
      <w:r w:rsidR="003B2E87" w:rsidRPr="000F4DB2">
        <w:rPr>
          <w:rFonts w:ascii="Arial" w:hAnsi="Arial" w:cs="Arial"/>
          <w:sz w:val="24"/>
          <w:szCs w:val="24"/>
          <w:lang w:val="en-US"/>
        </w:rPr>
        <w:t xml:space="preserve">Consumers may assume </w:t>
      </w:r>
      <w:r w:rsidR="003F5AB4" w:rsidRPr="000F4DB2">
        <w:rPr>
          <w:rFonts w:ascii="Arial" w:hAnsi="Arial" w:cs="Arial"/>
          <w:sz w:val="24"/>
          <w:szCs w:val="24"/>
          <w:lang w:val="en-US"/>
        </w:rPr>
        <w:t xml:space="preserve">that purchasing an e-book on a website affords the same rights as purchasing a physical book on a website, but </w:t>
      </w:r>
      <w:r w:rsidR="003B2E87" w:rsidRPr="000F4DB2">
        <w:rPr>
          <w:rFonts w:ascii="Arial" w:hAnsi="Arial" w:cs="Arial"/>
          <w:sz w:val="24"/>
          <w:szCs w:val="24"/>
          <w:lang w:val="en-US"/>
        </w:rPr>
        <w:t xml:space="preserve">this is not always the case. </w:t>
      </w:r>
    </w:p>
    <w:p w14:paraId="61202F59" w14:textId="2F3BCD2C" w:rsidR="0099474F" w:rsidRPr="000F4DB2" w:rsidRDefault="00171974">
      <w:pPr>
        <w:rPr>
          <w:rFonts w:ascii="Arial" w:hAnsi="Arial" w:cs="Arial"/>
          <w:b/>
          <w:bCs/>
          <w:sz w:val="24"/>
          <w:szCs w:val="24"/>
          <w:lang w:val="en-US"/>
        </w:rPr>
      </w:pPr>
      <w:r w:rsidRPr="000F4DB2">
        <w:rPr>
          <w:rFonts w:ascii="Arial" w:hAnsi="Arial" w:cs="Arial"/>
          <w:b/>
          <w:bCs/>
          <w:sz w:val="24"/>
          <w:szCs w:val="24"/>
          <w:lang w:val="en-US"/>
        </w:rPr>
        <w:t>Terms and Conditions</w:t>
      </w:r>
    </w:p>
    <w:p w14:paraId="69D1F035" w14:textId="766FAEA7" w:rsidR="00171974" w:rsidRPr="000F4DB2" w:rsidRDefault="00171974" w:rsidP="002A7DFE">
      <w:pPr>
        <w:jc w:val="both"/>
        <w:rPr>
          <w:rFonts w:ascii="Arial" w:hAnsi="Arial" w:cs="Arial"/>
          <w:sz w:val="24"/>
          <w:szCs w:val="24"/>
          <w:lang w:val="en-US"/>
        </w:rPr>
      </w:pPr>
      <w:r w:rsidRPr="000F4DB2">
        <w:rPr>
          <w:rFonts w:ascii="Arial" w:hAnsi="Arial" w:cs="Arial"/>
          <w:sz w:val="24"/>
          <w:szCs w:val="24"/>
          <w:lang w:val="en-US"/>
        </w:rPr>
        <w:t xml:space="preserve">When purchasing digital </w:t>
      </w:r>
      <w:r w:rsidR="00A67D40" w:rsidRPr="000F4DB2">
        <w:rPr>
          <w:rFonts w:ascii="Arial" w:hAnsi="Arial" w:cs="Arial"/>
          <w:sz w:val="24"/>
          <w:szCs w:val="24"/>
          <w:lang w:val="en-US"/>
        </w:rPr>
        <w:t>products</w:t>
      </w:r>
      <w:r w:rsidR="00DE77FA" w:rsidRPr="000F4DB2">
        <w:rPr>
          <w:rFonts w:ascii="Arial" w:hAnsi="Arial" w:cs="Arial"/>
          <w:sz w:val="24"/>
          <w:szCs w:val="24"/>
          <w:lang w:val="en-US"/>
        </w:rPr>
        <w:t xml:space="preserve">, the rights of the consumer are dictated by the terms and </w:t>
      </w:r>
      <w:r w:rsidR="002A7DFE" w:rsidRPr="000F4DB2">
        <w:rPr>
          <w:rFonts w:ascii="Arial" w:hAnsi="Arial" w:cs="Arial"/>
          <w:sz w:val="24"/>
          <w:szCs w:val="24"/>
          <w:lang w:val="en-US"/>
        </w:rPr>
        <w:t xml:space="preserve">conditions </w:t>
      </w:r>
      <w:r w:rsidR="2091034C" w:rsidRPr="000F4DB2">
        <w:rPr>
          <w:rFonts w:ascii="Arial" w:hAnsi="Arial" w:cs="Arial"/>
          <w:sz w:val="24"/>
          <w:szCs w:val="24"/>
          <w:lang w:val="en-US"/>
        </w:rPr>
        <w:t xml:space="preserve">of </w:t>
      </w:r>
      <w:r w:rsidR="00DE77FA" w:rsidRPr="000F4DB2">
        <w:rPr>
          <w:rFonts w:ascii="Arial" w:hAnsi="Arial" w:cs="Arial"/>
          <w:sz w:val="24"/>
          <w:szCs w:val="24"/>
          <w:lang w:val="en-US"/>
        </w:rPr>
        <w:t>the platform selling the product.</w:t>
      </w:r>
      <w:r w:rsidR="002A7DFE" w:rsidRPr="000F4DB2">
        <w:rPr>
          <w:rStyle w:val="FootnoteReference"/>
          <w:rFonts w:ascii="Arial" w:hAnsi="Arial" w:cs="Arial"/>
          <w:sz w:val="24"/>
          <w:szCs w:val="24"/>
          <w:lang w:val="en-US"/>
        </w:rPr>
        <w:footnoteReference w:id="2"/>
      </w:r>
      <w:r w:rsidR="00DE77FA" w:rsidRPr="000F4DB2">
        <w:rPr>
          <w:rFonts w:ascii="Arial" w:hAnsi="Arial" w:cs="Arial"/>
          <w:sz w:val="24"/>
          <w:szCs w:val="24"/>
          <w:lang w:val="en-US"/>
        </w:rPr>
        <w:t xml:space="preserve"> As these </w:t>
      </w:r>
      <w:r w:rsidR="002A7DFE" w:rsidRPr="000F4DB2">
        <w:rPr>
          <w:rFonts w:ascii="Arial" w:hAnsi="Arial" w:cs="Arial"/>
          <w:sz w:val="24"/>
          <w:szCs w:val="24"/>
          <w:lang w:val="en-US"/>
        </w:rPr>
        <w:t xml:space="preserve">transactions are </w:t>
      </w:r>
      <w:r w:rsidR="009F2C13">
        <w:rPr>
          <w:rFonts w:ascii="Arial" w:hAnsi="Arial" w:cs="Arial"/>
          <w:sz w:val="24"/>
          <w:szCs w:val="24"/>
          <w:lang w:val="en-US"/>
        </w:rPr>
        <w:t>typically</w:t>
      </w:r>
      <w:r w:rsidR="00BB66B0">
        <w:rPr>
          <w:rFonts w:ascii="Arial" w:hAnsi="Arial" w:cs="Arial"/>
          <w:sz w:val="24"/>
          <w:szCs w:val="24"/>
          <w:lang w:val="en-US"/>
        </w:rPr>
        <w:t xml:space="preserve"> concluded by </w:t>
      </w:r>
      <w:r w:rsidR="002A7DFE" w:rsidRPr="000F4DB2">
        <w:rPr>
          <w:rFonts w:ascii="Arial" w:hAnsi="Arial" w:cs="Arial"/>
          <w:sz w:val="24"/>
          <w:szCs w:val="24"/>
          <w:lang w:val="en-US"/>
        </w:rPr>
        <w:t>browse-wrap or click-wrap</w:t>
      </w:r>
      <w:r w:rsidR="00BB66B0">
        <w:rPr>
          <w:rFonts w:ascii="Arial" w:hAnsi="Arial" w:cs="Arial"/>
          <w:sz w:val="24"/>
          <w:szCs w:val="24"/>
          <w:lang w:val="en-US"/>
        </w:rPr>
        <w:t xml:space="preserve"> methods</w:t>
      </w:r>
      <w:r w:rsidR="002A7DFE" w:rsidRPr="000F4DB2">
        <w:rPr>
          <w:rFonts w:ascii="Arial" w:hAnsi="Arial" w:cs="Arial"/>
          <w:sz w:val="24"/>
          <w:szCs w:val="24"/>
          <w:lang w:val="en-US"/>
        </w:rPr>
        <w:t>, it</w:t>
      </w:r>
      <w:r w:rsidR="009F2C13">
        <w:rPr>
          <w:rFonts w:ascii="Arial" w:hAnsi="Arial" w:cs="Arial"/>
          <w:sz w:val="24"/>
          <w:szCs w:val="24"/>
          <w:lang w:val="en-US"/>
        </w:rPr>
        <w:t xml:space="preserve"> is</w:t>
      </w:r>
      <w:r w:rsidR="002A7DFE" w:rsidRPr="000F4DB2">
        <w:rPr>
          <w:rFonts w:ascii="Arial" w:hAnsi="Arial" w:cs="Arial"/>
          <w:sz w:val="24"/>
          <w:szCs w:val="24"/>
          <w:lang w:val="en-US"/>
        </w:rPr>
        <w:t xml:space="preserve"> difficult to contest problems that may arise</w:t>
      </w:r>
      <w:r w:rsidR="00BB66B0">
        <w:rPr>
          <w:rFonts w:ascii="Arial" w:hAnsi="Arial" w:cs="Arial"/>
          <w:sz w:val="24"/>
          <w:szCs w:val="24"/>
          <w:lang w:val="en-US"/>
        </w:rPr>
        <w:t xml:space="preserve"> as there is no option to negotiate the terms and conditions.</w:t>
      </w:r>
      <w:r w:rsidR="009F2C13" w:rsidRPr="009F2C13">
        <w:rPr>
          <w:rFonts w:ascii="Arial" w:hAnsi="Arial" w:cs="Arial"/>
          <w:sz w:val="24"/>
          <w:szCs w:val="24"/>
          <w:lang w:val="en-US"/>
        </w:rPr>
        <w:t xml:space="preserve"> </w:t>
      </w:r>
      <w:r w:rsidR="009F2C13">
        <w:rPr>
          <w:rFonts w:ascii="Arial" w:hAnsi="Arial" w:cs="Arial"/>
          <w:sz w:val="24"/>
          <w:szCs w:val="24"/>
          <w:lang w:val="en-US"/>
        </w:rPr>
        <w:t>Australian courts have confirmed that i</w:t>
      </w:r>
      <w:r w:rsidR="009F2C13" w:rsidRPr="000F4DB2">
        <w:rPr>
          <w:rFonts w:ascii="Arial" w:hAnsi="Arial" w:cs="Arial"/>
          <w:sz w:val="24"/>
          <w:szCs w:val="24"/>
          <w:lang w:val="en-US"/>
        </w:rPr>
        <w:t xml:space="preserve">t is the responsibility of the signatory to be </w:t>
      </w:r>
      <w:r w:rsidR="220428FE" w:rsidRPr="000F4DB2">
        <w:rPr>
          <w:rFonts w:ascii="Arial" w:hAnsi="Arial" w:cs="Arial"/>
          <w:sz w:val="24"/>
          <w:szCs w:val="24"/>
          <w:lang w:val="en-US"/>
        </w:rPr>
        <w:t xml:space="preserve">aware </w:t>
      </w:r>
      <w:r w:rsidR="009F2C13" w:rsidRPr="000F4DB2">
        <w:rPr>
          <w:rFonts w:ascii="Arial" w:hAnsi="Arial" w:cs="Arial"/>
          <w:sz w:val="24"/>
          <w:szCs w:val="24"/>
          <w:lang w:val="en-US"/>
        </w:rPr>
        <w:t>of a website’s terms and conditions when making a</w:t>
      </w:r>
      <w:r w:rsidR="009F2C13">
        <w:rPr>
          <w:rFonts w:ascii="Arial" w:hAnsi="Arial" w:cs="Arial"/>
          <w:sz w:val="24"/>
          <w:szCs w:val="24"/>
          <w:lang w:val="en-US"/>
        </w:rPr>
        <w:t>n online</w:t>
      </w:r>
      <w:r w:rsidR="009F2C13" w:rsidRPr="000F4DB2">
        <w:rPr>
          <w:rFonts w:ascii="Arial" w:hAnsi="Arial" w:cs="Arial"/>
          <w:sz w:val="24"/>
          <w:szCs w:val="24"/>
          <w:lang w:val="en-US"/>
        </w:rPr>
        <w:t xml:space="preserve"> purchase.</w:t>
      </w:r>
    </w:p>
    <w:p w14:paraId="79988577" w14:textId="3A745BD9" w:rsidR="002A7DFE" w:rsidRPr="000F4DB2" w:rsidRDefault="002A7DFE" w:rsidP="002A7DFE">
      <w:pPr>
        <w:jc w:val="both"/>
        <w:rPr>
          <w:rFonts w:ascii="Arial" w:hAnsi="Arial" w:cs="Arial"/>
          <w:b/>
          <w:bCs/>
          <w:sz w:val="24"/>
          <w:szCs w:val="24"/>
          <w:lang w:val="en-US"/>
        </w:rPr>
      </w:pPr>
      <w:r w:rsidRPr="000F4DB2">
        <w:rPr>
          <w:rFonts w:ascii="Arial" w:hAnsi="Arial" w:cs="Arial"/>
          <w:b/>
          <w:bCs/>
          <w:sz w:val="24"/>
          <w:szCs w:val="24"/>
          <w:lang w:val="en-US"/>
        </w:rPr>
        <w:t>Example: Microsoft Store’s book category closure</w:t>
      </w:r>
    </w:p>
    <w:p w14:paraId="66F81E7A" w14:textId="4B18D840" w:rsidR="002A7DFE" w:rsidRDefault="00653597" w:rsidP="002A7DFE">
      <w:pPr>
        <w:jc w:val="both"/>
        <w:rPr>
          <w:rFonts w:ascii="Arial" w:hAnsi="Arial" w:cs="Arial"/>
          <w:sz w:val="24"/>
          <w:szCs w:val="24"/>
          <w:lang w:val="en-US"/>
        </w:rPr>
      </w:pPr>
      <w:r w:rsidRPr="50C69123">
        <w:rPr>
          <w:rFonts w:ascii="Arial" w:hAnsi="Arial" w:cs="Arial"/>
          <w:sz w:val="24"/>
          <w:szCs w:val="24"/>
          <w:lang w:val="en-US"/>
        </w:rPr>
        <w:t xml:space="preserve">In </w:t>
      </w:r>
      <w:r w:rsidR="000144CF" w:rsidRPr="50C69123">
        <w:rPr>
          <w:rFonts w:ascii="Arial" w:hAnsi="Arial" w:cs="Arial"/>
          <w:sz w:val="24"/>
          <w:szCs w:val="24"/>
          <w:lang w:val="en-US"/>
        </w:rPr>
        <w:t>April</w:t>
      </w:r>
      <w:r w:rsidRPr="50C69123">
        <w:rPr>
          <w:rFonts w:ascii="Arial" w:hAnsi="Arial" w:cs="Arial"/>
          <w:sz w:val="24"/>
          <w:szCs w:val="24"/>
          <w:lang w:val="en-US"/>
        </w:rPr>
        <w:t xml:space="preserve"> 2019, Microsoft </w:t>
      </w:r>
      <w:hyperlink r:id="rId8">
        <w:r w:rsidR="000144CF" w:rsidRPr="50C69123">
          <w:rPr>
            <w:rStyle w:val="Hyperlink"/>
            <w:rFonts w:ascii="Arial" w:hAnsi="Arial" w:cs="Arial"/>
            <w:sz w:val="24"/>
            <w:szCs w:val="24"/>
            <w:lang w:val="en-US"/>
          </w:rPr>
          <w:t>closed the book category of its online store</w:t>
        </w:r>
      </w:hyperlink>
      <w:r w:rsidR="000144CF" w:rsidRPr="50C69123">
        <w:rPr>
          <w:rFonts w:ascii="Arial" w:hAnsi="Arial" w:cs="Arial"/>
          <w:sz w:val="24"/>
          <w:szCs w:val="24"/>
          <w:lang w:val="en-US"/>
        </w:rPr>
        <w:t xml:space="preserve">. </w:t>
      </w:r>
      <w:r w:rsidR="000A4965" w:rsidRPr="50C69123">
        <w:rPr>
          <w:rFonts w:ascii="Arial" w:hAnsi="Arial" w:cs="Arial"/>
          <w:sz w:val="24"/>
          <w:szCs w:val="24"/>
          <w:lang w:val="en-US"/>
        </w:rPr>
        <w:t>As well as preventing future sales, this closure affected previous sales.</w:t>
      </w:r>
      <w:r w:rsidR="000144CF" w:rsidRPr="50C69123">
        <w:rPr>
          <w:rFonts w:ascii="Arial" w:hAnsi="Arial" w:cs="Arial"/>
          <w:sz w:val="24"/>
          <w:szCs w:val="24"/>
          <w:lang w:val="en-US"/>
        </w:rPr>
        <w:t xml:space="preserve"> From July 2019,</w:t>
      </w:r>
      <w:r w:rsidRPr="50C69123">
        <w:rPr>
          <w:rFonts w:ascii="Arial" w:hAnsi="Arial" w:cs="Arial"/>
          <w:sz w:val="24"/>
          <w:szCs w:val="24"/>
          <w:lang w:val="en-US"/>
        </w:rPr>
        <w:t xml:space="preserve"> </w:t>
      </w:r>
      <w:r w:rsidR="000144CF" w:rsidRPr="50C69123">
        <w:rPr>
          <w:rFonts w:ascii="Arial" w:hAnsi="Arial" w:cs="Arial"/>
          <w:sz w:val="24"/>
          <w:szCs w:val="24"/>
          <w:lang w:val="en-US"/>
        </w:rPr>
        <w:t>purchased e-books</w:t>
      </w:r>
      <w:r w:rsidRPr="50C69123">
        <w:rPr>
          <w:rFonts w:ascii="Arial" w:hAnsi="Arial" w:cs="Arial"/>
          <w:sz w:val="24"/>
          <w:szCs w:val="24"/>
          <w:lang w:val="en-US"/>
        </w:rPr>
        <w:t xml:space="preserve"> </w:t>
      </w:r>
      <w:r w:rsidR="000144CF" w:rsidRPr="50C69123">
        <w:rPr>
          <w:rFonts w:ascii="Arial" w:hAnsi="Arial" w:cs="Arial"/>
          <w:sz w:val="24"/>
          <w:szCs w:val="24"/>
          <w:lang w:val="en-US"/>
        </w:rPr>
        <w:t xml:space="preserve">were permanently removed </w:t>
      </w:r>
      <w:r w:rsidRPr="50C69123">
        <w:rPr>
          <w:rFonts w:ascii="Arial" w:hAnsi="Arial" w:cs="Arial"/>
          <w:sz w:val="24"/>
          <w:szCs w:val="24"/>
          <w:lang w:val="en-US"/>
        </w:rPr>
        <w:t>from</w:t>
      </w:r>
      <w:r w:rsidR="00317024" w:rsidRPr="50C69123">
        <w:rPr>
          <w:rFonts w:ascii="Arial" w:hAnsi="Arial" w:cs="Arial"/>
          <w:sz w:val="24"/>
          <w:szCs w:val="24"/>
          <w:lang w:val="en-US"/>
        </w:rPr>
        <w:t xml:space="preserve"> consumer</w:t>
      </w:r>
      <w:r w:rsidR="00A67D40" w:rsidRPr="50C69123">
        <w:rPr>
          <w:rFonts w:ascii="Arial" w:hAnsi="Arial" w:cs="Arial"/>
          <w:sz w:val="24"/>
          <w:szCs w:val="24"/>
          <w:lang w:val="en-US"/>
        </w:rPr>
        <w:t>’</w:t>
      </w:r>
      <w:r w:rsidR="00317024" w:rsidRPr="50C69123">
        <w:rPr>
          <w:rFonts w:ascii="Arial" w:hAnsi="Arial" w:cs="Arial"/>
          <w:sz w:val="24"/>
          <w:szCs w:val="24"/>
          <w:lang w:val="en-US"/>
        </w:rPr>
        <w:t xml:space="preserve">s devices. </w:t>
      </w:r>
      <w:r w:rsidR="006A1709" w:rsidRPr="50C69123">
        <w:rPr>
          <w:rFonts w:ascii="Arial" w:hAnsi="Arial" w:cs="Arial"/>
          <w:sz w:val="24"/>
          <w:szCs w:val="24"/>
          <w:lang w:val="en-US"/>
        </w:rPr>
        <w:t xml:space="preserve">The decision sparked conversation about what ownership means in the context of digital </w:t>
      </w:r>
      <w:r w:rsidR="00A67D40" w:rsidRPr="50C69123">
        <w:rPr>
          <w:rFonts w:ascii="Arial" w:hAnsi="Arial" w:cs="Arial"/>
          <w:sz w:val="24"/>
          <w:szCs w:val="24"/>
          <w:lang w:val="en-US"/>
        </w:rPr>
        <w:t>product</w:t>
      </w:r>
      <w:r w:rsidR="006A1709" w:rsidRPr="50C69123">
        <w:rPr>
          <w:rFonts w:ascii="Arial" w:hAnsi="Arial" w:cs="Arial"/>
          <w:sz w:val="24"/>
          <w:szCs w:val="24"/>
          <w:lang w:val="en-US"/>
        </w:rPr>
        <w:t xml:space="preserve">s, and how much control consumers have over the products they </w:t>
      </w:r>
      <w:r w:rsidR="00525B72" w:rsidRPr="50C69123">
        <w:rPr>
          <w:rFonts w:ascii="Arial" w:hAnsi="Arial" w:cs="Arial"/>
          <w:sz w:val="24"/>
          <w:szCs w:val="24"/>
          <w:lang w:val="en-US"/>
        </w:rPr>
        <w:t xml:space="preserve">have purchased. </w:t>
      </w:r>
      <w:r w:rsidR="00E43110" w:rsidRPr="50C69123">
        <w:rPr>
          <w:rFonts w:ascii="Arial" w:hAnsi="Arial" w:cs="Arial"/>
          <w:sz w:val="24"/>
          <w:szCs w:val="24"/>
          <w:lang w:val="en-US"/>
        </w:rPr>
        <w:t>In the instance of Microsoft Store consumers</w:t>
      </w:r>
      <w:r w:rsidR="00525B72" w:rsidRPr="50C69123">
        <w:rPr>
          <w:rFonts w:ascii="Arial" w:hAnsi="Arial" w:cs="Arial"/>
          <w:sz w:val="24"/>
          <w:szCs w:val="24"/>
          <w:lang w:val="en-US"/>
        </w:rPr>
        <w:t xml:space="preserve">, </w:t>
      </w:r>
      <w:r w:rsidR="00E43110" w:rsidRPr="50C69123">
        <w:rPr>
          <w:rFonts w:ascii="Arial" w:hAnsi="Arial" w:cs="Arial"/>
          <w:sz w:val="24"/>
          <w:szCs w:val="24"/>
          <w:lang w:val="en-US"/>
        </w:rPr>
        <w:t xml:space="preserve">they were </w:t>
      </w:r>
      <w:r w:rsidR="006A1709" w:rsidRPr="50C69123">
        <w:rPr>
          <w:rFonts w:ascii="Arial" w:hAnsi="Arial" w:cs="Arial"/>
          <w:sz w:val="24"/>
          <w:szCs w:val="24"/>
          <w:lang w:val="en-US"/>
        </w:rPr>
        <w:t xml:space="preserve">licensees whose rights of use </w:t>
      </w:r>
      <w:r w:rsidR="2DDB9C12" w:rsidRPr="50C69123">
        <w:rPr>
          <w:rFonts w:ascii="Arial" w:hAnsi="Arial" w:cs="Arial"/>
          <w:sz w:val="24"/>
          <w:szCs w:val="24"/>
          <w:lang w:val="en-US"/>
        </w:rPr>
        <w:t xml:space="preserve">were </w:t>
      </w:r>
      <w:r w:rsidR="006A1709" w:rsidRPr="50C69123">
        <w:rPr>
          <w:rFonts w:ascii="Arial" w:hAnsi="Arial" w:cs="Arial"/>
          <w:sz w:val="24"/>
          <w:szCs w:val="24"/>
          <w:lang w:val="en-US"/>
        </w:rPr>
        <w:t xml:space="preserve">dictated by Microsoft. Unlike purchasing a novel from a physical or online bookstore, where the purchaser can use that book regardless of what happens to the vendor where it’s purchased, e-books are controlled by the vendor and can be removed from devices or even altered after being purchased. </w:t>
      </w:r>
      <w:r w:rsidR="00C61969" w:rsidRPr="50C69123">
        <w:rPr>
          <w:rFonts w:ascii="Arial" w:hAnsi="Arial" w:cs="Arial"/>
          <w:sz w:val="24"/>
          <w:szCs w:val="24"/>
          <w:lang w:val="en-US"/>
        </w:rPr>
        <w:t xml:space="preserve">This is despite the </w:t>
      </w:r>
      <w:r w:rsidR="00F06075" w:rsidRPr="50C69123">
        <w:rPr>
          <w:rFonts w:ascii="Arial" w:hAnsi="Arial" w:cs="Arial"/>
          <w:sz w:val="24"/>
          <w:szCs w:val="24"/>
          <w:lang w:val="en-US"/>
        </w:rPr>
        <w:t xml:space="preserve">fact that e-book transactions are completed with ‘buy now’ options, not ‘lease now’ options (see </w:t>
      </w:r>
      <w:hyperlink r:id="rId9">
        <w:r w:rsidR="00F06075" w:rsidRPr="50C69123">
          <w:rPr>
            <w:rStyle w:val="Hyperlink"/>
            <w:rFonts w:ascii="Arial" w:hAnsi="Arial" w:cs="Arial"/>
            <w:sz w:val="24"/>
            <w:szCs w:val="24"/>
            <w:lang w:val="en-US"/>
          </w:rPr>
          <w:t>Amazon's Kindle store</w:t>
        </w:r>
      </w:hyperlink>
      <w:r w:rsidR="00F06075" w:rsidRPr="50C69123">
        <w:rPr>
          <w:rFonts w:ascii="Arial" w:hAnsi="Arial" w:cs="Arial"/>
          <w:sz w:val="24"/>
          <w:szCs w:val="24"/>
          <w:lang w:val="en-US"/>
        </w:rPr>
        <w:t>).</w:t>
      </w:r>
    </w:p>
    <w:p w14:paraId="72EBEBF8" w14:textId="77777777" w:rsidR="00807F41" w:rsidRDefault="00807F41" w:rsidP="0079554A">
      <w:pPr>
        <w:jc w:val="both"/>
        <w:rPr>
          <w:rFonts w:ascii="Arial" w:hAnsi="Arial" w:cs="Arial"/>
          <w:b/>
          <w:bCs/>
          <w:sz w:val="24"/>
          <w:szCs w:val="24"/>
          <w:lang w:val="en-US"/>
        </w:rPr>
      </w:pPr>
      <w:r>
        <w:rPr>
          <w:rFonts w:ascii="Arial" w:hAnsi="Arial" w:cs="Arial"/>
          <w:b/>
          <w:bCs/>
          <w:sz w:val="24"/>
          <w:szCs w:val="24"/>
          <w:lang w:val="en-US"/>
        </w:rPr>
        <w:t>Consumer law and digital products</w:t>
      </w:r>
    </w:p>
    <w:p w14:paraId="2BB2557F" w14:textId="3FC72CBC" w:rsidR="00807F41" w:rsidRPr="00F676B9" w:rsidRDefault="00807F41" w:rsidP="0079554A">
      <w:pPr>
        <w:jc w:val="both"/>
        <w:rPr>
          <w:rFonts w:ascii="Arial" w:hAnsi="Arial" w:cs="Arial"/>
          <w:sz w:val="24"/>
          <w:szCs w:val="24"/>
          <w:lang w:val="en-US"/>
        </w:rPr>
      </w:pPr>
      <w:r>
        <w:rPr>
          <w:rFonts w:ascii="Arial" w:hAnsi="Arial" w:cs="Arial"/>
          <w:sz w:val="24"/>
          <w:szCs w:val="24"/>
          <w:lang w:val="en-US"/>
        </w:rPr>
        <w:t xml:space="preserve">The Australian Consumer Law </w:t>
      </w:r>
      <w:r w:rsidRPr="000F4DB2">
        <w:rPr>
          <w:rFonts w:ascii="Arial" w:hAnsi="Arial" w:cs="Arial"/>
          <w:sz w:val="24"/>
          <w:szCs w:val="24"/>
          <w:lang w:val="en-US"/>
        </w:rPr>
        <w:t>does not impose any obligations of sustained access to a purchased digital product.</w:t>
      </w:r>
      <w:r>
        <w:rPr>
          <w:rFonts w:ascii="Arial" w:hAnsi="Arial" w:cs="Arial"/>
          <w:sz w:val="24"/>
          <w:szCs w:val="24"/>
          <w:lang w:val="en-US"/>
        </w:rPr>
        <w:t xml:space="preserve"> </w:t>
      </w:r>
    </w:p>
    <w:p w14:paraId="157F53C2" w14:textId="732566A5" w:rsidR="00807F41" w:rsidRDefault="0079554A" w:rsidP="002039FF">
      <w:pPr>
        <w:jc w:val="both"/>
        <w:rPr>
          <w:rFonts w:ascii="Arial" w:hAnsi="Arial" w:cs="Arial"/>
          <w:sz w:val="24"/>
          <w:szCs w:val="24"/>
          <w:lang w:val="en-US"/>
        </w:rPr>
      </w:pPr>
      <w:r w:rsidRPr="000F4DB2">
        <w:rPr>
          <w:rFonts w:ascii="Arial" w:hAnsi="Arial" w:cs="Arial"/>
          <w:sz w:val="24"/>
          <w:szCs w:val="24"/>
          <w:lang w:val="en-US"/>
        </w:rPr>
        <w:t xml:space="preserve">The notion that users are licensing these digital products, rather than purchasing them, requires the </w:t>
      </w:r>
      <w:r w:rsidR="00F14F7D" w:rsidRPr="000F4DB2">
        <w:rPr>
          <w:rFonts w:ascii="Arial" w:hAnsi="Arial" w:cs="Arial"/>
          <w:sz w:val="24"/>
          <w:szCs w:val="24"/>
          <w:lang w:val="en-US"/>
        </w:rPr>
        <w:t xml:space="preserve">definitions of goods and services to be considered. </w:t>
      </w:r>
      <w:r w:rsidR="00807F41" w:rsidRPr="000F4DB2">
        <w:rPr>
          <w:rFonts w:ascii="Arial" w:hAnsi="Arial" w:cs="Arial"/>
          <w:sz w:val="24"/>
          <w:szCs w:val="24"/>
          <w:lang w:val="en-US"/>
        </w:rPr>
        <w:t xml:space="preserve">Consumer guarantees for goods are concerned with the quality and freedom of use of the good, whereas consumer guarantees for services are concerned with the duration and purpose of the </w:t>
      </w:r>
      <w:r w:rsidR="00807F41" w:rsidRPr="000F4DB2">
        <w:rPr>
          <w:rFonts w:ascii="Arial" w:hAnsi="Arial" w:cs="Arial"/>
          <w:sz w:val="24"/>
          <w:szCs w:val="24"/>
          <w:lang w:val="en-US"/>
        </w:rPr>
        <w:lastRenderedPageBreak/>
        <w:t>service.</w:t>
      </w:r>
      <w:r w:rsidR="00807F41" w:rsidRPr="000F4DB2">
        <w:rPr>
          <w:rStyle w:val="FootnoteReference"/>
          <w:rFonts w:ascii="Arial" w:hAnsi="Arial" w:cs="Arial"/>
          <w:sz w:val="24"/>
          <w:szCs w:val="24"/>
          <w:lang w:val="en-US"/>
        </w:rPr>
        <w:footnoteReference w:id="3"/>
      </w:r>
      <w:r w:rsidR="00777965">
        <w:rPr>
          <w:rFonts w:ascii="Arial" w:hAnsi="Arial" w:cs="Arial"/>
          <w:sz w:val="24"/>
          <w:szCs w:val="24"/>
          <w:lang w:val="en-US"/>
        </w:rPr>
        <w:t xml:space="preserve"> It is only if digital products are considered a good that there will be a consumer right to continued use of the digital product.</w:t>
      </w:r>
    </w:p>
    <w:p w14:paraId="13048740" w14:textId="697BCD74" w:rsidR="009E060A" w:rsidRDefault="00F14F7D" w:rsidP="002039FF">
      <w:pPr>
        <w:jc w:val="both"/>
        <w:rPr>
          <w:rFonts w:ascii="Arial" w:hAnsi="Arial" w:cs="Arial"/>
          <w:sz w:val="24"/>
          <w:szCs w:val="24"/>
          <w:lang w:val="en-US"/>
        </w:rPr>
      </w:pPr>
      <w:r w:rsidRPr="000F4DB2">
        <w:rPr>
          <w:rFonts w:ascii="Arial" w:hAnsi="Arial" w:cs="Arial"/>
          <w:sz w:val="24"/>
          <w:szCs w:val="24"/>
          <w:lang w:val="en-US"/>
        </w:rPr>
        <w:t>The Australian Consumer Law states that the term ‘goods’ is inclusive of</w:t>
      </w:r>
      <w:r w:rsidR="00444DEC" w:rsidRPr="000F4DB2">
        <w:rPr>
          <w:rFonts w:ascii="Arial" w:hAnsi="Arial" w:cs="Arial"/>
          <w:sz w:val="24"/>
          <w:szCs w:val="24"/>
          <w:lang w:val="en-US"/>
        </w:rPr>
        <w:t xml:space="preserve"> objects including</w:t>
      </w:r>
      <w:r w:rsidRPr="000F4DB2">
        <w:rPr>
          <w:rFonts w:ascii="Arial" w:hAnsi="Arial" w:cs="Arial"/>
          <w:sz w:val="24"/>
          <w:szCs w:val="24"/>
          <w:lang w:val="en-US"/>
        </w:rPr>
        <w:t xml:space="preserve"> computer software</w:t>
      </w:r>
      <w:r w:rsidR="002E0520">
        <w:rPr>
          <w:rFonts w:ascii="Arial" w:hAnsi="Arial" w:cs="Arial"/>
          <w:sz w:val="24"/>
          <w:szCs w:val="24"/>
          <w:lang w:val="en-US"/>
        </w:rPr>
        <w:t>.</w:t>
      </w:r>
      <w:r w:rsidR="00364FBE" w:rsidRPr="000F4DB2">
        <w:rPr>
          <w:rStyle w:val="FootnoteReference"/>
          <w:rFonts w:ascii="Arial" w:hAnsi="Arial" w:cs="Arial"/>
          <w:sz w:val="24"/>
          <w:szCs w:val="24"/>
          <w:lang w:val="en-US"/>
        </w:rPr>
        <w:footnoteReference w:id="4"/>
      </w:r>
      <w:r w:rsidR="00917F0C" w:rsidRPr="000F4DB2">
        <w:rPr>
          <w:rFonts w:ascii="Arial" w:hAnsi="Arial" w:cs="Arial"/>
          <w:sz w:val="24"/>
          <w:szCs w:val="24"/>
          <w:lang w:val="en-US"/>
        </w:rPr>
        <w:t xml:space="preserve"> </w:t>
      </w:r>
      <w:r w:rsidR="002039FF" w:rsidRPr="000F4DB2">
        <w:rPr>
          <w:rFonts w:ascii="Arial" w:hAnsi="Arial" w:cs="Arial"/>
          <w:sz w:val="24"/>
          <w:szCs w:val="24"/>
          <w:lang w:val="en-US"/>
        </w:rPr>
        <w:t>The programs that facilitate the use of e-books, like Amazon’s Kindle app and device, and Apple’s Books app, are computer software</w:t>
      </w:r>
      <w:r w:rsidR="00444DEC" w:rsidRPr="000F4DB2">
        <w:rPr>
          <w:rFonts w:ascii="Arial" w:hAnsi="Arial" w:cs="Arial"/>
          <w:sz w:val="24"/>
          <w:szCs w:val="24"/>
          <w:lang w:val="en-US"/>
        </w:rPr>
        <w:t>; however,</w:t>
      </w:r>
      <w:r w:rsidR="002039FF" w:rsidRPr="000F4DB2">
        <w:rPr>
          <w:rFonts w:ascii="Arial" w:hAnsi="Arial" w:cs="Arial"/>
          <w:sz w:val="24"/>
          <w:szCs w:val="24"/>
          <w:lang w:val="en-US"/>
        </w:rPr>
        <w:t xml:space="preserve"> </w:t>
      </w:r>
      <w:r w:rsidR="00444DEC" w:rsidRPr="000F4DB2">
        <w:rPr>
          <w:rFonts w:ascii="Arial" w:hAnsi="Arial" w:cs="Arial"/>
          <w:sz w:val="24"/>
          <w:szCs w:val="24"/>
          <w:lang w:val="en-US"/>
        </w:rPr>
        <w:t xml:space="preserve">digital products do not fit into this definition as easily. </w:t>
      </w:r>
      <w:r w:rsidR="009E060A">
        <w:rPr>
          <w:rFonts w:ascii="Arial" w:hAnsi="Arial" w:cs="Arial"/>
          <w:sz w:val="24"/>
          <w:szCs w:val="24"/>
          <w:lang w:val="en-US"/>
        </w:rPr>
        <w:t xml:space="preserve">In </w:t>
      </w:r>
      <w:hyperlink r:id="rId10" w:history="1">
        <w:r w:rsidR="00E7732E" w:rsidRPr="00807F41">
          <w:rPr>
            <w:rStyle w:val="Hyperlink"/>
            <w:rFonts w:ascii="Arial" w:hAnsi="Arial" w:cs="Arial"/>
            <w:i/>
            <w:iCs/>
            <w:color w:val="auto"/>
            <w:sz w:val="24"/>
            <w:szCs w:val="24"/>
            <w:u w:val="none"/>
            <w:lang w:val="en-US"/>
          </w:rPr>
          <w:t>Valve Corporation v Australian Competition and Consumer Commission</w:t>
        </w:r>
        <w:r w:rsidR="00E7732E" w:rsidRPr="00807F41">
          <w:rPr>
            <w:rStyle w:val="Hyperlink"/>
            <w:rFonts w:ascii="Arial" w:hAnsi="Arial" w:cs="Arial"/>
            <w:color w:val="auto"/>
            <w:sz w:val="24"/>
            <w:szCs w:val="24"/>
            <w:u w:val="none"/>
            <w:lang w:val="en-US"/>
          </w:rPr>
          <w:t xml:space="preserve"> [2017] FCAFC 224</w:t>
        </w:r>
      </w:hyperlink>
      <w:r w:rsidR="009E060A">
        <w:rPr>
          <w:rFonts w:ascii="Arial" w:hAnsi="Arial" w:cs="Arial"/>
          <w:sz w:val="24"/>
          <w:szCs w:val="24"/>
          <w:lang w:val="en-US"/>
        </w:rPr>
        <w:t xml:space="preserve">, </w:t>
      </w:r>
      <w:r w:rsidR="00E7732E" w:rsidRPr="000F4DB2">
        <w:rPr>
          <w:rFonts w:ascii="Arial" w:hAnsi="Arial" w:cs="Arial"/>
          <w:sz w:val="24"/>
          <w:szCs w:val="24"/>
          <w:lang w:val="en-US"/>
        </w:rPr>
        <w:t>the Federal Court consider</w:t>
      </w:r>
      <w:r w:rsidR="009E060A">
        <w:rPr>
          <w:rFonts w:ascii="Arial" w:hAnsi="Arial" w:cs="Arial"/>
          <w:sz w:val="24"/>
          <w:szCs w:val="24"/>
          <w:lang w:val="en-US"/>
        </w:rPr>
        <w:t>ed</w:t>
      </w:r>
      <w:r w:rsidR="00E7732E" w:rsidRPr="000F4DB2">
        <w:rPr>
          <w:rFonts w:ascii="Arial" w:hAnsi="Arial" w:cs="Arial"/>
          <w:sz w:val="24"/>
          <w:szCs w:val="24"/>
          <w:lang w:val="en-US"/>
        </w:rPr>
        <w:t xml:space="preserve"> the implication of ‘computer software’ in relation to goods. Edelman J at [156] stated that the data that accompanies computer software is not a </w:t>
      </w:r>
      <w:r w:rsidR="006B210A" w:rsidRPr="000F4DB2">
        <w:rPr>
          <w:rFonts w:ascii="Arial" w:hAnsi="Arial" w:cs="Arial"/>
          <w:sz w:val="24"/>
          <w:szCs w:val="24"/>
          <w:lang w:val="en-US"/>
        </w:rPr>
        <w:t>good, but</w:t>
      </w:r>
      <w:r w:rsidR="00E7732E" w:rsidRPr="000F4DB2">
        <w:rPr>
          <w:rFonts w:ascii="Arial" w:hAnsi="Arial" w:cs="Arial"/>
          <w:sz w:val="24"/>
          <w:szCs w:val="24"/>
          <w:lang w:val="en-US"/>
        </w:rPr>
        <w:t xml:space="preserve"> conceded that it is difficult to </w:t>
      </w:r>
      <w:r w:rsidR="006B210A" w:rsidRPr="000F4DB2">
        <w:rPr>
          <w:rFonts w:ascii="Arial" w:hAnsi="Arial" w:cs="Arial"/>
          <w:sz w:val="24"/>
          <w:szCs w:val="24"/>
          <w:lang w:val="en-US"/>
        </w:rPr>
        <w:t xml:space="preserve">differentiate </w:t>
      </w:r>
      <w:r w:rsidR="00E7732E" w:rsidRPr="000F4DB2">
        <w:rPr>
          <w:rFonts w:ascii="Arial" w:hAnsi="Arial" w:cs="Arial"/>
          <w:sz w:val="24"/>
          <w:szCs w:val="24"/>
          <w:lang w:val="en-US"/>
        </w:rPr>
        <w:t xml:space="preserve">the two. </w:t>
      </w:r>
      <w:r w:rsidR="00CB0CF6">
        <w:rPr>
          <w:rFonts w:ascii="Arial" w:hAnsi="Arial" w:cs="Arial"/>
          <w:sz w:val="24"/>
          <w:szCs w:val="24"/>
          <w:lang w:val="en-US"/>
        </w:rPr>
        <w:t>A recent dispute involv</w:t>
      </w:r>
      <w:r w:rsidR="00701645">
        <w:rPr>
          <w:rFonts w:ascii="Arial" w:hAnsi="Arial" w:cs="Arial"/>
          <w:sz w:val="24"/>
          <w:szCs w:val="24"/>
          <w:lang w:val="en-US"/>
        </w:rPr>
        <w:t>ing</w:t>
      </w:r>
      <w:r w:rsidR="00CB0CF6">
        <w:rPr>
          <w:rFonts w:ascii="Arial" w:hAnsi="Arial" w:cs="Arial"/>
          <w:sz w:val="24"/>
          <w:szCs w:val="24"/>
          <w:lang w:val="en-US"/>
        </w:rPr>
        <w:t xml:space="preserve"> video games </w:t>
      </w:r>
      <w:r w:rsidR="006B2BF1">
        <w:rPr>
          <w:rFonts w:ascii="Arial" w:hAnsi="Arial" w:cs="Arial"/>
          <w:sz w:val="24"/>
          <w:szCs w:val="24"/>
          <w:lang w:val="en-US"/>
        </w:rPr>
        <w:t>confirms</w:t>
      </w:r>
      <w:r w:rsidR="00CB0CF6">
        <w:rPr>
          <w:rFonts w:ascii="Arial" w:hAnsi="Arial" w:cs="Arial"/>
          <w:sz w:val="24"/>
          <w:szCs w:val="24"/>
          <w:lang w:val="en-US"/>
        </w:rPr>
        <w:t xml:space="preserve"> that d</w:t>
      </w:r>
      <w:r w:rsidR="009E060A">
        <w:rPr>
          <w:rFonts w:ascii="Arial" w:hAnsi="Arial" w:cs="Arial"/>
          <w:sz w:val="24"/>
          <w:szCs w:val="24"/>
          <w:lang w:val="en-US"/>
        </w:rPr>
        <w:t xml:space="preserve">igital </w:t>
      </w:r>
      <w:r w:rsidR="00677AAD">
        <w:rPr>
          <w:rFonts w:ascii="Arial" w:hAnsi="Arial" w:cs="Arial"/>
          <w:sz w:val="24"/>
          <w:szCs w:val="24"/>
          <w:lang w:val="en-US"/>
        </w:rPr>
        <w:t xml:space="preserve">products are </w:t>
      </w:r>
      <w:r w:rsidR="00CB0CF6">
        <w:rPr>
          <w:rFonts w:ascii="Arial" w:hAnsi="Arial" w:cs="Arial"/>
          <w:sz w:val="24"/>
          <w:szCs w:val="24"/>
          <w:lang w:val="en-US"/>
        </w:rPr>
        <w:t>considered a</w:t>
      </w:r>
      <w:r w:rsidR="00677AAD">
        <w:rPr>
          <w:rFonts w:ascii="Arial" w:hAnsi="Arial" w:cs="Arial"/>
          <w:sz w:val="24"/>
          <w:szCs w:val="24"/>
          <w:lang w:val="en-US"/>
        </w:rPr>
        <w:t xml:space="preserve"> service rather than a good. </w:t>
      </w:r>
    </w:p>
    <w:p w14:paraId="6A75C36B" w14:textId="601D896E" w:rsidR="00CC1443" w:rsidRPr="000F4DB2" w:rsidRDefault="00CC1443" w:rsidP="00976104">
      <w:pPr>
        <w:jc w:val="both"/>
        <w:rPr>
          <w:rFonts w:ascii="Arial" w:hAnsi="Arial" w:cs="Arial"/>
          <w:b/>
          <w:bCs/>
          <w:sz w:val="24"/>
          <w:szCs w:val="24"/>
          <w:lang w:val="en-US"/>
        </w:rPr>
      </w:pPr>
      <w:r w:rsidRPr="000F4DB2">
        <w:rPr>
          <w:rFonts w:ascii="Arial" w:hAnsi="Arial" w:cs="Arial"/>
          <w:b/>
          <w:bCs/>
          <w:sz w:val="24"/>
          <w:szCs w:val="24"/>
          <w:lang w:val="en-US"/>
        </w:rPr>
        <w:t xml:space="preserve">Example: Ubisoft’s </w:t>
      </w:r>
      <w:r w:rsidR="00A45379" w:rsidRPr="000F4DB2">
        <w:rPr>
          <w:rFonts w:ascii="Arial" w:hAnsi="Arial" w:cs="Arial"/>
          <w:b/>
          <w:bCs/>
          <w:i/>
          <w:iCs/>
          <w:sz w:val="24"/>
          <w:szCs w:val="24"/>
          <w:lang w:val="en-US"/>
        </w:rPr>
        <w:t>The Crew</w:t>
      </w:r>
    </w:p>
    <w:p w14:paraId="6C7C142C" w14:textId="77777777" w:rsidR="009F49BF" w:rsidRDefault="00A45379" w:rsidP="00976104">
      <w:pPr>
        <w:jc w:val="both"/>
        <w:rPr>
          <w:rFonts w:ascii="Arial" w:hAnsi="Arial" w:cs="Arial"/>
          <w:sz w:val="24"/>
          <w:szCs w:val="24"/>
          <w:lang w:val="en-US"/>
        </w:rPr>
      </w:pPr>
      <w:r w:rsidRPr="50C69123">
        <w:rPr>
          <w:rFonts w:ascii="Arial" w:hAnsi="Arial" w:cs="Arial"/>
          <w:sz w:val="24"/>
          <w:szCs w:val="24"/>
          <w:lang w:val="en-US"/>
        </w:rPr>
        <w:t xml:space="preserve">In December 2023, Ubisoft, a video game publisher, removed one of its titles, </w:t>
      </w:r>
      <w:r w:rsidRPr="50C69123">
        <w:rPr>
          <w:rFonts w:ascii="Arial" w:hAnsi="Arial" w:cs="Arial"/>
          <w:i/>
          <w:iCs/>
          <w:sz w:val="24"/>
          <w:szCs w:val="24"/>
          <w:lang w:val="en-US"/>
        </w:rPr>
        <w:t>The Crew</w:t>
      </w:r>
      <w:r w:rsidRPr="50C69123">
        <w:rPr>
          <w:rFonts w:ascii="Arial" w:hAnsi="Arial" w:cs="Arial"/>
          <w:sz w:val="24"/>
          <w:szCs w:val="24"/>
          <w:lang w:val="en-US"/>
        </w:rPr>
        <w:t>, from both digital stores and the consoles of users who had already purchased the game</w:t>
      </w:r>
      <w:r w:rsidR="00303A1E" w:rsidRPr="50C69123">
        <w:rPr>
          <w:rFonts w:ascii="Arial" w:hAnsi="Arial" w:cs="Arial"/>
          <w:sz w:val="24"/>
          <w:szCs w:val="24"/>
          <w:lang w:val="en-US"/>
        </w:rPr>
        <w:t xml:space="preserve">. </w:t>
      </w:r>
      <w:r w:rsidRPr="50C69123">
        <w:rPr>
          <w:rFonts w:ascii="Arial" w:hAnsi="Arial" w:cs="Arial"/>
          <w:sz w:val="24"/>
          <w:szCs w:val="24"/>
          <w:lang w:val="en-US"/>
        </w:rPr>
        <w:t xml:space="preserve">Ubisoft were discontinuing the servers that </w:t>
      </w:r>
      <w:r w:rsidRPr="50C69123">
        <w:rPr>
          <w:rFonts w:ascii="Arial" w:hAnsi="Arial" w:cs="Arial"/>
          <w:i/>
          <w:iCs/>
          <w:sz w:val="24"/>
          <w:szCs w:val="24"/>
          <w:lang w:val="en-US"/>
        </w:rPr>
        <w:t xml:space="preserve">The Crew </w:t>
      </w:r>
      <w:r w:rsidRPr="50C69123">
        <w:rPr>
          <w:rFonts w:ascii="Arial" w:hAnsi="Arial" w:cs="Arial"/>
          <w:sz w:val="24"/>
          <w:szCs w:val="24"/>
          <w:lang w:val="en-US"/>
        </w:rPr>
        <w:t>relied on to be p</w:t>
      </w:r>
      <w:r w:rsidR="007E78B1" w:rsidRPr="50C69123">
        <w:rPr>
          <w:rFonts w:ascii="Arial" w:hAnsi="Arial" w:cs="Arial"/>
          <w:sz w:val="24"/>
          <w:szCs w:val="24"/>
          <w:lang w:val="en-US"/>
        </w:rPr>
        <w:t>layed</w:t>
      </w:r>
      <w:r w:rsidR="00303A1E" w:rsidRPr="50C69123">
        <w:rPr>
          <w:rFonts w:ascii="Arial" w:hAnsi="Arial" w:cs="Arial"/>
          <w:sz w:val="24"/>
          <w:szCs w:val="24"/>
          <w:lang w:val="en-US"/>
        </w:rPr>
        <w:t xml:space="preserve">. </w:t>
      </w:r>
      <w:r w:rsidR="00DE6DB0" w:rsidRPr="50C69123">
        <w:rPr>
          <w:rFonts w:ascii="Arial" w:hAnsi="Arial" w:cs="Arial"/>
          <w:sz w:val="24"/>
          <w:szCs w:val="24"/>
          <w:lang w:val="en-US"/>
        </w:rPr>
        <w:t>Th</w:t>
      </w:r>
      <w:r w:rsidR="00295622" w:rsidRPr="50C69123">
        <w:rPr>
          <w:rFonts w:ascii="Arial" w:hAnsi="Arial" w:cs="Arial"/>
          <w:sz w:val="24"/>
          <w:szCs w:val="24"/>
          <w:lang w:val="en-US"/>
        </w:rPr>
        <w:t>e withdrawal of the game was permitted under the</w:t>
      </w:r>
      <w:r w:rsidR="00DE6DB0" w:rsidRPr="50C69123">
        <w:rPr>
          <w:rFonts w:ascii="Arial" w:hAnsi="Arial" w:cs="Arial"/>
          <w:sz w:val="24"/>
          <w:szCs w:val="24"/>
          <w:lang w:val="en-US"/>
        </w:rPr>
        <w:t xml:space="preserve"> </w:t>
      </w:r>
      <w:r w:rsidR="00295622" w:rsidRPr="50C69123">
        <w:rPr>
          <w:rFonts w:ascii="Arial" w:hAnsi="Arial" w:cs="Arial"/>
          <w:sz w:val="24"/>
          <w:szCs w:val="24"/>
          <w:lang w:val="en-US"/>
        </w:rPr>
        <w:t>end-user license agreement</w:t>
      </w:r>
      <w:r w:rsidR="00D33C2F" w:rsidRPr="50C69123">
        <w:rPr>
          <w:rFonts w:ascii="Arial" w:hAnsi="Arial" w:cs="Arial"/>
          <w:sz w:val="24"/>
          <w:szCs w:val="24"/>
          <w:lang w:val="en-US"/>
        </w:rPr>
        <w:t xml:space="preserve">. </w:t>
      </w:r>
      <w:r w:rsidR="00295622" w:rsidRPr="50C69123">
        <w:rPr>
          <w:rFonts w:ascii="Arial" w:hAnsi="Arial" w:cs="Arial"/>
          <w:sz w:val="24"/>
          <w:szCs w:val="24"/>
          <w:lang w:val="en-US"/>
        </w:rPr>
        <w:t xml:space="preserve"> This le</w:t>
      </w:r>
      <w:r w:rsidR="00D33C2F" w:rsidRPr="50C69123">
        <w:rPr>
          <w:rFonts w:ascii="Arial" w:hAnsi="Arial" w:cs="Arial"/>
          <w:sz w:val="24"/>
          <w:szCs w:val="24"/>
          <w:lang w:val="en-US"/>
        </w:rPr>
        <w:t>d to a</w:t>
      </w:r>
      <w:r w:rsidR="001162C9" w:rsidRPr="50C69123">
        <w:rPr>
          <w:rFonts w:ascii="Arial" w:hAnsi="Arial" w:cs="Arial"/>
          <w:sz w:val="24"/>
          <w:szCs w:val="24"/>
          <w:lang w:val="en-US"/>
        </w:rPr>
        <w:t xml:space="preserve"> </w:t>
      </w:r>
      <w:hyperlink r:id="rId11">
        <w:r w:rsidR="001162C9" w:rsidRPr="50C69123">
          <w:rPr>
            <w:rStyle w:val="Hyperlink"/>
            <w:rFonts w:ascii="Arial" w:hAnsi="Arial" w:cs="Arial"/>
            <w:sz w:val="24"/>
            <w:szCs w:val="24"/>
            <w:lang w:val="en-US"/>
          </w:rPr>
          <w:t>petition</w:t>
        </w:r>
      </w:hyperlink>
      <w:r w:rsidR="001162C9" w:rsidRPr="50C69123">
        <w:rPr>
          <w:rFonts w:ascii="Arial" w:hAnsi="Arial" w:cs="Arial"/>
          <w:sz w:val="24"/>
          <w:szCs w:val="24"/>
          <w:lang w:val="en-US"/>
        </w:rPr>
        <w:t xml:space="preserve"> demanding the enactment of legislation that requires digital products to remain operational without support from its publisher</w:t>
      </w:r>
      <w:r w:rsidR="00D33C2F" w:rsidRPr="50C69123">
        <w:rPr>
          <w:rFonts w:ascii="Arial" w:hAnsi="Arial" w:cs="Arial"/>
          <w:sz w:val="24"/>
          <w:szCs w:val="24"/>
          <w:lang w:val="en-US"/>
        </w:rPr>
        <w:t xml:space="preserve">. In response, </w:t>
      </w:r>
      <w:r w:rsidR="001162C9" w:rsidRPr="50C69123">
        <w:rPr>
          <w:rFonts w:ascii="Arial" w:hAnsi="Arial" w:cs="Arial"/>
          <w:sz w:val="24"/>
          <w:szCs w:val="24"/>
          <w:lang w:val="en-US"/>
        </w:rPr>
        <w:t xml:space="preserve"> </w:t>
      </w:r>
      <w:r w:rsidR="009F49BF" w:rsidRPr="50C69123">
        <w:rPr>
          <w:rFonts w:ascii="Arial" w:hAnsi="Arial" w:cs="Arial"/>
          <w:sz w:val="24"/>
          <w:szCs w:val="24"/>
          <w:lang w:val="en-US"/>
        </w:rPr>
        <w:t>t</w:t>
      </w:r>
      <w:r w:rsidR="001162C9" w:rsidRPr="50C69123">
        <w:rPr>
          <w:rFonts w:ascii="Arial" w:hAnsi="Arial" w:cs="Arial"/>
          <w:sz w:val="24"/>
          <w:szCs w:val="24"/>
          <w:lang w:val="en-US"/>
        </w:rPr>
        <w:t xml:space="preserve">he Assistant Treasurer and Minister for Financial Services stated that digital products </w:t>
      </w:r>
      <w:hyperlink r:id="rId12">
        <w:r w:rsidR="001162C9" w:rsidRPr="50C69123">
          <w:rPr>
            <w:rStyle w:val="Hyperlink"/>
            <w:rFonts w:ascii="Arial" w:hAnsi="Arial" w:cs="Arial"/>
            <w:sz w:val="24"/>
            <w:szCs w:val="24"/>
            <w:lang w:val="en-US"/>
          </w:rPr>
          <w:t>confer a license to use the product, not a right of ownership</w:t>
        </w:r>
      </w:hyperlink>
      <w:r w:rsidR="001162C9" w:rsidRPr="50C69123">
        <w:rPr>
          <w:rFonts w:ascii="Arial" w:hAnsi="Arial" w:cs="Arial"/>
          <w:sz w:val="24"/>
          <w:szCs w:val="24"/>
          <w:lang w:val="en-US"/>
        </w:rPr>
        <w:t xml:space="preserve">. </w:t>
      </w:r>
    </w:p>
    <w:p w14:paraId="5D94A52F" w14:textId="748C1655" w:rsidR="00387B9E" w:rsidRPr="000F4DB2" w:rsidRDefault="007E7CED" w:rsidP="00F676B9">
      <w:pPr>
        <w:jc w:val="both"/>
        <w:rPr>
          <w:rFonts w:ascii="Arial" w:hAnsi="Arial" w:cs="Arial"/>
          <w:sz w:val="24"/>
          <w:szCs w:val="24"/>
          <w:lang w:val="en-US"/>
        </w:rPr>
      </w:pPr>
      <w:r w:rsidRPr="007E7CED">
        <w:rPr>
          <w:rFonts w:ascii="Arial" w:hAnsi="Arial" w:cs="Arial"/>
          <w:sz w:val="24"/>
          <w:szCs w:val="24"/>
        </w:rPr>
        <w:t>As long as digital products are considered services rather than goods, the Australian Consumer Law offers limited protection for consumers of digital products. Their license to use the digital product will be governed by the terms and conditions set by the company.</w:t>
      </w:r>
    </w:p>
    <w:sectPr w:rsidR="00387B9E" w:rsidRPr="000F4D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577AA" w14:textId="77777777" w:rsidR="001455FB" w:rsidRDefault="001455FB" w:rsidP="00E26692">
      <w:pPr>
        <w:spacing w:after="0" w:line="240" w:lineRule="auto"/>
      </w:pPr>
      <w:r>
        <w:separator/>
      </w:r>
    </w:p>
  </w:endnote>
  <w:endnote w:type="continuationSeparator" w:id="0">
    <w:p w14:paraId="245ACC76" w14:textId="77777777" w:rsidR="001455FB" w:rsidRDefault="001455FB" w:rsidP="00E2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3A03D" w14:textId="77777777" w:rsidR="001455FB" w:rsidRDefault="001455FB" w:rsidP="00E26692">
      <w:pPr>
        <w:spacing w:after="0" w:line="240" w:lineRule="auto"/>
      </w:pPr>
      <w:r>
        <w:separator/>
      </w:r>
    </w:p>
  </w:footnote>
  <w:footnote w:type="continuationSeparator" w:id="0">
    <w:p w14:paraId="3679DE02" w14:textId="77777777" w:rsidR="001455FB" w:rsidRDefault="001455FB" w:rsidP="00E26692">
      <w:pPr>
        <w:spacing w:after="0" w:line="240" w:lineRule="auto"/>
      </w:pPr>
      <w:r>
        <w:continuationSeparator/>
      </w:r>
    </w:p>
  </w:footnote>
  <w:footnote w:id="1">
    <w:p w14:paraId="65965A06" w14:textId="4E44207C" w:rsidR="00E26692" w:rsidRDefault="00E26692">
      <w:pPr>
        <w:pStyle w:val="FootnoteText"/>
      </w:pPr>
      <w:r>
        <w:rPr>
          <w:rStyle w:val="FootnoteReference"/>
        </w:rPr>
        <w:footnoteRef/>
      </w:r>
      <w:r>
        <w:t xml:space="preserve"> Alp Toygar, C. E. Tapie Rohm Jr. &amp; Jake Zhu, ‘A New Asset Type: Digital Assets’ (2013) Journal of International Technology and Information Management 22(4), 113.</w:t>
      </w:r>
    </w:p>
  </w:footnote>
  <w:footnote w:id="2">
    <w:p w14:paraId="710F4FEC" w14:textId="771A1ADA" w:rsidR="002A7DFE" w:rsidRDefault="002A7DFE">
      <w:pPr>
        <w:pStyle w:val="FootnoteText"/>
      </w:pPr>
      <w:r>
        <w:rPr>
          <w:rStyle w:val="FootnoteReference"/>
        </w:rPr>
        <w:footnoteRef/>
      </w:r>
      <w:r>
        <w:t xml:space="preserve"> Australian Communications Consumer Action Network, ‘Access to Digital Assets upon Death or Incapacity: Submission by the Australian Communications Consumer Action Network to the New South Wales Law Reform Commission’ (2018) </w:t>
      </w:r>
      <w:hyperlink r:id="rId1" w:history="1">
        <w:r w:rsidRPr="00FC21C9">
          <w:rPr>
            <w:rStyle w:val="Hyperlink"/>
          </w:rPr>
          <w:t>https://lawreform.nsw.gov.au/documents/Current-projects/Digital%20assets/Preliminary%20submissions/PDI10.pdf</w:t>
        </w:r>
      </w:hyperlink>
      <w:r>
        <w:t xml:space="preserve"> </w:t>
      </w:r>
    </w:p>
  </w:footnote>
  <w:footnote w:id="3">
    <w:p w14:paraId="0FBE5679" w14:textId="77777777" w:rsidR="00807F41" w:rsidRDefault="00807F41" w:rsidP="00807F41">
      <w:pPr>
        <w:pStyle w:val="FootnoteText"/>
      </w:pPr>
      <w:r>
        <w:rPr>
          <w:rStyle w:val="FootnoteReference"/>
        </w:rPr>
        <w:footnoteRef/>
      </w:r>
      <w:r>
        <w:t xml:space="preserve"> Competition and Consumer Act 2010 (</w:t>
      </w:r>
      <w:proofErr w:type="spellStart"/>
      <w:r>
        <w:t>Cth</w:t>
      </w:r>
      <w:proofErr w:type="spellEnd"/>
      <w:r>
        <w:t>), Sch 2, ‘The Australian Consumer Law’, ss 51-59; 60-63.</w:t>
      </w:r>
    </w:p>
  </w:footnote>
  <w:footnote w:id="4">
    <w:p w14:paraId="087E7444" w14:textId="152C387E" w:rsidR="00364FBE" w:rsidRDefault="00364FBE">
      <w:pPr>
        <w:pStyle w:val="FootnoteText"/>
      </w:pPr>
      <w:r>
        <w:rPr>
          <w:rStyle w:val="FootnoteReference"/>
        </w:rPr>
        <w:footnoteRef/>
      </w:r>
      <w:r>
        <w:t xml:space="preserve"> </w:t>
      </w:r>
      <w:r w:rsidRPr="00364FBE">
        <w:t>Competition and Consumer Act 2010</w:t>
      </w:r>
      <w:r>
        <w:t xml:space="preserve"> (</w:t>
      </w:r>
      <w:proofErr w:type="spellStart"/>
      <w:r>
        <w:t>Cth</w:t>
      </w:r>
      <w:proofErr w:type="spellEnd"/>
      <w:r>
        <w:t>), Sch 2, ‘The Australian Consumer Law’, 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2194"/>
    <w:multiLevelType w:val="hybridMultilevel"/>
    <w:tmpl w:val="8848D3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401C76"/>
    <w:multiLevelType w:val="hybridMultilevel"/>
    <w:tmpl w:val="AAA86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884F4C"/>
    <w:multiLevelType w:val="hybridMultilevel"/>
    <w:tmpl w:val="959AB586"/>
    <w:lvl w:ilvl="0" w:tplc="E8EE7B20">
      <w:start w:val="1"/>
      <w:numFmt w:val="bullet"/>
      <w:lvlText w:val="•"/>
      <w:lvlJc w:val="left"/>
      <w:pPr>
        <w:ind w:left="720" w:hanging="360"/>
      </w:pPr>
      <w:rPr>
        <w:rFonts w:ascii="Symbol" w:eastAsia="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6894186">
    <w:abstractNumId w:val="1"/>
  </w:num>
  <w:num w:numId="2" w16cid:durableId="2056612081">
    <w:abstractNumId w:val="2"/>
  </w:num>
  <w:num w:numId="3" w16cid:durableId="158133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AA"/>
    <w:rsid w:val="00013C6E"/>
    <w:rsid w:val="000144CF"/>
    <w:rsid w:val="000209E0"/>
    <w:rsid w:val="0002467D"/>
    <w:rsid w:val="00026834"/>
    <w:rsid w:val="00031A06"/>
    <w:rsid w:val="00052228"/>
    <w:rsid w:val="000549E1"/>
    <w:rsid w:val="0005660B"/>
    <w:rsid w:val="00077926"/>
    <w:rsid w:val="000A4965"/>
    <w:rsid w:val="000C3F80"/>
    <w:rsid w:val="000C4867"/>
    <w:rsid w:val="000E6849"/>
    <w:rsid w:val="000F4DB2"/>
    <w:rsid w:val="001162C9"/>
    <w:rsid w:val="001214CF"/>
    <w:rsid w:val="001224F9"/>
    <w:rsid w:val="001455FB"/>
    <w:rsid w:val="00154E93"/>
    <w:rsid w:val="00170DC2"/>
    <w:rsid w:val="00171974"/>
    <w:rsid w:val="001B0803"/>
    <w:rsid w:val="001B7796"/>
    <w:rsid w:val="001C436D"/>
    <w:rsid w:val="001D0912"/>
    <w:rsid w:val="002039FF"/>
    <w:rsid w:val="002374DB"/>
    <w:rsid w:val="0025318B"/>
    <w:rsid w:val="00257D78"/>
    <w:rsid w:val="002606AA"/>
    <w:rsid w:val="00261543"/>
    <w:rsid w:val="00262534"/>
    <w:rsid w:val="00295622"/>
    <w:rsid w:val="002A7DFE"/>
    <w:rsid w:val="002B6A5E"/>
    <w:rsid w:val="002D0D66"/>
    <w:rsid w:val="002D4836"/>
    <w:rsid w:val="002E0520"/>
    <w:rsid w:val="00303A1E"/>
    <w:rsid w:val="0031101D"/>
    <w:rsid w:val="00317024"/>
    <w:rsid w:val="00337259"/>
    <w:rsid w:val="00345F0C"/>
    <w:rsid w:val="00364FBE"/>
    <w:rsid w:val="00387B9E"/>
    <w:rsid w:val="003946B4"/>
    <w:rsid w:val="003B2E87"/>
    <w:rsid w:val="003C7613"/>
    <w:rsid w:val="003D7337"/>
    <w:rsid w:val="003F5AB4"/>
    <w:rsid w:val="00420BCF"/>
    <w:rsid w:val="00444DEC"/>
    <w:rsid w:val="00446193"/>
    <w:rsid w:val="00467250"/>
    <w:rsid w:val="00497E70"/>
    <w:rsid w:val="004A7B15"/>
    <w:rsid w:val="004C5E9A"/>
    <w:rsid w:val="00505E01"/>
    <w:rsid w:val="00525B72"/>
    <w:rsid w:val="00540DA6"/>
    <w:rsid w:val="00552B81"/>
    <w:rsid w:val="005C6560"/>
    <w:rsid w:val="005D22F2"/>
    <w:rsid w:val="005D3988"/>
    <w:rsid w:val="005F6A2A"/>
    <w:rsid w:val="0062122F"/>
    <w:rsid w:val="0062762E"/>
    <w:rsid w:val="00643F15"/>
    <w:rsid w:val="00653597"/>
    <w:rsid w:val="00677AAD"/>
    <w:rsid w:val="006A1709"/>
    <w:rsid w:val="006B210A"/>
    <w:rsid w:val="006B2BF1"/>
    <w:rsid w:val="006D0B9E"/>
    <w:rsid w:val="00701645"/>
    <w:rsid w:val="00722A37"/>
    <w:rsid w:val="00733B31"/>
    <w:rsid w:val="00761C57"/>
    <w:rsid w:val="00777965"/>
    <w:rsid w:val="00791F75"/>
    <w:rsid w:val="0079554A"/>
    <w:rsid w:val="007B7913"/>
    <w:rsid w:val="007D707C"/>
    <w:rsid w:val="007E78B1"/>
    <w:rsid w:val="007E7CED"/>
    <w:rsid w:val="00807F41"/>
    <w:rsid w:val="008B4D94"/>
    <w:rsid w:val="008E321D"/>
    <w:rsid w:val="008F1E42"/>
    <w:rsid w:val="00917F0C"/>
    <w:rsid w:val="00952922"/>
    <w:rsid w:val="009730E8"/>
    <w:rsid w:val="00973E56"/>
    <w:rsid w:val="00976104"/>
    <w:rsid w:val="0099474F"/>
    <w:rsid w:val="009952F3"/>
    <w:rsid w:val="009B44B2"/>
    <w:rsid w:val="009C0047"/>
    <w:rsid w:val="009D6153"/>
    <w:rsid w:val="009E060A"/>
    <w:rsid w:val="009F2C13"/>
    <w:rsid w:val="009F49BF"/>
    <w:rsid w:val="00A2393B"/>
    <w:rsid w:val="00A33953"/>
    <w:rsid w:val="00A429DC"/>
    <w:rsid w:val="00A45379"/>
    <w:rsid w:val="00A52867"/>
    <w:rsid w:val="00A64D39"/>
    <w:rsid w:val="00A67D40"/>
    <w:rsid w:val="00AA4740"/>
    <w:rsid w:val="00AF7FB4"/>
    <w:rsid w:val="00B12979"/>
    <w:rsid w:val="00B339AE"/>
    <w:rsid w:val="00B40EA6"/>
    <w:rsid w:val="00B45A5E"/>
    <w:rsid w:val="00B92F31"/>
    <w:rsid w:val="00BB66B0"/>
    <w:rsid w:val="00BD7526"/>
    <w:rsid w:val="00BE3137"/>
    <w:rsid w:val="00BF46F0"/>
    <w:rsid w:val="00BF4CBB"/>
    <w:rsid w:val="00BF58CE"/>
    <w:rsid w:val="00C61969"/>
    <w:rsid w:val="00C61C03"/>
    <w:rsid w:val="00C65529"/>
    <w:rsid w:val="00CA30EC"/>
    <w:rsid w:val="00CB0CF6"/>
    <w:rsid w:val="00CC1443"/>
    <w:rsid w:val="00D33C2F"/>
    <w:rsid w:val="00DC287F"/>
    <w:rsid w:val="00DE6DB0"/>
    <w:rsid w:val="00DE77FA"/>
    <w:rsid w:val="00DF3813"/>
    <w:rsid w:val="00E26692"/>
    <w:rsid w:val="00E43110"/>
    <w:rsid w:val="00E54850"/>
    <w:rsid w:val="00E7732E"/>
    <w:rsid w:val="00ED0F18"/>
    <w:rsid w:val="00EF697F"/>
    <w:rsid w:val="00F06075"/>
    <w:rsid w:val="00F14F7D"/>
    <w:rsid w:val="00F31719"/>
    <w:rsid w:val="00F35B5D"/>
    <w:rsid w:val="00F52382"/>
    <w:rsid w:val="00F605D2"/>
    <w:rsid w:val="00F65274"/>
    <w:rsid w:val="00F676B9"/>
    <w:rsid w:val="00F8309B"/>
    <w:rsid w:val="00FC2C82"/>
    <w:rsid w:val="18767AFD"/>
    <w:rsid w:val="1A072C59"/>
    <w:rsid w:val="2091034C"/>
    <w:rsid w:val="220428FE"/>
    <w:rsid w:val="2DDB9C12"/>
    <w:rsid w:val="433B1C0D"/>
    <w:rsid w:val="50C69123"/>
    <w:rsid w:val="7BCD6F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B6BF3"/>
  <w15:chartTrackingRefBased/>
  <w15:docId w15:val="{BB2352BF-DEAE-489F-88C9-2FB895C9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0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0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AA"/>
    <w:rPr>
      <w:rFonts w:eastAsiaTheme="majorEastAsia" w:cstheme="majorBidi"/>
      <w:color w:val="272727" w:themeColor="text1" w:themeTint="D8"/>
    </w:rPr>
  </w:style>
  <w:style w:type="paragraph" w:styleId="Title">
    <w:name w:val="Title"/>
    <w:basedOn w:val="Normal"/>
    <w:next w:val="Normal"/>
    <w:link w:val="TitleChar"/>
    <w:uiPriority w:val="10"/>
    <w:qFormat/>
    <w:rsid w:val="00260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AA"/>
    <w:pPr>
      <w:spacing w:before="160"/>
      <w:jc w:val="center"/>
    </w:pPr>
    <w:rPr>
      <w:i/>
      <w:iCs/>
      <w:color w:val="404040" w:themeColor="text1" w:themeTint="BF"/>
    </w:rPr>
  </w:style>
  <w:style w:type="character" w:customStyle="1" w:styleId="QuoteChar">
    <w:name w:val="Quote Char"/>
    <w:basedOn w:val="DefaultParagraphFont"/>
    <w:link w:val="Quote"/>
    <w:uiPriority w:val="29"/>
    <w:rsid w:val="002606AA"/>
    <w:rPr>
      <w:i/>
      <w:iCs/>
      <w:color w:val="404040" w:themeColor="text1" w:themeTint="BF"/>
    </w:rPr>
  </w:style>
  <w:style w:type="paragraph" w:styleId="ListParagraph">
    <w:name w:val="List Paragraph"/>
    <w:basedOn w:val="Normal"/>
    <w:uiPriority w:val="34"/>
    <w:qFormat/>
    <w:rsid w:val="002606AA"/>
    <w:pPr>
      <w:ind w:left="720"/>
      <w:contextualSpacing/>
    </w:pPr>
  </w:style>
  <w:style w:type="character" w:styleId="IntenseEmphasis">
    <w:name w:val="Intense Emphasis"/>
    <w:basedOn w:val="DefaultParagraphFont"/>
    <w:uiPriority w:val="21"/>
    <w:qFormat/>
    <w:rsid w:val="002606AA"/>
    <w:rPr>
      <w:i/>
      <w:iCs/>
      <w:color w:val="2F5496" w:themeColor="accent1" w:themeShade="BF"/>
    </w:rPr>
  </w:style>
  <w:style w:type="paragraph" w:styleId="IntenseQuote">
    <w:name w:val="Intense Quote"/>
    <w:basedOn w:val="Normal"/>
    <w:next w:val="Normal"/>
    <w:link w:val="IntenseQuoteChar"/>
    <w:uiPriority w:val="30"/>
    <w:qFormat/>
    <w:rsid w:val="00260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AA"/>
    <w:rPr>
      <w:i/>
      <w:iCs/>
      <w:color w:val="2F5496" w:themeColor="accent1" w:themeShade="BF"/>
    </w:rPr>
  </w:style>
  <w:style w:type="character" w:styleId="IntenseReference">
    <w:name w:val="Intense Reference"/>
    <w:basedOn w:val="DefaultParagraphFont"/>
    <w:uiPriority w:val="32"/>
    <w:qFormat/>
    <w:rsid w:val="002606AA"/>
    <w:rPr>
      <w:b/>
      <w:bCs/>
      <w:smallCaps/>
      <w:color w:val="2F5496" w:themeColor="accent1" w:themeShade="BF"/>
      <w:spacing w:val="5"/>
    </w:rPr>
  </w:style>
  <w:style w:type="table" w:styleId="TableGrid">
    <w:name w:val="Table Grid"/>
    <w:basedOn w:val="TableNormal"/>
    <w:uiPriority w:val="39"/>
    <w:rsid w:val="0026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3988"/>
    <w:rPr>
      <w:color w:val="0563C1" w:themeColor="hyperlink"/>
      <w:u w:val="single"/>
    </w:rPr>
  </w:style>
  <w:style w:type="character" w:styleId="UnresolvedMention">
    <w:name w:val="Unresolved Mention"/>
    <w:basedOn w:val="DefaultParagraphFont"/>
    <w:uiPriority w:val="99"/>
    <w:semiHidden/>
    <w:unhideWhenUsed/>
    <w:rsid w:val="005D3988"/>
    <w:rPr>
      <w:color w:val="605E5C"/>
      <w:shd w:val="clear" w:color="auto" w:fill="E1DFDD"/>
    </w:rPr>
  </w:style>
  <w:style w:type="character" w:styleId="FollowedHyperlink">
    <w:name w:val="FollowedHyperlink"/>
    <w:basedOn w:val="DefaultParagraphFont"/>
    <w:uiPriority w:val="99"/>
    <w:semiHidden/>
    <w:unhideWhenUsed/>
    <w:rsid w:val="000209E0"/>
    <w:rPr>
      <w:color w:val="954F72" w:themeColor="followedHyperlink"/>
      <w:u w:val="single"/>
    </w:rPr>
  </w:style>
  <w:style w:type="paragraph" w:styleId="FootnoteText">
    <w:name w:val="footnote text"/>
    <w:basedOn w:val="Normal"/>
    <w:link w:val="FootnoteTextChar"/>
    <w:uiPriority w:val="99"/>
    <w:semiHidden/>
    <w:unhideWhenUsed/>
    <w:rsid w:val="00E2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6692"/>
    <w:rPr>
      <w:sz w:val="20"/>
      <w:szCs w:val="20"/>
    </w:rPr>
  </w:style>
  <w:style w:type="character" w:styleId="FootnoteReference">
    <w:name w:val="footnote reference"/>
    <w:basedOn w:val="DefaultParagraphFont"/>
    <w:uiPriority w:val="99"/>
    <w:semiHidden/>
    <w:unhideWhenUsed/>
    <w:rsid w:val="00E26692"/>
    <w:rPr>
      <w:vertAlign w:val="superscript"/>
    </w:rPr>
  </w:style>
  <w:style w:type="character" w:customStyle="1" w:styleId="textlayer--absolute">
    <w:name w:val="textlayer--absolute"/>
    <w:basedOn w:val="DefaultParagraphFont"/>
    <w:rsid w:val="00E26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1589">
      <w:bodyDiv w:val="1"/>
      <w:marLeft w:val="0"/>
      <w:marRight w:val="0"/>
      <w:marTop w:val="0"/>
      <w:marBottom w:val="0"/>
      <w:divBdr>
        <w:top w:val="none" w:sz="0" w:space="0" w:color="auto"/>
        <w:left w:val="none" w:sz="0" w:space="0" w:color="auto"/>
        <w:bottom w:val="none" w:sz="0" w:space="0" w:color="auto"/>
        <w:right w:val="none" w:sz="0" w:space="0" w:color="auto"/>
      </w:divBdr>
    </w:div>
    <w:div w:id="1436901116">
      <w:bodyDiv w:val="1"/>
      <w:marLeft w:val="0"/>
      <w:marRight w:val="0"/>
      <w:marTop w:val="0"/>
      <w:marBottom w:val="0"/>
      <w:divBdr>
        <w:top w:val="none" w:sz="0" w:space="0" w:color="auto"/>
        <w:left w:val="none" w:sz="0" w:space="0" w:color="auto"/>
        <w:bottom w:val="none" w:sz="0" w:space="0" w:color="auto"/>
        <w:right w:val="none" w:sz="0" w:space="0" w:color="auto"/>
      </w:divBdr>
    </w:div>
    <w:div w:id="1686402217">
      <w:bodyDiv w:val="1"/>
      <w:marLeft w:val="0"/>
      <w:marRight w:val="0"/>
      <w:marTop w:val="0"/>
      <w:marBottom w:val="0"/>
      <w:divBdr>
        <w:top w:val="none" w:sz="0" w:space="0" w:color="auto"/>
        <w:left w:val="none" w:sz="0" w:space="0" w:color="auto"/>
        <w:bottom w:val="none" w:sz="0" w:space="0" w:color="auto"/>
        <w:right w:val="none" w:sz="0" w:space="0" w:color="auto"/>
      </w:divBdr>
    </w:div>
    <w:div w:id="19192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account-billing/books-in-microsoft-store-faq-ff0b7b84-7052-4088-9262-d7e4ee22419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petitions.aph.gov.au/api/ministerialresponse/download/EN6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h.gov.au/e-petitions/petition/EN6080" TargetMode="External"/><Relationship Id="rId5" Type="http://schemas.openxmlformats.org/officeDocument/2006/relationships/webSettings" Target="webSettings.xml"/><Relationship Id="rId10" Type="http://schemas.openxmlformats.org/officeDocument/2006/relationships/hyperlink" Target="https://jade.io/article/567886" TargetMode="External"/><Relationship Id="rId4" Type="http://schemas.openxmlformats.org/officeDocument/2006/relationships/settings" Target="settings.xml"/><Relationship Id="rId9" Type="http://schemas.openxmlformats.org/officeDocument/2006/relationships/hyperlink" Target="https://uonstaff-my.sharepoint.com/personal/mkh799_newcastle_edu_au/Documents/BACKUP%20OF%20DOCS%20for%20Onedrive/TEACHING/2024%20teaching/LAWS6087/unedited%20wiki%20edits/Amazon's%20Kindle%20stor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awreform.nsw.gov.au/documents/Current-projects/Digital%20assets/Preliminary%20submissions/PDI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3F120-30AD-464F-A26D-8CF84349D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678</Words>
  <Characters>4172</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40</cp:revision>
  <dcterms:created xsi:type="dcterms:W3CDTF">2025-01-11T01:05:00Z</dcterms:created>
  <dcterms:modified xsi:type="dcterms:W3CDTF">2025-01-14T02:45:00Z</dcterms:modified>
</cp:coreProperties>
</file>