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679B6" w14:textId="47F0FD6F" w:rsidR="00C51436" w:rsidRPr="00AB39DF" w:rsidRDefault="001B56FF" w:rsidP="009729E1">
      <w:pPr>
        <w:pStyle w:val="Heading1"/>
        <w:rPr>
          <w:rFonts w:ascii="Arial" w:hAnsi="Arial" w:cs="Arial"/>
          <w:b/>
          <w:bCs/>
          <w:color w:val="auto"/>
          <w:sz w:val="36"/>
          <w:szCs w:val="36"/>
        </w:rPr>
      </w:pPr>
      <w:r w:rsidRPr="00AB39DF">
        <w:rPr>
          <w:rFonts w:ascii="Arial" w:hAnsi="Arial" w:cs="Arial"/>
          <w:b/>
          <w:bCs/>
          <w:color w:val="auto"/>
          <w:sz w:val="36"/>
          <w:szCs w:val="36"/>
        </w:rPr>
        <w:t>A</w:t>
      </w:r>
      <w:r w:rsidR="00737A97" w:rsidRPr="00AB39DF">
        <w:rPr>
          <w:rFonts w:ascii="Arial" w:hAnsi="Arial" w:cs="Arial"/>
          <w:b/>
          <w:bCs/>
          <w:color w:val="auto"/>
          <w:sz w:val="36"/>
          <w:szCs w:val="36"/>
        </w:rPr>
        <w:t xml:space="preserve">rtificial Intelligence </w:t>
      </w:r>
    </w:p>
    <w:p w14:paraId="5093706C" w14:textId="77777777" w:rsidR="00C51436" w:rsidRPr="003B5712" w:rsidRDefault="00C51436" w:rsidP="009729E1">
      <w:pPr>
        <w:jc w:val="both"/>
        <w:rPr>
          <w:rFonts w:ascii="Arial" w:hAnsi="Arial" w:cs="Arial"/>
        </w:rPr>
      </w:pPr>
    </w:p>
    <w:p w14:paraId="63281E95" w14:textId="65021531" w:rsidR="00321262" w:rsidRPr="003B5712" w:rsidRDefault="00EB547E" w:rsidP="009729E1">
      <w:pPr>
        <w:jc w:val="both"/>
        <w:rPr>
          <w:rFonts w:ascii="Arial" w:hAnsi="Arial" w:cs="Arial"/>
        </w:rPr>
      </w:pPr>
      <w:r>
        <w:rPr>
          <w:rFonts w:ascii="Arial" w:hAnsi="Arial" w:cs="Arial"/>
        </w:rPr>
        <w:t xml:space="preserve">This chapter </w:t>
      </w:r>
      <w:r w:rsidR="00C51436" w:rsidRPr="003B5712">
        <w:rPr>
          <w:rFonts w:ascii="Arial" w:hAnsi="Arial" w:cs="Arial"/>
        </w:rPr>
        <w:t>explore</w:t>
      </w:r>
      <w:r>
        <w:rPr>
          <w:rFonts w:ascii="Arial" w:hAnsi="Arial" w:cs="Arial"/>
        </w:rPr>
        <w:t>s</w:t>
      </w:r>
      <w:r w:rsidR="00C51436" w:rsidRPr="003B5712">
        <w:rPr>
          <w:rFonts w:ascii="Arial" w:hAnsi="Arial" w:cs="Arial"/>
        </w:rPr>
        <w:t xml:space="preserve"> </w:t>
      </w:r>
      <w:r w:rsidR="00DE75ED" w:rsidRPr="003B5712">
        <w:rPr>
          <w:rFonts w:ascii="Arial" w:hAnsi="Arial" w:cs="Arial"/>
        </w:rPr>
        <w:t xml:space="preserve">the interaction between artificial intelligence (AI) and the internet, with a focus on </w:t>
      </w:r>
      <w:r w:rsidR="001B56FF" w:rsidRPr="003B5712">
        <w:rPr>
          <w:rFonts w:ascii="Arial" w:hAnsi="Arial" w:cs="Arial"/>
        </w:rPr>
        <w:t xml:space="preserve">the current growth in </w:t>
      </w:r>
      <w:r w:rsidR="00C51436" w:rsidRPr="003B5712">
        <w:rPr>
          <w:rFonts w:ascii="Arial" w:hAnsi="Arial" w:cs="Arial"/>
        </w:rPr>
        <w:t>AI</w:t>
      </w:r>
      <w:r w:rsidR="001B56FF" w:rsidRPr="003B5712">
        <w:rPr>
          <w:rFonts w:ascii="Arial" w:hAnsi="Arial" w:cs="Arial"/>
        </w:rPr>
        <w:t xml:space="preserve">, </w:t>
      </w:r>
      <w:r w:rsidR="00C305B7" w:rsidRPr="003B5712">
        <w:rPr>
          <w:rFonts w:ascii="Arial" w:hAnsi="Arial" w:cs="Arial"/>
        </w:rPr>
        <w:t>the regulation of AI</w:t>
      </w:r>
      <w:r w:rsidR="00646B5E">
        <w:rPr>
          <w:rFonts w:ascii="Arial" w:hAnsi="Arial" w:cs="Arial"/>
        </w:rPr>
        <w:t xml:space="preserve"> and associated challenges</w:t>
      </w:r>
      <w:r w:rsidR="00C305B7" w:rsidRPr="003B5712">
        <w:rPr>
          <w:rFonts w:ascii="Arial" w:hAnsi="Arial" w:cs="Arial"/>
        </w:rPr>
        <w:t>, and how AI can be used as a regulatory tool</w:t>
      </w:r>
      <w:r w:rsidR="00C51436" w:rsidRPr="003B5712">
        <w:rPr>
          <w:rFonts w:ascii="Arial" w:hAnsi="Arial" w:cs="Arial"/>
        </w:rPr>
        <w:t>.</w:t>
      </w:r>
    </w:p>
    <w:p w14:paraId="59058DD4" w14:textId="6E7459E7" w:rsidR="00C51436" w:rsidRPr="00561838" w:rsidRDefault="00485B45" w:rsidP="0023796B">
      <w:pPr>
        <w:pStyle w:val="Heading2"/>
        <w:numPr>
          <w:ilvl w:val="0"/>
          <w:numId w:val="7"/>
        </w:numPr>
        <w:rPr>
          <w:rFonts w:ascii="Arial" w:hAnsi="Arial" w:cs="Arial"/>
          <w:b/>
          <w:bCs/>
          <w:color w:val="auto"/>
          <w:sz w:val="28"/>
          <w:szCs w:val="28"/>
        </w:rPr>
      </w:pPr>
      <w:r w:rsidRPr="00561838">
        <w:rPr>
          <w:rFonts w:ascii="Arial" w:hAnsi="Arial" w:cs="Arial"/>
          <w:b/>
          <w:bCs/>
          <w:color w:val="auto"/>
          <w:sz w:val="28"/>
          <w:szCs w:val="28"/>
        </w:rPr>
        <w:t>B</w:t>
      </w:r>
      <w:r w:rsidR="00C51436" w:rsidRPr="00561838">
        <w:rPr>
          <w:rFonts w:ascii="Arial" w:hAnsi="Arial" w:cs="Arial"/>
          <w:b/>
          <w:bCs/>
          <w:color w:val="auto"/>
          <w:sz w:val="28"/>
          <w:szCs w:val="28"/>
        </w:rPr>
        <w:t xml:space="preserve">rief history of AI </w:t>
      </w:r>
    </w:p>
    <w:p w14:paraId="255100D0" w14:textId="1412AE2E" w:rsidR="00321262" w:rsidRPr="003B5712" w:rsidRDefault="00321262" w:rsidP="009729E1">
      <w:pPr>
        <w:jc w:val="both"/>
        <w:rPr>
          <w:rFonts w:ascii="Arial" w:hAnsi="Arial" w:cs="Arial"/>
        </w:rPr>
      </w:pPr>
      <w:r w:rsidRPr="00485B45">
        <w:rPr>
          <w:rFonts w:ascii="Arial" w:hAnsi="Arial" w:cs="Arial"/>
        </w:rPr>
        <w:t xml:space="preserve">The first rudimentary </w:t>
      </w:r>
      <w:r w:rsidRPr="003B5712">
        <w:rPr>
          <w:rFonts w:ascii="Arial" w:hAnsi="Arial" w:cs="Arial"/>
        </w:rPr>
        <w:t>artificial intelligence was conceptuali</w:t>
      </w:r>
      <w:r w:rsidR="00187D48">
        <w:rPr>
          <w:rFonts w:ascii="Arial" w:hAnsi="Arial" w:cs="Arial"/>
        </w:rPr>
        <w:t>s</w:t>
      </w:r>
      <w:r w:rsidRPr="003B5712">
        <w:rPr>
          <w:rFonts w:ascii="Arial" w:hAnsi="Arial" w:cs="Arial"/>
        </w:rPr>
        <w:t>ed in 1943 in the development of an artificial neuron</w:t>
      </w:r>
      <w:r w:rsidR="00187D48">
        <w:rPr>
          <w:rFonts w:ascii="Arial" w:hAnsi="Arial" w:cs="Arial"/>
        </w:rPr>
        <w:t>.</w:t>
      </w:r>
      <w:r w:rsidRPr="003B5712">
        <w:rPr>
          <w:rStyle w:val="FootnoteReference"/>
          <w:rFonts w:ascii="Arial" w:hAnsi="Arial" w:cs="Arial"/>
        </w:rPr>
        <w:footnoteReference w:id="1"/>
      </w:r>
      <w:r w:rsidRPr="003B5712">
        <w:rPr>
          <w:rFonts w:ascii="Arial" w:hAnsi="Arial" w:cs="Arial"/>
        </w:rPr>
        <w:t xml:space="preserve"> </w:t>
      </w:r>
      <w:r w:rsidR="00DE75ED" w:rsidRPr="003B5712">
        <w:rPr>
          <w:rFonts w:ascii="Arial" w:hAnsi="Arial" w:cs="Arial"/>
        </w:rPr>
        <w:t>T</w:t>
      </w:r>
      <w:r w:rsidRPr="003B5712">
        <w:rPr>
          <w:rFonts w:ascii="Arial" w:hAnsi="Arial" w:cs="Arial"/>
        </w:rPr>
        <w:t xml:space="preserve">he term ‘artificial intelligence’ </w:t>
      </w:r>
      <w:r w:rsidR="00DE75ED" w:rsidRPr="003B5712">
        <w:rPr>
          <w:rFonts w:ascii="Arial" w:hAnsi="Arial" w:cs="Arial"/>
        </w:rPr>
        <w:t>itself</w:t>
      </w:r>
      <w:r w:rsidR="00187D48">
        <w:rPr>
          <w:rFonts w:ascii="Arial" w:hAnsi="Arial" w:cs="Arial"/>
        </w:rPr>
        <w:t>,</w:t>
      </w:r>
      <w:r w:rsidR="00DE75ED" w:rsidRPr="003B5712">
        <w:rPr>
          <w:rFonts w:ascii="Arial" w:hAnsi="Arial" w:cs="Arial"/>
        </w:rPr>
        <w:t xml:space="preserve"> however, </w:t>
      </w:r>
      <w:r w:rsidRPr="003B5712">
        <w:rPr>
          <w:rFonts w:ascii="Arial" w:hAnsi="Arial" w:cs="Arial"/>
        </w:rPr>
        <w:t>was not used until 1956 when John McCarthy  used the terms to describe ‘the science and engineering of making machines intelligent’</w:t>
      </w:r>
      <w:r w:rsidR="00485B45">
        <w:rPr>
          <w:rFonts w:ascii="Arial" w:hAnsi="Arial" w:cs="Arial"/>
        </w:rPr>
        <w:t>.</w:t>
      </w:r>
      <w:r w:rsidRPr="003B5712">
        <w:rPr>
          <w:rStyle w:val="FootnoteReference"/>
          <w:rFonts w:ascii="Arial" w:hAnsi="Arial" w:cs="Arial"/>
        </w:rPr>
        <w:footnoteReference w:id="2"/>
      </w:r>
      <w:r w:rsidRPr="003B5712">
        <w:rPr>
          <w:rFonts w:ascii="Arial" w:hAnsi="Arial" w:cs="Arial"/>
        </w:rPr>
        <w:t xml:space="preserve"> Today the term</w:t>
      </w:r>
      <w:r w:rsidR="00485B45">
        <w:rPr>
          <w:rFonts w:ascii="Arial" w:hAnsi="Arial" w:cs="Arial"/>
        </w:rPr>
        <w:t xml:space="preserve"> artificial intelligence refers to the </w:t>
      </w:r>
      <w:r w:rsidRPr="003B5712">
        <w:rPr>
          <w:rFonts w:ascii="Arial" w:hAnsi="Arial" w:cs="Arial"/>
        </w:rPr>
        <w:t>ability for computer systems to assess, use and adapt available information to make informed decisions and recommendations about existing circumstances, much like a human would using their own intelligence</w:t>
      </w:r>
      <w:r w:rsidR="00485B45">
        <w:rPr>
          <w:rFonts w:ascii="Arial" w:hAnsi="Arial" w:cs="Arial"/>
        </w:rPr>
        <w:t>.</w:t>
      </w:r>
      <w:r w:rsidRPr="003B5712">
        <w:rPr>
          <w:rStyle w:val="FootnoteReference"/>
          <w:rFonts w:ascii="Arial" w:hAnsi="Arial" w:cs="Arial"/>
        </w:rPr>
        <w:footnoteReference w:id="3"/>
      </w:r>
    </w:p>
    <w:p w14:paraId="05E2D877" w14:textId="77777777" w:rsidR="00DE75ED" w:rsidRPr="003B5712" w:rsidRDefault="00DE75ED" w:rsidP="009729E1">
      <w:pPr>
        <w:jc w:val="both"/>
        <w:rPr>
          <w:rFonts w:ascii="Arial" w:hAnsi="Arial" w:cs="Arial"/>
        </w:rPr>
      </w:pPr>
    </w:p>
    <w:p w14:paraId="4453E732" w14:textId="34752CC4" w:rsidR="00DE75ED" w:rsidRPr="00561838" w:rsidRDefault="00DE75ED" w:rsidP="0023796B">
      <w:pPr>
        <w:pStyle w:val="Heading2"/>
        <w:numPr>
          <w:ilvl w:val="0"/>
          <w:numId w:val="7"/>
        </w:numPr>
        <w:rPr>
          <w:rFonts w:ascii="Arial" w:hAnsi="Arial" w:cs="Arial"/>
          <w:b/>
          <w:bCs/>
          <w:color w:val="auto"/>
          <w:sz w:val="28"/>
          <w:szCs w:val="28"/>
        </w:rPr>
      </w:pPr>
      <w:r w:rsidRPr="00561838">
        <w:rPr>
          <w:rFonts w:ascii="Arial" w:hAnsi="Arial" w:cs="Arial"/>
          <w:b/>
          <w:bCs/>
          <w:color w:val="auto"/>
          <w:sz w:val="28"/>
          <w:szCs w:val="28"/>
        </w:rPr>
        <w:t>Regulation of AI</w:t>
      </w:r>
    </w:p>
    <w:p w14:paraId="657EF68B" w14:textId="1F54EE03" w:rsidR="00B35242" w:rsidRPr="003B5712" w:rsidRDefault="00DE75ED" w:rsidP="009729E1">
      <w:pPr>
        <w:jc w:val="both"/>
        <w:rPr>
          <w:rFonts w:ascii="Arial" w:hAnsi="Arial" w:cs="Arial"/>
        </w:rPr>
      </w:pPr>
      <w:r w:rsidRPr="003B5712">
        <w:rPr>
          <w:rFonts w:ascii="Arial" w:hAnsi="Arial" w:cs="Arial"/>
        </w:rPr>
        <w:t xml:space="preserve">The use of AI is </w:t>
      </w:r>
      <w:r w:rsidR="00ED3241" w:rsidRPr="003B5712">
        <w:rPr>
          <w:rFonts w:ascii="Arial" w:hAnsi="Arial" w:cs="Arial"/>
        </w:rPr>
        <w:t>rapidly increasing</w:t>
      </w:r>
      <w:r w:rsidRPr="003B5712">
        <w:rPr>
          <w:rFonts w:ascii="Arial" w:hAnsi="Arial" w:cs="Arial"/>
        </w:rPr>
        <w:t xml:space="preserve">, permeating industries and communities across the globe. The value of AI globally </w:t>
      </w:r>
      <w:r w:rsidR="00B35242" w:rsidRPr="003B5712">
        <w:rPr>
          <w:rFonts w:ascii="Arial" w:hAnsi="Arial" w:cs="Arial"/>
        </w:rPr>
        <w:t xml:space="preserve">is </w:t>
      </w:r>
      <w:r w:rsidRPr="003B5712">
        <w:rPr>
          <w:rFonts w:ascii="Arial" w:hAnsi="Arial" w:cs="Arial"/>
        </w:rPr>
        <w:t xml:space="preserve">estimated to </w:t>
      </w:r>
      <w:r w:rsidR="00B35242" w:rsidRPr="003B5712">
        <w:rPr>
          <w:rFonts w:ascii="Arial" w:hAnsi="Arial" w:cs="Arial"/>
        </w:rPr>
        <w:t>reach</w:t>
      </w:r>
      <w:r w:rsidRPr="003B5712">
        <w:rPr>
          <w:rFonts w:ascii="Arial" w:hAnsi="Arial" w:cs="Arial"/>
        </w:rPr>
        <w:t xml:space="preserve"> </w:t>
      </w:r>
      <w:r w:rsidR="00B35242" w:rsidRPr="003B5712">
        <w:rPr>
          <w:rFonts w:ascii="Arial" w:hAnsi="Arial" w:cs="Arial"/>
        </w:rPr>
        <w:t>$282.80 billion by the end of 2024</w:t>
      </w:r>
      <w:r w:rsidRPr="003B5712">
        <w:rPr>
          <w:rFonts w:ascii="Arial" w:hAnsi="Arial" w:cs="Arial"/>
        </w:rPr>
        <w:t xml:space="preserve">, and projected to grow by an additional </w:t>
      </w:r>
      <w:r w:rsidR="00B35242" w:rsidRPr="003B5712">
        <w:rPr>
          <w:rFonts w:ascii="Arial" w:hAnsi="Arial" w:cs="Arial"/>
        </w:rPr>
        <w:t>29.29</w:t>
      </w:r>
      <w:r w:rsidRPr="003B5712">
        <w:rPr>
          <w:rFonts w:ascii="Arial" w:hAnsi="Arial" w:cs="Arial"/>
        </w:rPr>
        <w:t>% by 2030</w:t>
      </w:r>
      <w:r w:rsidR="00B35242" w:rsidRPr="003B5712">
        <w:rPr>
          <w:rFonts w:ascii="Arial" w:hAnsi="Arial" w:cs="Arial"/>
        </w:rPr>
        <w:t>, resulting in a market value of 1,321.00 billion</w:t>
      </w:r>
      <w:r w:rsidR="00707448">
        <w:rPr>
          <w:rFonts w:ascii="Arial" w:hAnsi="Arial" w:cs="Arial"/>
        </w:rPr>
        <w:t>.</w:t>
      </w:r>
      <w:r w:rsidRPr="003B5712">
        <w:rPr>
          <w:rStyle w:val="FootnoteReference"/>
          <w:rFonts w:ascii="Arial" w:hAnsi="Arial" w:cs="Arial"/>
        </w:rPr>
        <w:footnoteReference w:id="4"/>
      </w:r>
    </w:p>
    <w:p w14:paraId="29D6DC8A" w14:textId="79770DFA" w:rsidR="00606EC2" w:rsidRPr="003B5712" w:rsidRDefault="00606EC2" w:rsidP="009729E1">
      <w:pPr>
        <w:jc w:val="both"/>
        <w:rPr>
          <w:rFonts w:ascii="Arial" w:hAnsi="Arial" w:cs="Arial"/>
        </w:rPr>
      </w:pPr>
    </w:p>
    <w:p w14:paraId="11582989" w14:textId="7A96EEE2" w:rsidR="00606EC2" w:rsidRPr="003B5712" w:rsidRDefault="00606EC2" w:rsidP="009729E1">
      <w:pPr>
        <w:jc w:val="both"/>
        <w:rPr>
          <w:rFonts w:ascii="Arial" w:hAnsi="Arial" w:cs="Arial"/>
        </w:rPr>
      </w:pPr>
      <w:r w:rsidRPr="003B5712">
        <w:rPr>
          <w:rFonts w:ascii="Arial" w:hAnsi="Arial" w:cs="Arial"/>
        </w:rPr>
        <w:t>Due to its rapid growth and development, regulatory mechanisms have struggled to keep up</w:t>
      </w:r>
      <w:r w:rsidR="00707448">
        <w:rPr>
          <w:rFonts w:ascii="Arial" w:hAnsi="Arial" w:cs="Arial"/>
        </w:rPr>
        <w:t xml:space="preserve">. However, the implementation of AI regulations </w:t>
      </w:r>
      <w:r w:rsidR="00707448" w:rsidRPr="003B5712">
        <w:rPr>
          <w:rFonts w:ascii="Arial" w:hAnsi="Arial" w:cs="Arial"/>
        </w:rPr>
        <w:t>ha</w:t>
      </w:r>
      <w:r w:rsidR="00707448">
        <w:rPr>
          <w:rFonts w:ascii="Arial" w:hAnsi="Arial" w:cs="Arial"/>
        </w:rPr>
        <w:t>s</w:t>
      </w:r>
      <w:r w:rsidR="00707448" w:rsidRPr="003B5712">
        <w:rPr>
          <w:rFonts w:ascii="Arial" w:hAnsi="Arial" w:cs="Arial"/>
        </w:rPr>
        <w:t xml:space="preserve"> seen a sharp rise in recent years.</w:t>
      </w:r>
      <w:r w:rsidR="00707448">
        <w:rPr>
          <w:rFonts w:ascii="Arial" w:hAnsi="Arial" w:cs="Arial"/>
        </w:rPr>
        <w:t xml:space="preserve"> For example, in the United States, i</w:t>
      </w:r>
      <w:r w:rsidR="00707448" w:rsidRPr="003B5712">
        <w:rPr>
          <w:rFonts w:ascii="Arial" w:hAnsi="Arial" w:cs="Arial"/>
        </w:rPr>
        <w:t>n 2016 there was a single AI related regulation, whereas in 2023 this had increased to 25 regulations, with a 56% increase in that year alone</w:t>
      </w:r>
      <w:r w:rsidR="00707448">
        <w:rPr>
          <w:rFonts w:ascii="Arial" w:hAnsi="Arial" w:cs="Arial"/>
        </w:rPr>
        <w:t>.</w:t>
      </w:r>
      <w:r w:rsidR="00707448" w:rsidRPr="003B5712">
        <w:rPr>
          <w:rStyle w:val="FootnoteReference"/>
          <w:rFonts w:ascii="Arial" w:hAnsi="Arial" w:cs="Arial"/>
        </w:rPr>
        <w:footnoteReference w:id="5"/>
      </w:r>
    </w:p>
    <w:p w14:paraId="67374082" w14:textId="77777777" w:rsidR="004523DC" w:rsidRDefault="004523DC" w:rsidP="009729E1">
      <w:pPr>
        <w:jc w:val="both"/>
        <w:rPr>
          <w:rFonts w:ascii="Arial" w:hAnsi="Arial" w:cs="Arial"/>
        </w:rPr>
      </w:pPr>
    </w:p>
    <w:p w14:paraId="71D3E43C" w14:textId="14A71168" w:rsidR="00707448" w:rsidRPr="00561838" w:rsidRDefault="00707448" w:rsidP="0023796B">
      <w:pPr>
        <w:pStyle w:val="ListParagraph"/>
        <w:numPr>
          <w:ilvl w:val="0"/>
          <w:numId w:val="7"/>
        </w:numPr>
        <w:jc w:val="both"/>
        <w:rPr>
          <w:rFonts w:ascii="Arial" w:hAnsi="Arial" w:cs="Arial"/>
          <w:b/>
          <w:bCs/>
          <w:sz w:val="28"/>
          <w:szCs w:val="28"/>
        </w:rPr>
      </w:pPr>
      <w:r w:rsidRPr="00561838">
        <w:rPr>
          <w:rFonts w:ascii="Arial" w:hAnsi="Arial" w:cs="Arial"/>
          <w:b/>
          <w:bCs/>
          <w:sz w:val="28"/>
          <w:szCs w:val="28"/>
        </w:rPr>
        <w:t>Australia</w:t>
      </w:r>
    </w:p>
    <w:p w14:paraId="0A3008E3" w14:textId="6D2AF5AA" w:rsidR="004523DC" w:rsidRPr="003B5712" w:rsidRDefault="004523DC" w:rsidP="009729E1">
      <w:pPr>
        <w:jc w:val="both"/>
        <w:rPr>
          <w:rFonts w:ascii="Arial" w:hAnsi="Arial" w:cs="Arial"/>
          <w:i/>
          <w:iCs/>
        </w:rPr>
      </w:pPr>
      <w:r w:rsidRPr="003B5712">
        <w:rPr>
          <w:rFonts w:ascii="Arial" w:hAnsi="Arial" w:cs="Arial"/>
        </w:rPr>
        <w:t xml:space="preserve">Australian lawmakers have </w:t>
      </w:r>
      <w:r w:rsidR="00707448">
        <w:rPr>
          <w:rFonts w:ascii="Arial" w:hAnsi="Arial" w:cs="Arial"/>
        </w:rPr>
        <w:t xml:space="preserve">started to </w:t>
      </w:r>
      <w:r w:rsidRPr="003B5712">
        <w:rPr>
          <w:rFonts w:ascii="Arial" w:hAnsi="Arial" w:cs="Arial"/>
        </w:rPr>
        <w:t xml:space="preserve">regulate the </w:t>
      </w:r>
      <w:r w:rsidR="005C757A" w:rsidRPr="003B5712">
        <w:rPr>
          <w:rFonts w:ascii="Arial" w:hAnsi="Arial" w:cs="Arial"/>
        </w:rPr>
        <w:t>use</w:t>
      </w:r>
      <w:r w:rsidRPr="003B5712">
        <w:rPr>
          <w:rFonts w:ascii="Arial" w:hAnsi="Arial" w:cs="Arial"/>
        </w:rPr>
        <w:t xml:space="preserve"> of AI. The Online Safety (Basic Online Safety Expectations) Determination 2022</w:t>
      </w:r>
      <w:r w:rsidR="00707448">
        <w:rPr>
          <w:rFonts w:ascii="Arial" w:hAnsi="Arial" w:cs="Arial"/>
        </w:rPr>
        <w:t>,</w:t>
      </w:r>
      <w:r w:rsidRPr="003B5712">
        <w:rPr>
          <w:rStyle w:val="FootnoteReference"/>
          <w:rFonts w:ascii="Arial" w:hAnsi="Arial" w:cs="Arial"/>
        </w:rPr>
        <w:footnoteReference w:id="6"/>
      </w:r>
      <w:r w:rsidRPr="003B5712">
        <w:rPr>
          <w:rFonts w:ascii="Arial" w:hAnsi="Arial" w:cs="Arial"/>
        </w:rPr>
        <w:t xml:space="preserve"> made under section 45 of the Online Safety Act 2022</w:t>
      </w:r>
      <w:r w:rsidR="00707448">
        <w:rPr>
          <w:rFonts w:ascii="Arial" w:hAnsi="Arial" w:cs="Arial"/>
        </w:rPr>
        <w:t>,</w:t>
      </w:r>
      <w:r w:rsidRPr="003B5712">
        <w:rPr>
          <w:rStyle w:val="FootnoteReference"/>
          <w:rFonts w:ascii="Arial" w:hAnsi="Arial" w:cs="Arial"/>
        </w:rPr>
        <w:footnoteReference w:id="7"/>
      </w:r>
      <w:r w:rsidRPr="003B5712">
        <w:rPr>
          <w:rFonts w:ascii="Arial" w:hAnsi="Arial" w:cs="Arial"/>
        </w:rPr>
        <w:t xml:space="preserve"> is an attempt to ensure the safety of internet users and reduce the risk of misuse of AI online. The Determination require</w:t>
      </w:r>
      <w:r w:rsidR="008336F8">
        <w:rPr>
          <w:rFonts w:ascii="Arial" w:hAnsi="Arial" w:cs="Arial"/>
        </w:rPr>
        <w:t>s</w:t>
      </w:r>
      <w:r w:rsidRPr="003B5712">
        <w:rPr>
          <w:rFonts w:ascii="Arial" w:hAnsi="Arial" w:cs="Arial"/>
        </w:rPr>
        <w:t xml:space="preserve"> that internet service providers take reasonable steps to ensure that their delivery of AI to the consumer base has safety at the forefront of its design implementation and maintenance. Reasonable steps include undertaking safety assessments, providing educational tools for users, monitoring the data used as training material for the AI systems, and </w:t>
      </w:r>
      <w:r w:rsidRPr="003B5712">
        <w:rPr>
          <w:rFonts w:ascii="Arial" w:hAnsi="Arial" w:cs="Arial"/>
        </w:rPr>
        <w:lastRenderedPageBreak/>
        <w:t>implementing ways of detecting harmful content. The Determination also requires that providers are proactive in their approaches to reducing the risk of their AI being used to create harmful content</w:t>
      </w:r>
      <w:r w:rsidR="008336F8">
        <w:rPr>
          <w:rFonts w:ascii="Arial" w:hAnsi="Arial" w:cs="Arial"/>
        </w:rPr>
        <w:t>.</w:t>
      </w:r>
      <w:r w:rsidRPr="003B5712">
        <w:rPr>
          <w:rStyle w:val="FootnoteReference"/>
          <w:rFonts w:ascii="Arial" w:hAnsi="Arial" w:cs="Arial"/>
        </w:rPr>
        <w:footnoteReference w:id="8"/>
      </w:r>
    </w:p>
    <w:p w14:paraId="3D23B093" w14:textId="77777777" w:rsidR="004523DC" w:rsidRPr="003B5712" w:rsidRDefault="004523DC" w:rsidP="009729E1">
      <w:pPr>
        <w:jc w:val="both"/>
        <w:rPr>
          <w:rFonts w:ascii="Arial" w:hAnsi="Arial" w:cs="Arial"/>
          <w:i/>
          <w:iCs/>
        </w:rPr>
      </w:pPr>
    </w:p>
    <w:p w14:paraId="14418059" w14:textId="00AEFB16" w:rsidR="002B1C07" w:rsidRDefault="004523DC" w:rsidP="006F6B89">
      <w:pPr>
        <w:jc w:val="both"/>
        <w:rPr>
          <w:rFonts w:ascii="Arial" w:hAnsi="Arial" w:cs="Arial"/>
        </w:rPr>
      </w:pPr>
      <w:r w:rsidRPr="003B5712">
        <w:rPr>
          <w:rFonts w:ascii="Arial" w:hAnsi="Arial" w:cs="Arial"/>
        </w:rPr>
        <w:t xml:space="preserve">Other Australian state and national legislation such as the </w:t>
      </w:r>
      <w:r w:rsidRPr="003B5712">
        <w:rPr>
          <w:rFonts w:ascii="Arial" w:hAnsi="Arial" w:cs="Arial"/>
          <w:i/>
          <w:iCs/>
        </w:rPr>
        <w:t>Privacy Act</w:t>
      </w:r>
      <w:r w:rsidR="00A76E42">
        <w:rPr>
          <w:rFonts w:ascii="Arial" w:hAnsi="Arial" w:cs="Arial"/>
          <w:i/>
          <w:iCs/>
        </w:rPr>
        <w:t>,</w:t>
      </w:r>
      <w:r w:rsidRPr="003B5712">
        <w:rPr>
          <w:rStyle w:val="FootnoteReference"/>
          <w:rFonts w:ascii="Arial" w:hAnsi="Arial" w:cs="Arial"/>
        </w:rPr>
        <w:footnoteReference w:id="9"/>
      </w:r>
      <w:r w:rsidRPr="003B5712">
        <w:rPr>
          <w:rFonts w:ascii="Arial" w:hAnsi="Arial" w:cs="Arial"/>
        </w:rPr>
        <w:t xml:space="preserve"> the Privacy and Personal Information Protection Act 1998</w:t>
      </w:r>
      <w:r w:rsidRPr="003B5712">
        <w:rPr>
          <w:rStyle w:val="FootnoteReference"/>
          <w:rFonts w:ascii="Arial" w:hAnsi="Arial" w:cs="Arial"/>
        </w:rPr>
        <w:footnoteReference w:id="10"/>
      </w:r>
      <w:r w:rsidRPr="003B5712">
        <w:rPr>
          <w:rFonts w:ascii="Arial" w:hAnsi="Arial" w:cs="Arial"/>
        </w:rPr>
        <w:t xml:space="preserve"> (NSW) and the Privacy Legislation Amendment (Enforcement and Other Measures) Act 2022</w:t>
      </w:r>
      <w:r w:rsidRPr="003B5712">
        <w:rPr>
          <w:rStyle w:val="FootnoteReference"/>
          <w:rFonts w:ascii="Arial" w:hAnsi="Arial" w:cs="Arial"/>
        </w:rPr>
        <w:footnoteReference w:id="11"/>
      </w:r>
      <w:r w:rsidRPr="003B5712">
        <w:rPr>
          <w:rFonts w:ascii="Arial" w:hAnsi="Arial" w:cs="Arial"/>
        </w:rPr>
        <w:t xml:space="preserve"> can assist in regulating certain elements of AI use on the internet, </w:t>
      </w:r>
      <w:r w:rsidR="0023796B">
        <w:rPr>
          <w:rFonts w:ascii="Arial" w:hAnsi="Arial" w:cs="Arial"/>
        </w:rPr>
        <w:t xml:space="preserve">but </w:t>
      </w:r>
      <w:r w:rsidRPr="003B5712">
        <w:rPr>
          <w:rFonts w:ascii="Arial" w:hAnsi="Arial" w:cs="Arial"/>
        </w:rPr>
        <w:t xml:space="preserve">there is not yet </w:t>
      </w:r>
      <w:r w:rsidR="00113B0C" w:rsidRPr="003B5712">
        <w:rPr>
          <w:rFonts w:ascii="Arial" w:hAnsi="Arial" w:cs="Arial"/>
        </w:rPr>
        <w:t xml:space="preserve">any specific legislation </w:t>
      </w:r>
      <w:r w:rsidR="002A1CF3">
        <w:rPr>
          <w:rFonts w:ascii="Arial" w:hAnsi="Arial" w:cs="Arial"/>
        </w:rPr>
        <w:t>that directly</w:t>
      </w:r>
      <w:r w:rsidRPr="003B5712">
        <w:rPr>
          <w:rFonts w:ascii="Arial" w:hAnsi="Arial" w:cs="Arial"/>
        </w:rPr>
        <w:t xml:space="preserve"> regulate</w:t>
      </w:r>
      <w:r w:rsidR="002A1CF3">
        <w:rPr>
          <w:rFonts w:ascii="Arial" w:hAnsi="Arial" w:cs="Arial"/>
        </w:rPr>
        <w:t>s</w:t>
      </w:r>
      <w:r w:rsidRPr="003B5712">
        <w:rPr>
          <w:rFonts w:ascii="Arial" w:hAnsi="Arial" w:cs="Arial"/>
        </w:rPr>
        <w:t xml:space="preserve"> the use of AI online.</w:t>
      </w:r>
      <w:r w:rsidR="006F6B89">
        <w:rPr>
          <w:rFonts w:ascii="Arial" w:hAnsi="Arial" w:cs="Arial"/>
        </w:rPr>
        <w:t xml:space="preserve"> </w:t>
      </w:r>
      <w:r w:rsidR="0023796B">
        <w:rPr>
          <w:rFonts w:ascii="Arial" w:hAnsi="Arial" w:cs="Arial"/>
        </w:rPr>
        <w:t>However, t</w:t>
      </w:r>
      <w:r w:rsidR="006F6B89">
        <w:rPr>
          <w:rFonts w:ascii="Arial" w:hAnsi="Arial" w:cs="Arial"/>
        </w:rPr>
        <w:t>he Australian government is</w:t>
      </w:r>
      <w:r w:rsidR="002B1C07">
        <w:rPr>
          <w:rFonts w:ascii="Arial" w:hAnsi="Arial" w:cs="Arial"/>
        </w:rPr>
        <w:t xml:space="preserve"> </w:t>
      </w:r>
      <w:r w:rsidR="006F6B89">
        <w:rPr>
          <w:rFonts w:ascii="Arial" w:hAnsi="Arial" w:cs="Arial"/>
        </w:rPr>
        <w:t>currently engaged in consultation around the safe use of AI in Australia</w:t>
      </w:r>
      <w:r w:rsidR="002B1C07">
        <w:rPr>
          <w:rFonts w:ascii="Arial" w:hAnsi="Arial" w:cs="Arial"/>
        </w:rPr>
        <w:t xml:space="preserve"> and </w:t>
      </w:r>
      <w:r w:rsidR="0023796B">
        <w:rPr>
          <w:rFonts w:ascii="Arial" w:hAnsi="Arial" w:cs="Arial"/>
        </w:rPr>
        <w:t>other</w:t>
      </w:r>
      <w:r w:rsidR="002B1C07">
        <w:rPr>
          <w:rFonts w:ascii="Arial" w:hAnsi="Arial" w:cs="Arial"/>
        </w:rPr>
        <w:t xml:space="preserve"> policy activity. Notably:</w:t>
      </w:r>
    </w:p>
    <w:p w14:paraId="137D2088" w14:textId="77777777" w:rsidR="002B1C07" w:rsidRDefault="002B1C07" w:rsidP="006F6B89">
      <w:pPr>
        <w:jc w:val="both"/>
        <w:rPr>
          <w:rFonts w:ascii="Arial" w:hAnsi="Arial" w:cs="Arial"/>
        </w:rPr>
      </w:pPr>
    </w:p>
    <w:p w14:paraId="05B00C53" w14:textId="4A19C83E" w:rsidR="002B1C07" w:rsidRPr="002B1C07" w:rsidRDefault="002B1C07" w:rsidP="006F6B89">
      <w:pPr>
        <w:pStyle w:val="ListParagraph"/>
        <w:numPr>
          <w:ilvl w:val="0"/>
          <w:numId w:val="6"/>
        </w:numPr>
        <w:jc w:val="both"/>
        <w:rPr>
          <w:rFonts w:ascii="Arial" w:hAnsi="Arial" w:cs="Arial"/>
        </w:rPr>
      </w:pPr>
      <w:r w:rsidRPr="002B1C07">
        <w:rPr>
          <w:rFonts w:ascii="Arial" w:hAnsi="Arial" w:cs="Arial"/>
        </w:rPr>
        <w:t>June 2023: a</w:t>
      </w:r>
      <w:r w:rsidR="006F6B89" w:rsidRPr="002B1C07">
        <w:rPr>
          <w:rFonts w:ascii="Arial" w:hAnsi="Arial" w:cs="Arial"/>
        </w:rPr>
        <w:t xml:space="preserve"> Discussion paper</w:t>
      </w:r>
      <w:r w:rsidRPr="002B1C07">
        <w:rPr>
          <w:rFonts w:ascii="Arial" w:hAnsi="Arial" w:cs="Arial"/>
        </w:rPr>
        <w:t xml:space="preserve"> was released on the safe use of AI for </w:t>
      </w:r>
      <w:r w:rsidR="006F6B89" w:rsidRPr="002B1C07">
        <w:rPr>
          <w:rFonts w:ascii="Arial" w:hAnsi="Arial" w:cs="Arial"/>
        </w:rPr>
        <w:t>public comment.</w:t>
      </w:r>
      <w:r w:rsidR="006F6B89">
        <w:rPr>
          <w:rStyle w:val="FootnoteReference"/>
          <w:rFonts w:ascii="Arial" w:hAnsi="Arial" w:cs="Arial"/>
        </w:rPr>
        <w:footnoteReference w:id="12"/>
      </w:r>
      <w:r w:rsidR="00113B0C" w:rsidRPr="002B1C07">
        <w:rPr>
          <w:rFonts w:ascii="Arial" w:hAnsi="Arial" w:cs="Arial"/>
        </w:rPr>
        <w:t xml:space="preserve"> T</w:t>
      </w:r>
      <w:r w:rsidRPr="002B1C07">
        <w:rPr>
          <w:rFonts w:ascii="Arial" w:hAnsi="Arial" w:cs="Arial"/>
        </w:rPr>
        <w:t xml:space="preserve">opics include </w:t>
      </w:r>
      <w:r w:rsidR="00113B0C" w:rsidRPr="002B1C07">
        <w:rPr>
          <w:rFonts w:ascii="Arial" w:hAnsi="Arial" w:cs="Arial"/>
        </w:rPr>
        <w:t xml:space="preserve">the opportunities and challenges of AI, and strategies for managing the risks posed by AI. </w:t>
      </w:r>
    </w:p>
    <w:p w14:paraId="58A96736" w14:textId="3D6C3ABC" w:rsidR="002B1C07" w:rsidRPr="002B1C07" w:rsidRDefault="002B1C07" w:rsidP="006F6B89">
      <w:pPr>
        <w:pStyle w:val="ListParagraph"/>
        <w:numPr>
          <w:ilvl w:val="0"/>
          <w:numId w:val="6"/>
        </w:numPr>
        <w:jc w:val="both"/>
        <w:rPr>
          <w:rFonts w:ascii="Arial" w:hAnsi="Arial" w:cs="Arial"/>
        </w:rPr>
      </w:pPr>
      <w:r w:rsidRPr="002B1C07">
        <w:rPr>
          <w:rFonts w:ascii="Arial" w:hAnsi="Arial" w:cs="Arial"/>
        </w:rPr>
        <w:t>September 2023: the </w:t>
      </w:r>
      <w:hyperlink r:id="rId8" w:tgtFrame="_blank" w:history="1">
        <w:r w:rsidRPr="002B1C07">
          <w:rPr>
            <w:rStyle w:val="Hyperlink"/>
            <w:rFonts w:ascii="Arial" w:hAnsi="Arial" w:cs="Arial"/>
          </w:rPr>
          <w:t>AI in Government Taskforce</w:t>
        </w:r>
      </w:hyperlink>
      <w:r w:rsidRPr="002B1C07">
        <w:rPr>
          <w:rFonts w:ascii="Arial" w:hAnsi="Arial" w:cs="Arial"/>
        </w:rPr>
        <w:t xml:space="preserve"> was set up</w:t>
      </w:r>
    </w:p>
    <w:p w14:paraId="4CB855F3" w14:textId="1B0BE0DC" w:rsidR="002B1C07" w:rsidRPr="002B1C07" w:rsidRDefault="00113B0C" w:rsidP="006F6B89">
      <w:pPr>
        <w:pStyle w:val="ListParagraph"/>
        <w:numPr>
          <w:ilvl w:val="0"/>
          <w:numId w:val="6"/>
        </w:numPr>
        <w:jc w:val="both"/>
        <w:rPr>
          <w:rFonts w:ascii="Arial" w:hAnsi="Arial" w:cs="Arial"/>
        </w:rPr>
      </w:pPr>
      <w:r w:rsidRPr="002B1C07">
        <w:rPr>
          <w:rFonts w:ascii="Arial" w:hAnsi="Arial" w:cs="Arial"/>
        </w:rPr>
        <w:t>January 2024</w:t>
      </w:r>
      <w:r w:rsidR="002B1C07" w:rsidRPr="002B1C07">
        <w:rPr>
          <w:rFonts w:ascii="Arial" w:hAnsi="Arial" w:cs="Arial"/>
        </w:rPr>
        <w:t>:</w:t>
      </w:r>
      <w:r w:rsidRPr="002B1C07">
        <w:rPr>
          <w:rFonts w:ascii="Arial" w:hAnsi="Arial" w:cs="Arial"/>
        </w:rPr>
        <w:t xml:space="preserve"> commentary was released by the government acknowledging the challenges presented by AI and detailing the potential mechanisms which may be required for the use of AI.</w:t>
      </w:r>
      <w:r w:rsidRPr="003B5712">
        <w:rPr>
          <w:rStyle w:val="FootnoteReference"/>
          <w:rFonts w:ascii="Arial" w:hAnsi="Arial" w:cs="Arial"/>
        </w:rPr>
        <w:footnoteReference w:id="13"/>
      </w:r>
    </w:p>
    <w:p w14:paraId="27CA46E0" w14:textId="499140E8" w:rsidR="002B1C07" w:rsidRDefault="002B1C07" w:rsidP="002B1C07">
      <w:pPr>
        <w:pStyle w:val="ListParagraph"/>
        <w:numPr>
          <w:ilvl w:val="0"/>
          <w:numId w:val="6"/>
        </w:numPr>
        <w:jc w:val="both"/>
        <w:rPr>
          <w:rFonts w:ascii="Arial" w:hAnsi="Arial" w:cs="Arial"/>
        </w:rPr>
      </w:pPr>
      <w:r w:rsidRPr="002B1C07">
        <w:rPr>
          <w:rFonts w:ascii="Arial" w:hAnsi="Arial" w:cs="Arial"/>
        </w:rPr>
        <w:t xml:space="preserve">February  2024: the </w:t>
      </w:r>
      <w:hyperlink r:id="rId9" w:anchor="meet-the-ai-advisory-expert-group-4" w:tgtFrame="_blank" w:history="1">
        <w:r w:rsidRPr="002B1C07">
          <w:rPr>
            <w:rStyle w:val="Hyperlink"/>
            <w:rFonts w:ascii="Arial" w:hAnsi="Arial" w:cs="Arial"/>
          </w:rPr>
          <w:t>Artificial Intelligence Expert Group</w:t>
        </w:r>
      </w:hyperlink>
      <w:r w:rsidRPr="002B1C07">
        <w:rPr>
          <w:rFonts w:ascii="Arial" w:hAnsi="Arial" w:cs="Arial"/>
        </w:rPr>
        <w:t xml:space="preserve"> was set up. </w:t>
      </w:r>
    </w:p>
    <w:p w14:paraId="00113F35" w14:textId="471A1D71" w:rsidR="006F6B89" w:rsidRDefault="00411E08" w:rsidP="00CC4A88">
      <w:pPr>
        <w:pStyle w:val="ListParagraph"/>
        <w:numPr>
          <w:ilvl w:val="0"/>
          <w:numId w:val="6"/>
        </w:numPr>
        <w:jc w:val="both"/>
        <w:rPr>
          <w:rFonts w:ascii="Arial" w:hAnsi="Arial" w:cs="Arial"/>
        </w:rPr>
      </w:pPr>
      <w:r w:rsidRPr="00411E08">
        <w:rPr>
          <w:rFonts w:ascii="Arial" w:hAnsi="Arial" w:cs="Arial"/>
        </w:rPr>
        <w:t xml:space="preserve">June 2024: </w:t>
      </w:r>
      <w:r w:rsidR="00113B0C" w:rsidRPr="00411E08">
        <w:rPr>
          <w:rFonts w:ascii="Arial" w:hAnsi="Arial" w:cs="Arial"/>
        </w:rPr>
        <w:t>“The National framework for the assurance of artificial intelligence in government” was released. Th</w:t>
      </w:r>
      <w:r>
        <w:rPr>
          <w:rFonts w:ascii="Arial" w:hAnsi="Arial" w:cs="Arial"/>
        </w:rPr>
        <w:t xml:space="preserve">is </w:t>
      </w:r>
      <w:r w:rsidR="00113B0C" w:rsidRPr="00411E08">
        <w:rPr>
          <w:rFonts w:ascii="Arial" w:hAnsi="Arial" w:cs="Arial"/>
        </w:rPr>
        <w:t xml:space="preserve"> framework deals with the government’s use of AI.</w:t>
      </w:r>
    </w:p>
    <w:p w14:paraId="1EA3091D" w14:textId="77777777" w:rsidR="00411E08" w:rsidRDefault="00411E08" w:rsidP="00411E08">
      <w:pPr>
        <w:jc w:val="both"/>
        <w:rPr>
          <w:rFonts w:ascii="Arial" w:hAnsi="Arial" w:cs="Arial"/>
        </w:rPr>
      </w:pPr>
    </w:p>
    <w:p w14:paraId="69926D62" w14:textId="60BC02FB" w:rsidR="0023796B" w:rsidRPr="00561838" w:rsidRDefault="0023796B" w:rsidP="0023796B">
      <w:pPr>
        <w:pStyle w:val="ListParagraph"/>
        <w:numPr>
          <w:ilvl w:val="0"/>
          <w:numId w:val="7"/>
        </w:numPr>
        <w:rPr>
          <w:b/>
          <w:bCs/>
          <w:sz w:val="28"/>
          <w:szCs w:val="28"/>
        </w:rPr>
      </w:pPr>
      <w:r w:rsidRPr="00561838">
        <w:rPr>
          <w:b/>
          <w:bCs/>
          <w:sz w:val="28"/>
          <w:szCs w:val="28"/>
        </w:rPr>
        <w:t>Regulatory challenges</w:t>
      </w:r>
    </w:p>
    <w:p w14:paraId="4B597EC1" w14:textId="77777777" w:rsidR="0023796B" w:rsidRDefault="0023796B" w:rsidP="0023796B">
      <w:pPr>
        <w:rPr>
          <w:b/>
          <w:bCs/>
          <w:sz w:val="32"/>
          <w:szCs w:val="32"/>
        </w:rPr>
      </w:pPr>
    </w:p>
    <w:p w14:paraId="3FC724EB" w14:textId="291D5C37" w:rsidR="0023796B" w:rsidRDefault="0023796B" w:rsidP="0023796B">
      <w:pPr>
        <w:pStyle w:val="ListParagraph"/>
        <w:numPr>
          <w:ilvl w:val="0"/>
          <w:numId w:val="8"/>
        </w:numPr>
        <w:rPr>
          <w:b/>
          <w:bCs/>
        </w:rPr>
      </w:pPr>
      <w:r w:rsidRPr="0023796B">
        <w:rPr>
          <w:b/>
          <w:bCs/>
          <w:sz w:val="32"/>
          <w:szCs w:val="32"/>
        </w:rPr>
        <w:t xml:space="preserve"> </w:t>
      </w:r>
      <w:r w:rsidRPr="00561838">
        <w:rPr>
          <w:b/>
          <w:bCs/>
        </w:rPr>
        <w:t xml:space="preserve">Misinformation and Disinformation </w:t>
      </w:r>
    </w:p>
    <w:p w14:paraId="5B4482BD" w14:textId="77777777" w:rsidR="002A6614" w:rsidRPr="00561838" w:rsidRDefault="002A6614" w:rsidP="002A6614">
      <w:pPr>
        <w:pStyle w:val="ListParagraph"/>
        <w:rPr>
          <w:b/>
          <w:bCs/>
        </w:rPr>
      </w:pPr>
    </w:p>
    <w:p w14:paraId="55E02090" w14:textId="77777777" w:rsidR="0023796B" w:rsidRDefault="0023796B" w:rsidP="0023796B">
      <w:pPr>
        <w:rPr>
          <w:b/>
          <w:bCs/>
        </w:rPr>
      </w:pPr>
      <w:r>
        <w:rPr>
          <w:b/>
          <w:bCs/>
        </w:rPr>
        <w:t xml:space="preserve">See </w:t>
      </w:r>
      <w:hyperlink r:id="rId10" w:history="1">
        <w:r>
          <w:rPr>
            <w:rStyle w:val="Hyperlink"/>
            <w:b/>
            <w:bCs/>
          </w:rPr>
          <w:t>an explanation of misinformation</w:t>
        </w:r>
      </w:hyperlink>
      <w:r>
        <w:rPr>
          <w:b/>
          <w:bCs/>
        </w:rPr>
        <w:t xml:space="preserve"> by the ACMA. </w:t>
      </w:r>
    </w:p>
    <w:p w14:paraId="542419DA" w14:textId="77777777" w:rsidR="002A6614" w:rsidRPr="0050328D" w:rsidRDefault="002A6614" w:rsidP="0023796B">
      <w:pPr>
        <w:rPr>
          <w:b/>
          <w:bCs/>
        </w:rPr>
      </w:pPr>
    </w:p>
    <w:p w14:paraId="124E224F" w14:textId="77777777" w:rsidR="0023796B" w:rsidRDefault="0023796B" w:rsidP="0023796B">
      <w:pPr>
        <w:rPr>
          <w:rFonts w:asciiTheme="majorHAnsi" w:hAnsiTheme="majorHAnsi" w:cs="Times New Roman"/>
        </w:rPr>
      </w:pPr>
      <w:r>
        <w:t>Artificial Intelligence (‘AI’) has contributed to the ongoing challenge of regulating and controlling the spread of misinformation and disinformation. Misinformation is ‘false, misleading or deceptive information that can cause harm’. Disinformation is misinformation that is deliberately spread to cause confusion and undermine trust in governments or institutions.</w:t>
      </w:r>
      <w:r>
        <w:rPr>
          <w:rStyle w:val="FootnoteReference"/>
        </w:rPr>
        <w:footnoteReference w:id="14"/>
      </w:r>
      <w:r>
        <w:t xml:space="preserve"> Algorithms and ‘bots’ are becoming some of the strongest spreaders of false, unreliable and misleading information online. </w:t>
      </w:r>
      <w:r>
        <w:rPr>
          <w:rFonts w:asciiTheme="majorHAnsi" w:hAnsiTheme="majorHAnsi"/>
        </w:rPr>
        <w:t>‘</w:t>
      </w:r>
      <w:r>
        <w:rPr>
          <w:rFonts w:asciiTheme="majorHAnsi" w:hAnsiTheme="majorHAnsi" w:cs="Times New Roman"/>
        </w:rPr>
        <w:t>B</w:t>
      </w:r>
      <w:r w:rsidRPr="00C85B16">
        <w:rPr>
          <w:rFonts w:asciiTheme="majorHAnsi" w:hAnsiTheme="majorHAnsi" w:cs="Times New Roman"/>
        </w:rPr>
        <w:t>ots’ are computer algorithms generated by AI that automatically produce content and interact with humans on social media platforms.</w:t>
      </w:r>
      <w:r>
        <w:rPr>
          <w:rFonts w:asciiTheme="majorHAnsi" w:hAnsiTheme="majorHAnsi" w:cs="Times New Roman"/>
        </w:rPr>
        <w:t xml:space="preserve"> </w:t>
      </w:r>
    </w:p>
    <w:p w14:paraId="743DD3E6" w14:textId="77777777" w:rsidR="002A6614" w:rsidRPr="00E21AF8" w:rsidRDefault="002A6614" w:rsidP="0023796B">
      <w:pPr>
        <w:rPr>
          <w:rFonts w:asciiTheme="majorHAnsi" w:hAnsiTheme="majorHAnsi" w:cs="Times New Roman"/>
        </w:rPr>
      </w:pPr>
    </w:p>
    <w:p w14:paraId="5A86FD0D" w14:textId="77777777" w:rsidR="0023796B" w:rsidRDefault="0023796B" w:rsidP="0023796B">
      <w:pPr>
        <w:rPr>
          <w:rFonts w:cs="Arial"/>
        </w:rPr>
      </w:pPr>
      <w:r>
        <w:t xml:space="preserve">The spread of misinformation and disinformation online has been linked to propaganda and the proliferation </w:t>
      </w:r>
      <w:r w:rsidRPr="001B3A69">
        <w:t xml:space="preserve">of abuse and targeted attacks, and harm in emergency situations as civilians are unable to obtain the correct information from reliable sources about how they should ensure their own safety. </w:t>
      </w:r>
      <w:r w:rsidRPr="001B3A69">
        <w:rPr>
          <w:rFonts w:cs="Arial"/>
        </w:rPr>
        <w:t xml:space="preserve">A 2023 </w:t>
      </w:r>
      <w:hyperlink r:id="rId11" w:anchor=":~:text=According%20to%20the%20survey%20data%2C%20a%20combined%2076%25,43%25%20being%20very%20concerned%20and%2033%25%20somewhat%20concerned." w:history="1">
        <w:r w:rsidRPr="00EA486E">
          <w:rPr>
            <w:rStyle w:val="Hyperlink"/>
            <w:rFonts w:cs="Arial"/>
          </w:rPr>
          <w:t>Forbes report</w:t>
        </w:r>
      </w:hyperlink>
      <w:r w:rsidRPr="001B3A69">
        <w:rPr>
          <w:rFonts w:cs="Arial"/>
        </w:rPr>
        <w:t xml:space="preserve"> indicated that 76% of consumers were worried about misinformation provided by AI.</w:t>
      </w:r>
    </w:p>
    <w:p w14:paraId="57BA3C9A" w14:textId="77777777" w:rsidR="002A6614" w:rsidRPr="001B3A69" w:rsidRDefault="002A6614" w:rsidP="0023796B"/>
    <w:p w14:paraId="07A6B916" w14:textId="77777777" w:rsidR="0023796B" w:rsidRPr="002F2E56" w:rsidRDefault="0023796B" w:rsidP="0023796B">
      <w:pPr>
        <w:rPr>
          <w:b/>
          <w:bCs/>
          <w:i/>
          <w:iCs/>
        </w:rPr>
      </w:pPr>
      <w:r>
        <w:rPr>
          <w:b/>
          <w:bCs/>
          <w:i/>
          <w:iCs/>
        </w:rPr>
        <w:t>Regulation</w:t>
      </w:r>
    </w:p>
    <w:p w14:paraId="221740E8" w14:textId="77777777" w:rsidR="0023796B" w:rsidRDefault="0023796B" w:rsidP="0023796B">
      <w:r>
        <w:t xml:space="preserve">Misinformation and disinformation are regulated in Australia through a voluntary code of practice. The </w:t>
      </w:r>
      <w:r w:rsidRPr="0020101A">
        <w:rPr>
          <w:i/>
          <w:iCs/>
        </w:rPr>
        <w:t>Australian Code of Practice on Disinformation and Misinformation</w:t>
      </w:r>
      <w:r>
        <w:t xml:space="preserve"> (The Code) was released in Australia by The Digital Industry Group (DIGI) in February 2021. DIGI is a not-for-profit industry association tasked with administering the Code. The objective of the Code is to combat false material being released on digital platforms by setting a standard of practice to which signatories are required to comply with. Eight technology companies have opted into commitments under the Code, however according to provision 7.1 they are only required to comply with their selected commitments. Provision 7.2 also recognises that companies may withdraw from the Code by notifying DIGI. An independent Complaints Committee resolves complaints regarding Signatories compliance with their commitments under the Code and the public has access to complaints that are made via a complaints portal on DIGI’s website.</w:t>
      </w:r>
      <w:r>
        <w:rPr>
          <w:rStyle w:val="FootnoteReference"/>
        </w:rPr>
        <w:footnoteReference w:id="15"/>
      </w:r>
      <w:r>
        <w:t xml:space="preserve"> The Australian Communications and Media Authority (ACMA) also has oversight over the code and reports on the adequacy of platforms measures to implement their commitments. These reports are then publicly available. </w:t>
      </w:r>
    </w:p>
    <w:p w14:paraId="0471EC52" w14:textId="77777777" w:rsidR="002A6614" w:rsidRDefault="002A6614" w:rsidP="0023796B"/>
    <w:p w14:paraId="7121DBCB" w14:textId="77777777" w:rsidR="0023796B" w:rsidRPr="0026659A" w:rsidRDefault="0023796B" w:rsidP="0023796B">
      <w:pPr>
        <w:rPr>
          <w:b/>
          <w:bCs/>
          <w:i/>
          <w:iCs/>
        </w:rPr>
      </w:pPr>
      <w:r>
        <w:rPr>
          <w:b/>
          <w:bCs/>
          <w:i/>
          <w:iCs/>
        </w:rPr>
        <w:t xml:space="preserve">Online Safety Act </w:t>
      </w:r>
    </w:p>
    <w:p w14:paraId="3AFA00F1" w14:textId="77777777" w:rsidR="0023796B" w:rsidRDefault="0023796B" w:rsidP="0023796B">
      <w:r>
        <w:t xml:space="preserve">The </w:t>
      </w:r>
      <w:r w:rsidRPr="00266735">
        <w:rPr>
          <w:i/>
          <w:iCs/>
        </w:rPr>
        <w:t>Online Safety Act 2021</w:t>
      </w:r>
      <w:r>
        <w:t xml:space="preserve"> (</w:t>
      </w:r>
      <w:proofErr w:type="spellStart"/>
      <w:r>
        <w:t>Cth</w:t>
      </w:r>
      <w:proofErr w:type="spellEnd"/>
      <w:r>
        <w:t>) does not directly regulate the spread of misinformation and disinformation. However, the Commissioner has the power to require providers to report on the extent to which they are complying with expectations under BOSE. Importantly, however, failure to comply with the expectations listed in BOSE will not lead to legal penalties as they are not enforceable by proceedings in a court.</w:t>
      </w:r>
      <w:r>
        <w:rPr>
          <w:rStyle w:val="FootnoteReference"/>
        </w:rPr>
        <w:footnoteReference w:id="16"/>
      </w:r>
      <w:r>
        <w:t xml:space="preserve"> Inclusive within the ‘Core Expectations’ under BOSE, providers are required to take ‘reasonable steps’ to ensure the safety of their end-users and to prevent ‘harmful material’ being released on their sites.</w:t>
      </w:r>
      <w:r>
        <w:rPr>
          <w:rStyle w:val="FootnoteReference"/>
        </w:rPr>
        <w:footnoteReference w:id="17"/>
      </w:r>
      <w:r>
        <w:t xml:space="preserve"> Under the first determination of BOSE in 2022 the Minister for Communications set out expectations that providers would take reasonable steps to minimise the extent to which AI and anonymous accounts would produce harmful material on their sites.</w:t>
      </w:r>
      <w:r>
        <w:rPr>
          <w:rStyle w:val="FootnoteReference"/>
        </w:rPr>
        <w:footnoteReference w:id="18"/>
      </w:r>
      <w:r>
        <w:t xml:space="preserve"> ‘Harmful material’ is not defined anywhere in the Act, however it is considered a ‘reasonable step’ by the provider to request a consultation with the </w:t>
      </w:r>
      <w:proofErr w:type="spellStart"/>
      <w:r>
        <w:t>eSafety</w:t>
      </w:r>
      <w:proofErr w:type="spellEnd"/>
      <w:r>
        <w:t xml:space="preserve"> Commissioner in making determinations about what may be ‘harmful’.  </w:t>
      </w:r>
    </w:p>
    <w:p w14:paraId="219E519B" w14:textId="77777777" w:rsidR="002A6614" w:rsidRDefault="002A6614" w:rsidP="0023796B"/>
    <w:p w14:paraId="240303AE" w14:textId="77777777" w:rsidR="0023796B" w:rsidRPr="0026659A" w:rsidRDefault="0023796B" w:rsidP="0023796B">
      <w:pPr>
        <w:rPr>
          <w:b/>
          <w:bCs/>
          <w:i/>
          <w:iCs/>
        </w:rPr>
      </w:pPr>
      <w:r>
        <w:rPr>
          <w:b/>
          <w:bCs/>
          <w:i/>
          <w:iCs/>
        </w:rPr>
        <w:t>Recent Developments</w:t>
      </w:r>
    </w:p>
    <w:p w14:paraId="22B0F3CB" w14:textId="77777777" w:rsidR="0023796B" w:rsidRDefault="0023796B" w:rsidP="0023796B">
      <w:r>
        <w:t xml:space="preserve">The Australian Government appears to be interested in introducing legislation to combat the spread of misinformation and disinformation on digital platforms. A senate </w:t>
      </w:r>
      <w:r>
        <w:lastRenderedPageBreak/>
        <w:t xml:space="preserve">inquiry was conducted in 2023 by the Economics References Committee who reported on the ‘Influence of international digital platforms’. This inquiry received several submissions from organisations such as the Human Rights Law Centre noting concerns about the rise of disinformation and misinformation online and the failure of any existing effective enforcement mechanism combatting it. An exposure draft of the </w:t>
      </w:r>
      <w:r w:rsidRPr="00E03B1A">
        <w:rPr>
          <w:i/>
          <w:iCs/>
        </w:rPr>
        <w:t>Communications Legislation Amendment (Combatting Misinformation and Disinformation) Bill</w:t>
      </w:r>
      <w:r>
        <w:t xml:space="preserve"> 2023 was released for public feedback on 25 June 2023. This legislation would afford  ACMA new powers to hold digital platforms to account and strengthen and support the Code to extend to non-signatories. The Government, however, has not yet announced a timeline for introduction of this Bill to parliament and there is considerable pushback from organisations noting concerns for the restraint it may impose on freedom of expression. </w:t>
      </w:r>
    </w:p>
    <w:p w14:paraId="7576BB69" w14:textId="77777777" w:rsidR="0023796B" w:rsidRDefault="0023796B" w:rsidP="0023796B"/>
    <w:p w14:paraId="79857474" w14:textId="77777777" w:rsidR="0023796B" w:rsidRDefault="0023796B" w:rsidP="0023796B">
      <w:pPr>
        <w:rPr>
          <w:b/>
          <w:bCs/>
        </w:rPr>
      </w:pPr>
      <w:r w:rsidRPr="006A6F73">
        <w:rPr>
          <w:b/>
          <w:bCs/>
        </w:rPr>
        <w:t xml:space="preserve">See an outline of </w:t>
      </w:r>
      <w:hyperlink r:id="rId12" w:history="1">
        <w:r w:rsidRPr="006A6F73">
          <w:rPr>
            <w:rStyle w:val="Hyperlink"/>
            <w:b/>
            <w:bCs/>
          </w:rPr>
          <w:t>changes to expect in 2024</w:t>
        </w:r>
      </w:hyperlink>
      <w:r w:rsidRPr="006A6F73">
        <w:rPr>
          <w:b/>
          <w:bCs/>
        </w:rPr>
        <w:t xml:space="preserve"> by Nell Fraser posted to the Australian Parliament’s website. </w:t>
      </w:r>
    </w:p>
    <w:p w14:paraId="7DA1B045" w14:textId="0AB7ED03" w:rsidR="00561838" w:rsidRDefault="00561838" w:rsidP="0023796B">
      <w:pPr>
        <w:rPr>
          <w:b/>
          <w:bCs/>
        </w:rPr>
      </w:pPr>
    </w:p>
    <w:p w14:paraId="6BE678B7" w14:textId="242AB368" w:rsidR="00561838" w:rsidRPr="006A6F73" w:rsidRDefault="00561838" w:rsidP="0023796B">
      <w:pPr>
        <w:rPr>
          <w:b/>
          <w:bCs/>
        </w:rPr>
      </w:pPr>
      <w:r>
        <w:rPr>
          <w:b/>
          <w:bCs/>
        </w:rPr>
        <w:t xml:space="preserve">ii) </w:t>
      </w:r>
      <w:r w:rsidRPr="002A6614">
        <w:rPr>
          <w:b/>
          <w:bCs/>
          <w:highlight w:val="yellow"/>
        </w:rPr>
        <w:t xml:space="preserve">DEEPFAKES COULD GO HERE? SEE </w:t>
      </w:r>
      <w:r w:rsidR="002A6614" w:rsidRPr="002A6614">
        <w:rPr>
          <w:b/>
          <w:bCs/>
          <w:highlight w:val="yellow"/>
        </w:rPr>
        <w:t>007 and 008</w:t>
      </w:r>
    </w:p>
    <w:p w14:paraId="1B4873A5" w14:textId="77777777" w:rsidR="0023796B" w:rsidRDefault="0023796B" w:rsidP="00411E08">
      <w:pPr>
        <w:jc w:val="both"/>
        <w:rPr>
          <w:rFonts w:ascii="Arial" w:hAnsi="Arial" w:cs="Arial"/>
        </w:rPr>
      </w:pPr>
    </w:p>
    <w:p w14:paraId="23E2EF51" w14:textId="6589F07C" w:rsidR="00CC1A9A" w:rsidRPr="00561838" w:rsidRDefault="00CC1A9A" w:rsidP="0023796B">
      <w:pPr>
        <w:pStyle w:val="Heading2"/>
        <w:numPr>
          <w:ilvl w:val="0"/>
          <w:numId w:val="7"/>
        </w:numPr>
        <w:rPr>
          <w:rFonts w:ascii="Arial" w:hAnsi="Arial" w:cs="Arial"/>
          <w:b/>
          <w:bCs/>
          <w:color w:val="auto"/>
          <w:sz w:val="28"/>
          <w:szCs w:val="28"/>
        </w:rPr>
      </w:pPr>
      <w:r w:rsidRPr="00561838">
        <w:rPr>
          <w:rFonts w:ascii="Arial" w:hAnsi="Arial" w:cs="Arial"/>
          <w:b/>
          <w:bCs/>
          <w:color w:val="auto"/>
          <w:sz w:val="28"/>
          <w:szCs w:val="28"/>
        </w:rPr>
        <w:t>AI as a Regulatory Tool</w:t>
      </w:r>
    </w:p>
    <w:p w14:paraId="2D7F9EBC" w14:textId="77777777" w:rsidR="00CC1A9A" w:rsidRPr="003B5712" w:rsidRDefault="00CC1A9A" w:rsidP="009729E1">
      <w:pPr>
        <w:jc w:val="both"/>
        <w:rPr>
          <w:rFonts w:ascii="Arial" w:hAnsi="Arial" w:cs="Arial"/>
        </w:rPr>
      </w:pPr>
    </w:p>
    <w:p w14:paraId="5BBF2DC2" w14:textId="1F95A730" w:rsidR="006C2F5E" w:rsidRPr="003B5712" w:rsidRDefault="004C1151" w:rsidP="004C1151">
      <w:pPr>
        <w:jc w:val="both"/>
        <w:rPr>
          <w:rFonts w:ascii="Arial" w:hAnsi="Arial" w:cs="Arial"/>
        </w:rPr>
      </w:pPr>
      <w:r w:rsidRPr="003B5712">
        <w:rPr>
          <w:rFonts w:ascii="Arial" w:hAnsi="Arial" w:cs="Arial"/>
        </w:rPr>
        <w:t xml:space="preserve">AI may be used to assist in regulating the internet. </w:t>
      </w:r>
      <w:r w:rsidR="00CC1A9A" w:rsidRPr="003B5712">
        <w:rPr>
          <w:rFonts w:ascii="Arial" w:hAnsi="Arial" w:cs="Arial"/>
        </w:rPr>
        <w:t xml:space="preserve"> </w:t>
      </w:r>
      <w:r w:rsidR="006C2F5E" w:rsidRPr="003B5712">
        <w:rPr>
          <w:rFonts w:ascii="Arial" w:hAnsi="Arial" w:cs="Arial"/>
        </w:rPr>
        <w:t>There are many examples of this, including</w:t>
      </w:r>
    </w:p>
    <w:p w14:paraId="383BCB26" w14:textId="03482C2D" w:rsidR="006C2F5E" w:rsidRPr="003B5712" w:rsidRDefault="006C2F5E" w:rsidP="006C2F5E">
      <w:pPr>
        <w:pStyle w:val="ListParagraph"/>
        <w:numPr>
          <w:ilvl w:val="0"/>
          <w:numId w:val="5"/>
        </w:numPr>
        <w:jc w:val="both"/>
        <w:rPr>
          <w:rFonts w:ascii="Arial" w:hAnsi="Arial" w:cs="Arial"/>
        </w:rPr>
      </w:pPr>
      <w:r w:rsidRPr="003B5712">
        <w:rPr>
          <w:rFonts w:ascii="Arial" w:hAnsi="Arial" w:cs="Arial"/>
        </w:rPr>
        <w:t xml:space="preserve">Fraud detection. </w:t>
      </w:r>
      <w:r w:rsidR="00737A97" w:rsidRPr="003B5712">
        <w:rPr>
          <w:rFonts w:ascii="Arial" w:hAnsi="Arial" w:cs="Arial"/>
        </w:rPr>
        <w:t>For example, banks will use AI in real time to assess patterns of behaviour to determine whether fraudulent activity is taking place</w:t>
      </w:r>
      <w:r w:rsidR="0023796B">
        <w:rPr>
          <w:rFonts w:ascii="Arial" w:hAnsi="Arial" w:cs="Arial"/>
        </w:rPr>
        <w:t>.</w:t>
      </w:r>
      <w:r w:rsidR="00737A97" w:rsidRPr="003B5712">
        <w:rPr>
          <w:rStyle w:val="FootnoteReference"/>
          <w:rFonts w:ascii="Arial" w:hAnsi="Arial" w:cs="Arial"/>
        </w:rPr>
        <w:footnoteReference w:id="19"/>
      </w:r>
    </w:p>
    <w:p w14:paraId="33C162FC" w14:textId="0587B98D" w:rsidR="006C2F5E" w:rsidRPr="003B5712" w:rsidRDefault="006C2F5E" w:rsidP="006C2F5E">
      <w:pPr>
        <w:pStyle w:val="ListParagraph"/>
        <w:numPr>
          <w:ilvl w:val="0"/>
          <w:numId w:val="5"/>
        </w:numPr>
        <w:jc w:val="both"/>
        <w:rPr>
          <w:rFonts w:ascii="Arial" w:hAnsi="Arial" w:cs="Arial"/>
        </w:rPr>
      </w:pPr>
      <w:r w:rsidRPr="003B5712">
        <w:rPr>
          <w:rFonts w:ascii="Arial" w:hAnsi="Arial" w:cs="Arial"/>
        </w:rPr>
        <w:t xml:space="preserve">Spam filtering. </w:t>
      </w:r>
      <w:r w:rsidR="00737A97" w:rsidRPr="003B5712">
        <w:rPr>
          <w:rFonts w:ascii="Arial" w:hAnsi="Arial" w:cs="Arial"/>
        </w:rPr>
        <w:t xml:space="preserve">For example AI will use learned algorithms to analyse massive amounts of data to identify </w:t>
      </w:r>
      <w:r w:rsidR="00792B60" w:rsidRPr="003B5712">
        <w:rPr>
          <w:rFonts w:ascii="Arial" w:hAnsi="Arial" w:cs="Arial"/>
        </w:rPr>
        <w:t>characteristics</w:t>
      </w:r>
      <w:r w:rsidR="00792B60">
        <w:rPr>
          <w:rFonts w:ascii="Arial" w:hAnsi="Arial" w:cs="Arial"/>
        </w:rPr>
        <w:t>,</w:t>
      </w:r>
      <w:r w:rsidR="00737A97" w:rsidRPr="003B5712">
        <w:rPr>
          <w:rFonts w:ascii="Arial" w:hAnsi="Arial" w:cs="Arial"/>
        </w:rPr>
        <w:t xml:space="preserve"> patterns and anomalies which may indicate spam</w:t>
      </w:r>
      <w:r w:rsidR="0023796B">
        <w:rPr>
          <w:rFonts w:ascii="Arial" w:hAnsi="Arial" w:cs="Arial"/>
        </w:rPr>
        <w:t>.</w:t>
      </w:r>
      <w:r w:rsidR="00737A97" w:rsidRPr="003B5712">
        <w:rPr>
          <w:rStyle w:val="FootnoteReference"/>
          <w:rFonts w:ascii="Arial" w:hAnsi="Arial" w:cs="Arial"/>
        </w:rPr>
        <w:footnoteReference w:id="20"/>
      </w:r>
    </w:p>
    <w:p w14:paraId="7DBE1984" w14:textId="77777777" w:rsidR="006242EA" w:rsidRDefault="006C2F5E" w:rsidP="006C2F5E">
      <w:pPr>
        <w:pStyle w:val="ListParagraph"/>
        <w:numPr>
          <w:ilvl w:val="0"/>
          <w:numId w:val="5"/>
        </w:numPr>
        <w:jc w:val="both"/>
        <w:rPr>
          <w:rFonts w:ascii="Arial" w:hAnsi="Arial" w:cs="Arial"/>
        </w:rPr>
      </w:pPr>
      <w:r w:rsidRPr="003B5712">
        <w:rPr>
          <w:rFonts w:ascii="Arial" w:hAnsi="Arial" w:cs="Arial"/>
        </w:rPr>
        <w:t>Behavioural Patterns</w:t>
      </w:r>
      <w:r w:rsidR="00CC1A9A" w:rsidRPr="003B5712">
        <w:rPr>
          <w:rFonts w:ascii="Arial" w:hAnsi="Arial" w:cs="Arial"/>
        </w:rPr>
        <w:t>.</w:t>
      </w:r>
      <w:r w:rsidRPr="003B5712">
        <w:rPr>
          <w:rFonts w:ascii="Arial" w:hAnsi="Arial" w:cs="Arial"/>
        </w:rPr>
        <w:t xml:space="preserve"> For example, PayPal uses AI to monitor behavioural patterns of its users to identify potential fraudulent behaviour.</w:t>
      </w:r>
      <w:r w:rsidR="005C757A" w:rsidRPr="003B5712">
        <w:rPr>
          <w:rFonts w:ascii="Arial" w:hAnsi="Arial" w:cs="Arial"/>
        </w:rPr>
        <w:t xml:space="preserve"> If changes in spending patterns such as a large or out of character transaction is made, the transaction can be frozen pending authorisation</w:t>
      </w:r>
      <w:r w:rsidR="0023796B">
        <w:rPr>
          <w:rFonts w:ascii="Arial" w:hAnsi="Arial" w:cs="Arial"/>
        </w:rPr>
        <w:t>.</w:t>
      </w:r>
      <w:r w:rsidR="005C757A" w:rsidRPr="003B5712">
        <w:rPr>
          <w:rStyle w:val="FootnoteReference"/>
          <w:rFonts w:ascii="Arial" w:hAnsi="Arial" w:cs="Arial"/>
        </w:rPr>
        <w:footnoteReference w:id="21"/>
      </w:r>
    </w:p>
    <w:p w14:paraId="534410BC" w14:textId="5C6DDCD7" w:rsidR="006C2F5E" w:rsidRPr="006242EA" w:rsidRDefault="006242EA" w:rsidP="006C2F5E">
      <w:pPr>
        <w:pStyle w:val="ListParagraph"/>
        <w:numPr>
          <w:ilvl w:val="0"/>
          <w:numId w:val="5"/>
        </w:numPr>
        <w:jc w:val="both"/>
        <w:rPr>
          <w:rFonts w:ascii="Arial" w:hAnsi="Arial" w:cs="Arial"/>
        </w:rPr>
      </w:pPr>
      <w:r w:rsidRPr="006242EA">
        <w:rPr>
          <w:rFonts w:ascii="Arial" w:hAnsi="Arial" w:cs="Arial"/>
        </w:rPr>
        <w:t>Content regulation is another area.</w:t>
      </w:r>
    </w:p>
    <w:p w14:paraId="57E41400" w14:textId="41DB24AF" w:rsidR="004C1151" w:rsidRDefault="004C1151" w:rsidP="004C1151">
      <w:pPr>
        <w:jc w:val="both"/>
        <w:rPr>
          <w:rFonts w:ascii="Arial" w:hAnsi="Arial" w:cs="Arial"/>
        </w:rPr>
      </w:pPr>
    </w:p>
    <w:p w14:paraId="0B42D1CD" w14:textId="77777777" w:rsidR="006242EA" w:rsidRDefault="006242EA" w:rsidP="006242EA">
      <w:pPr>
        <w:rPr>
          <w:rFonts w:ascii="Arial" w:hAnsi="Arial" w:cs="Arial"/>
          <w:b/>
          <w:bCs/>
        </w:rPr>
      </w:pPr>
    </w:p>
    <w:p w14:paraId="3CA4ACB8" w14:textId="4F712FE2" w:rsidR="006242EA" w:rsidRDefault="006242EA" w:rsidP="006242EA">
      <w:pPr>
        <w:rPr>
          <w:rFonts w:ascii="Arial" w:hAnsi="Arial" w:cs="Arial"/>
          <w:b/>
          <w:bCs/>
        </w:rPr>
      </w:pPr>
      <w:r>
        <w:rPr>
          <w:rFonts w:ascii="Arial" w:hAnsi="Arial" w:cs="Arial"/>
          <w:b/>
          <w:bCs/>
        </w:rPr>
        <w:t xml:space="preserve">Case study: </w:t>
      </w:r>
      <w:r w:rsidRPr="000251E1">
        <w:rPr>
          <w:rFonts w:ascii="Arial" w:hAnsi="Arial" w:cs="Arial"/>
          <w:b/>
          <w:bCs/>
        </w:rPr>
        <w:t>Algorithmic moderation as content regulation</w:t>
      </w:r>
    </w:p>
    <w:p w14:paraId="66E2130B" w14:textId="77777777" w:rsidR="006242EA" w:rsidRPr="000251E1" w:rsidRDefault="006242EA" w:rsidP="006242EA">
      <w:pPr>
        <w:rPr>
          <w:rFonts w:ascii="Arial" w:hAnsi="Arial" w:cs="Arial"/>
          <w:b/>
          <w:bCs/>
        </w:rPr>
      </w:pPr>
    </w:p>
    <w:p w14:paraId="1482D834" w14:textId="77777777" w:rsidR="006242EA" w:rsidRDefault="006242EA" w:rsidP="006242EA">
      <w:pPr>
        <w:spacing w:line="360" w:lineRule="auto"/>
        <w:jc w:val="both"/>
        <w:rPr>
          <w:rFonts w:ascii="Arial" w:hAnsi="Arial" w:cs="Arial"/>
        </w:rPr>
      </w:pPr>
      <w:r w:rsidRPr="000251E1">
        <w:rPr>
          <w:rFonts w:ascii="Arial" w:hAnsi="Arial" w:cs="Arial"/>
        </w:rPr>
        <w:t>“Algorithmic moderation” refers to the use of automated systems, typically powered by machine learning algorithms and artificial intelligence (</w:t>
      </w:r>
      <w:r w:rsidRPr="000251E1">
        <w:rPr>
          <w:rFonts w:ascii="Arial" w:hAnsi="Arial" w:cs="Arial"/>
          <w:b/>
          <w:bCs/>
        </w:rPr>
        <w:t>AI</w:t>
      </w:r>
      <w:r w:rsidRPr="000251E1">
        <w:rPr>
          <w:rFonts w:ascii="Arial" w:hAnsi="Arial" w:cs="Arial"/>
        </w:rPr>
        <w:t xml:space="preserve">) to monitor, evaluate and manage online content. These systems are designed to detect and take action against content that violates platform policies, such as hate speech, misinformation, or explicit material. Unlike human moderators, algorithmic moderation can process vast amounts </w:t>
      </w:r>
      <w:r w:rsidRPr="000251E1">
        <w:rPr>
          <w:rFonts w:ascii="Arial" w:hAnsi="Arial" w:cs="Arial"/>
        </w:rPr>
        <w:lastRenderedPageBreak/>
        <w:t xml:space="preserve">of content in real-time, making it an essential tool for large-scale platforms like social media networks. </w:t>
      </w:r>
    </w:p>
    <w:p w14:paraId="75A19114" w14:textId="77777777" w:rsidR="006242EA" w:rsidRPr="000251E1" w:rsidRDefault="006242EA" w:rsidP="006242EA">
      <w:pPr>
        <w:spacing w:line="360" w:lineRule="auto"/>
        <w:jc w:val="both"/>
        <w:rPr>
          <w:rFonts w:ascii="Arial" w:hAnsi="Arial" w:cs="Arial"/>
        </w:rPr>
      </w:pPr>
    </w:p>
    <w:p w14:paraId="7AACEFB2" w14:textId="77777777" w:rsidR="006242EA" w:rsidRDefault="006242EA" w:rsidP="006242EA">
      <w:pPr>
        <w:spacing w:line="360" w:lineRule="auto"/>
        <w:jc w:val="both"/>
        <w:rPr>
          <w:rFonts w:ascii="Arial" w:hAnsi="Arial" w:cs="Arial"/>
        </w:rPr>
      </w:pPr>
      <w:r w:rsidRPr="000251E1">
        <w:rPr>
          <w:rFonts w:ascii="Arial" w:hAnsi="Arial" w:cs="Arial"/>
        </w:rPr>
        <w:t>The concerns surrounding algorithmic moderation stem from its potential for errors and biases, which can result in the wrongful removal of legitimate content or the failure to detect harmful material. The implications of these errors are amplified by the vast reach of the internet, where decisions made by algorithms can impact millions of users in real time.</w:t>
      </w:r>
    </w:p>
    <w:p w14:paraId="2373C08C" w14:textId="77777777" w:rsidR="006242EA" w:rsidRPr="000251E1" w:rsidRDefault="006242EA" w:rsidP="006242EA">
      <w:pPr>
        <w:spacing w:line="360" w:lineRule="auto"/>
        <w:jc w:val="both"/>
        <w:rPr>
          <w:rFonts w:ascii="Arial" w:hAnsi="Arial" w:cs="Arial"/>
        </w:rPr>
      </w:pPr>
    </w:p>
    <w:p w14:paraId="57747154" w14:textId="77777777" w:rsidR="006242EA" w:rsidRDefault="006242EA" w:rsidP="006242EA">
      <w:pPr>
        <w:spacing w:line="360" w:lineRule="auto"/>
        <w:jc w:val="both"/>
        <w:rPr>
          <w:rFonts w:ascii="Arial" w:hAnsi="Arial" w:cs="Arial"/>
        </w:rPr>
      </w:pPr>
      <w:r w:rsidRPr="000251E1">
        <w:rPr>
          <w:rFonts w:ascii="Arial" w:hAnsi="Arial" w:cs="Arial"/>
        </w:rPr>
        <w:t>Whilst algorithmic moderation as a form of content moderation may be effective in removing illegal content, it has systemically struggled in removing harmful content</w:t>
      </w:r>
      <w:r>
        <w:rPr>
          <w:rFonts w:ascii="Arial" w:hAnsi="Arial" w:cs="Arial"/>
        </w:rPr>
        <w:t xml:space="preserve">. Like with human moderation, it can be difficult to </w:t>
      </w:r>
      <w:r w:rsidRPr="000251E1">
        <w:rPr>
          <w:rFonts w:ascii="Arial" w:hAnsi="Arial" w:cs="Arial"/>
        </w:rPr>
        <w:t xml:space="preserve">differentiate between what is “harmful” and what is merely a non-mainstream opinion. </w:t>
      </w:r>
    </w:p>
    <w:p w14:paraId="05C511A0" w14:textId="77777777" w:rsidR="006242EA" w:rsidRPr="000251E1" w:rsidRDefault="006242EA" w:rsidP="006242EA">
      <w:pPr>
        <w:spacing w:line="360" w:lineRule="auto"/>
        <w:jc w:val="both"/>
        <w:rPr>
          <w:rFonts w:ascii="Arial" w:hAnsi="Arial" w:cs="Arial"/>
        </w:rPr>
      </w:pPr>
    </w:p>
    <w:p w14:paraId="52A10419" w14:textId="77777777" w:rsidR="00710F2F" w:rsidRPr="003B5712" w:rsidRDefault="00710F2F" w:rsidP="004C1151">
      <w:pPr>
        <w:jc w:val="both"/>
        <w:rPr>
          <w:rFonts w:ascii="Arial" w:hAnsi="Arial" w:cs="Arial"/>
        </w:rPr>
      </w:pPr>
    </w:p>
    <w:sectPr w:rsidR="00710F2F" w:rsidRPr="003B57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DCF69" w14:textId="77777777" w:rsidR="00247E41" w:rsidRDefault="00247E41" w:rsidP="00321262">
      <w:r>
        <w:separator/>
      </w:r>
    </w:p>
  </w:endnote>
  <w:endnote w:type="continuationSeparator" w:id="0">
    <w:p w14:paraId="0D74D386" w14:textId="77777777" w:rsidR="00247E41" w:rsidRDefault="00247E41" w:rsidP="0032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BAC42" w14:textId="77777777" w:rsidR="00247E41" w:rsidRDefault="00247E41" w:rsidP="00321262">
      <w:r>
        <w:separator/>
      </w:r>
    </w:p>
  </w:footnote>
  <w:footnote w:type="continuationSeparator" w:id="0">
    <w:p w14:paraId="7DD7E60B" w14:textId="77777777" w:rsidR="00247E41" w:rsidRDefault="00247E41" w:rsidP="00321262">
      <w:r>
        <w:continuationSeparator/>
      </w:r>
    </w:p>
  </w:footnote>
  <w:footnote w:id="1">
    <w:p w14:paraId="3A8D4605" w14:textId="3E861723" w:rsidR="00321262" w:rsidRPr="00737A97" w:rsidRDefault="00321262">
      <w:pPr>
        <w:pStyle w:val="FootnoteText"/>
        <w:rPr>
          <w:color w:val="000000" w:themeColor="text1"/>
        </w:rPr>
      </w:pPr>
      <w:r w:rsidRPr="00737A97">
        <w:rPr>
          <w:rStyle w:val="FootnoteReference"/>
          <w:color w:val="000000" w:themeColor="text1"/>
        </w:rPr>
        <w:footnoteRef/>
      </w:r>
      <w:r w:rsidRPr="00737A97">
        <w:rPr>
          <w:color w:val="000000" w:themeColor="text1"/>
        </w:rPr>
        <w:t xml:space="preserve"> </w:t>
      </w:r>
      <w:r w:rsidR="005C757A" w:rsidRPr="00737A97">
        <w:rPr>
          <w:color w:val="000000" w:themeColor="text1"/>
        </w:rPr>
        <w:t>Warren S. McCulloch and Walter H Pitts, ‘A Logical Calculus if The Idea Immanent in Nervous Activity’ (Research Paper, Vol 5, Bulletin of Mathematical Biophysics, 1943) 115-133.</w:t>
      </w:r>
    </w:p>
  </w:footnote>
  <w:footnote w:id="2">
    <w:p w14:paraId="599952C2" w14:textId="58E974B8" w:rsidR="00321262" w:rsidRPr="00737A97" w:rsidRDefault="00321262">
      <w:pPr>
        <w:pStyle w:val="FootnoteText"/>
        <w:rPr>
          <w:color w:val="000000" w:themeColor="text1"/>
        </w:rPr>
      </w:pPr>
      <w:r w:rsidRPr="00737A97">
        <w:rPr>
          <w:rStyle w:val="FootnoteReference"/>
          <w:color w:val="000000" w:themeColor="text1"/>
        </w:rPr>
        <w:footnoteRef/>
      </w:r>
      <w:r w:rsidRPr="00737A97">
        <w:rPr>
          <w:color w:val="000000" w:themeColor="text1"/>
        </w:rPr>
        <w:t xml:space="preserve"> </w:t>
      </w:r>
      <w:r w:rsidR="005C757A" w:rsidRPr="00737A97">
        <w:rPr>
          <w:color w:val="000000" w:themeColor="text1"/>
        </w:rPr>
        <w:t xml:space="preserve">John </w:t>
      </w:r>
      <w:r w:rsidRPr="00737A97">
        <w:rPr>
          <w:color w:val="000000" w:themeColor="text1"/>
        </w:rPr>
        <w:t xml:space="preserve">McCarthy. </w:t>
      </w:r>
      <w:r w:rsidR="005C757A" w:rsidRPr="00737A97">
        <w:rPr>
          <w:color w:val="000000" w:themeColor="text1"/>
        </w:rPr>
        <w:t>“</w:t>
      </w:r>
      <w:r w:rsidRPr="00737A97">
        <w:rPr>
          <w:color w:val="000000" w:themeColor="text1"/>
        </w:rPr>
        <w:t>What is artificial intelligence</w:t>
      </w:r>
      <w:r w:rsidR="005C757A" w:rsidRPr="00737A97">
        <w:rPr>
          <w:color w:val="000000" w:themeColor="text1"/>
        </w:rPr>
        <w:t>” (Article, Computer Science Department, Stanford University, 12 November</w:t>
      </w:r>
      <w:r w:rsidRPr="00737A97">
        <w:rPr>
          <w:color w:val="000000" w:themeColor="text1"/>
        </w:rPr>
        <w:t> 2004</w:t>
      </w:r>
      <w:r w:rsidR="005C757A" w:rsidRPr="00737A97">
        <w:rPr>
          <w:color w:val="000000" w:themeColor="text1"/>
        </w:rPr>
        <w:t>).</w:t>
      </w:r>
    </w:p>
  </w:footnote>
  <w:footnote w:id="3">
    <w:p w14:paraId="09024008" w14:textId="1665D607" w:rsidR="00321262" w:rsidRPr="00737A97" w:rsidRDefault="00321262">
      <w:pPr>
        <w:pStyle w:val="FootnoteText"/>
        <w:rPr>
          <w:color w:val="000000" w:themeColor="text1"/>
        </w:rPr>
      </w:pPr>
      <w:r w:rsidRPr="00737A97">
        <w:rPr>
          <w:rStyle w:val="FootnoteReference"/>
          <w:color w:val="000000" w:themeColor="text1"/>
        </w:rPr>
        <w:footnoteRef/>
      </w:r>
      <w:r w:rsidRPr="00737A97">
        <w:rPr>
          <w:color w:val="000000" w:themeColor="text1"/>
        </w:rPr>
        <w:t xml:space="preserve"> </w:t>
      </w:r>
      <w:r w:rsidR="00362924" w:rsidRPr="00737A97">
        <w:rPr>
          <w:color w:val="000000" w:themeColor="text1"/>
        </w:rPr>
        <w:t xml:space="preserve">Iberdrola, ‘Artificial Intelligence: birth, applications and future trends’, </w:t>
      </w:r>
      <w:r w:rsidR="00362924" w:rsidRPr="00737A97">
        <w:rPr>
          <w:i/>
          <w:iCs/>
          <w:color w:val="000000" w:themeColor="text1"/>
        </w:rPr>
        <w:t>History of Artificial Intelligence (Blog Post).</w:t>
      </w:r>
    </w:p>
  </w:footnote>
  <w:footnote w:id="4">
    <w:p w14:paraId="5C46677F" w14:textId="6AFE0A79" w:rsidR="00DE75ED" w:rsidRPr="00362924" w:rsidRDefault="00DE75ED" w:rsidP="00DE75ED">
      <w:pPr>
        <w:pStyle w:val="FootnoteText"/>
      </w:pPr>
      <w:r w:rsidRPr="00737A97">
        <w:rPr>
          <w:rStyle w:val="FootnoteReference"/>
          <w:color w:val="000000" w:themeColor="text1"/>
        </w:rPr>
        <w:footnoteRef/>
      </w:r>
      <w:r w:rsidRPr="00737A97">
        <w:rPr>
          <w:color w:val="000000" w:themeColor="text1"/>
        </w:rPr>
        <w:t xml:space="preserve"> </w:t>
      </w:r>
      <w:r w:rsidR="00362924" w:rsidRPr="00737A97">
        <w:rPr>
          <w:color w:val="000000" w:themeColor="text1"/>
        </w:rPr>
        <w:t xml:space="preserve">Statista, ‘Artificial Intelligence – Worldwide’, </w:t>
      </w:r>
      <w:r w:rsidR="00362924" w:rsidRPr="00737A97">
        <w:rPr>
          <w:i/>
          <w:iCs/>
          <w:color w:val="000000" w:themeColor="text1"/>
        </w:rPr>
        <w:t xml:space="preserve">Market Insights </w:t>
      </w:r>
      <w:r w:rsidR="00362924" w:rsidRPr="00737A97">
        <w:rPr>
          <w:color w:val="000000" w:themeColor="text1"/>
        </w:rPr>
        <w:t>(Web Page, 2024) https://www.statista.com/outlook/tmo/artificial-intelligence/worldwide?currency=AUD.</w:t>
      </w:r>
    </w:p>
  </w:footnote>
  <w:footnote w:id="5">
    <w:p w14:paraId="3DBC4459" w14:textId="77777777" w:rsidR="00707448" w:rsidRPr="00737A97" w:rsidRDefault="00707448" w:rsidP="00707448">
      <w:pPr>
        <w:pStyle w:val="FootnoteText"/>
        <w:rPr>
          <w:color w:val="000000" w:themeColor="text1"/>
        </w:rPr>
      </w:pPr>
      <w:r w:rsidRPr="00737A97">
        <w:rPr>
          <w:rStyle w:val="FootnoteReference"/>
          <w:color w:val="000000" w:themeColor="text1"/>
        </w:rPr>
        <w:footnoteRef/>
      </w:r>
      <w:r w:rsidRPr="00737A97">
        <w:rPr>
          <w:color w:val="000000" w:themeColor="text1"/>
        </w:rPr>
        <w:t xml:space="preserve"> Stanford University, </w:t>
      </w:r>
      <w:r w:rsidRPr="00737A97">
        <w:rPr>
          <w:i/>
          <w:iCs/>
          <w:color w:val="000000" w:themeColor="text1"/>
        </w:rPr>
        <w:t>Artificial Intelligence Index Report 2024</w:t>
      </w:r>
      <w:r w:rsidRPr="00737A97">
        <w:rPr>
          <w:color w:val="000000" w:themeColor="text1"/>
        </w:rPr>
        <w:t xml:space="preserve"> (2024).</w:t>
      </w:r>
    </w:p>
  </w:footnote>
  <w:footnote w:id="6">
    <w:p w14:paraId="2A7B89B9" w14:textId="0D257B58" w:rsidR="004523DC" w:rsidRPr="00737A97" w:rsidRDefault="004523DC">
      <w:pPr>
        <w:pStyle w:val="FootnoteText"/>
        <w:rPr>
          <w:rFonts w:ascii="Aptos" w:hAnsi="Aptos"/>
          <w:color w:val="000000" w:themeColor="text1"/>
        </w:rPr>
      </w:pPr>
      <w:r w:rsidRPr="00737A97">
        <w:rPr>
          <w:rStyle w:val="FootnoteReference"/>
          <w:rFonts w:ascii="Aptos" w:hAnsi="Aptos"/>
          <w:color w:val="000000" w:themeColor="text1"/>
        </w:rPr>
        <w:footnoteRef/>
      </w:r>
      <w:r w:rsidRPr="00737A97">
        <w:rPr>
          <w:rFonts w:ascii="Aptos" w:hAnsi="Aptos"/>
          <w:color w:val="000000" w:themeColor="text1"/>
        </w:rPr>
        <w:t xml:space="preserve"> </w:t>
      </w:r>
      <w:r w:rsidR="00362924" w:rsidRPr="00737A97">
        <w:rPr>
          <w:rFonts w:ascii="Aptos" w:hAnsi="Aptos"/>
          <w:color w:val="000000" w:themeColor="text1"/>
        </w:rPr>
        <w:t>Online Safety (Basic Online Safety Expectations) Determination 2022 (</w:t>
      </w:r>
      <w:proofErr w:type="spellStart"/>
      <w:r w:rsidR="00362924" w:rsidRPr="00737A97">
        <w:rPr>
          <w:rFonts w:ascii="Aptos" w:hAnsi="Aptos"/>
          <w:color w:val="000000" w:themeColor="text1"/>
        </w:rPr>
        <w:t>Cth</w:t>
      </w:r>
      <w:proofErr w:type="spellEnd"/>
      <w:r w:rsidR="00362924" w:rsidRPr="00737A97">
        <w:rPr>
          <w:rFonts w:ascii="Aptos" w:hAnsi="Aptos"/>
          <w:color w:val="000000" w:themeColor="text1"/>
        </w:rPr>
        <w:t xml:space="preserve">) </w:t>
      </w:r>
      <w:r w:rsidRPr="00737A97">
        <w:rPr>
          <w:rFonts w:ascii="Aptos" w:hAnsi="Aptos"/>
          <w:color w:val="000000" w:themeColor="text1"/>
        </w:rPr>
        <w:t>(“The Determination”)</w:t>
      </w:r>
      <w:r w:rsidR="00362924" w:rsidRPr="00737A97">
        <w:rPr>
          <w:rFonts w:ascii="Aptos" w:hAnsi="Aptos"/>
          <w:color w:val="000000" w:themeColor="text1"/>
        </w:rPr>
        <w:t>.</w:t>
      </w:r>
    </w:p>
  </w:footnote>
  <w:footnote w:id="7">
    <w:p w14:paraId="07DA2FC8" w14:textId="77719A0B" w:rsidR="004523DC" w:rsidRPr="00737A97" w:rsidRDefault="004523DC">
      <w:pPr>
        <w:pStyle w:val="FootnoteText"/>
        <w:rPr>
          <w:rFonts w:ascii="Aptos" w:hAnsi="Aptos"/>
          <w:color w:val="000000" w:themeColor="text1"/>
        </w:rPr>
      </w:pPr>
      <w:r w:rsidRPr="00737A97">
        <w:rPr>
          <w:rStyle w:val="FootnoteReference"/>
          <w:rFonts w:ascii="Aptos" w:hAnsi="Aptos"/>
          <w:color w:val="000000" w:themeColor="text1"/>
        </w:rPr>
        <w:footnoteRef/>
      </w:r>
      <w:r w:rsidRPr="00737A97">
        <w:rPr>
          <w:rFonts w:ascii="Aptos" w:hAnsi="Aptos"/>
          <w:color w:val="000000" w:themeColor="text1"/>
        </w:rPr>
        <w:t xml:space="preserve"> </w:t>
      </w:r>
      <w:r w:rsidRPr="00737A97">
        <w:rPr>
          <w:rFonts w:ascii="Aptos" w:hAnsi="Aptos"/>
          <w:i/>
          <w:iCs/>
          <w:color w:val="000000" w:themeColor="text1"/>
        </w:rPr>
        <w:t>Online Safety Act 202</w:t>
      </w:r>
      <w:r w:rsidR="00362924" w:rsidRPr="00737A97">
        <w:rPr>
          <w:rFonts w:ascii="Aptos" w:hAnsi="Aptos"/>
          <w:i/>
          <w:iCs/>
          <w:color w:val="000000" w:themeColor="text1"/>
        </w:rPr>
        <w:t>1</w:t>
      </w:r>
      <w:r w:rsidR="00362924" w:rsidRPr="00737A97">
        <w:rPr>
          <w:rFonts w:ascii="Aptos" w:hAnsi="Aptos"/>
          <w:color w:val="000000" w:themeColor="text1"/>
        </w:rPr>
        <w:t xml:space="preserve"> (Cth).</w:t>
      </w:r>
    </w:p>
  </w:footnote>
  <w:footnote w:id="8">
    <w:p w14:paraId="7FFBF083" w14:textId="4F9B65A8" w:rsidR="004523DC" w:rsidRPr="00737A97" w:rsidRDefault="004523DC">
      <w:pPr>
        <w:pStyle w:val="FootnoteText"/>
        <w:rPr>
          <w:rFonts w:ascii="Aptos" w:hAnsi="Aptos"/>
          <w:color w:val="000000" w:themeColor="text1"/>
        </w:rPr>
      </w:pPr>
      <w:r w:rsidRPr="00737A97">
        <w:rPr>
          <w:rStyle w:val="FootnoteReference"/>
          <w:rFonts w:ascii="Aptos" w:hAnsi="Aptos"/>
          <w:color w:val="000000" w:themeColor="text1"/>
        </w:rPr>
        <w:footnoteRef/>
      </w:r>
      <w:r w:rsidRPr="00737A97">
        <w:rPr>
          <w:rFonts w:ascii="Aptos" w:hAnsi="Aptos"/>
          <w:color w:val="000000" w:themeColor="text1"/>
        </w:rPr>
        <w:t xml:space="preserve"> </w:t>
      </w:r>
      <w:r w:rsidR="00362924" w:rsidRPr="00737A97">
        <w:rPr>
          <w:rFonts w:ascii="Aptos" w:hAnsi="Aptos"/>
          <w:color w:val="000000" w:themeColor="text1"/>
        </w:rPr>
        <w:t>n 6.</w:t>
      </w:r>
    </w:p>
  </w:footnote>
  <w:footnote w:id="9">
    <w:p w14:paraId="0057448C" w14:textId="7FD48EFF" w:rsidR="004523DC" w:rsidRPr="00737A97" w:rsidRDefault="004523DC">
      <w:pPr>
        <w:pStyle w:val="FootnoteText"/>
        <w:rPr>
          <w:rFonts w:ascii="Aptos" w:hAnsi="Aptos"/>
          <w:color w:val="000000" w:themeColor="text1"/>
        </w:rPr>
      </w:pPr>
      <w:r w:rsidRPr="00737A97">
        <w:rPr>
          <w:rStyle w:val="FootnoteReference"/>
          <w:rFonts w:ascii="Aptos" w:hAnsi="Aptos"/>
          <w:color w:val="000000" w:themeColor="text1"/>
        </w:rPr>
        <w:footnoteRef/>
      </w:r>
      <w:r w:rsidRPr="00737A97">
        <w:rPr>
          <w:rFonts w:ascii="Aptos" w:hAnsi="Aptos"/>
          <w:color w:val="000000" w:themeColor="text1"/>
        </w:rPr>
        <w:t xml:space="preserve"> </w:t>
      </w:r>
      <w:r w:rsidR="00362924" w:rsidRPr="00737A97">
        <w:rPr>
          <w:rFonts w:ascii="Aptos" w:hAnsi="Aptos"/>
          <w:i/>
          <w:iCs/>
          <w:color w:val="000000" w:themeColor="text1"/>
        </w:rPr>
        <w:t>Privacy</w:t>
      </w:r>
      <w:r w:rsidRPr="00737A97">
        <w:rPr>
          <w:rFonts w:ascii="Aptos" w:hAnsi="Aptos"/>
          <w:i/>
          <w:iCs/>
          <w:color w:val="000000" w:themeColor="text1"/>
        </w:rPr>
        <w:t xml:space="preserve"> Act</w:t>
      </w:r>
      <w:r w:rsidR="00362924" w:rsidRPr="00737A97">
        <w:rPr>
          <w:rFonts w:ascii="Aptos" w:hAnsi="Aptos"/>
          <w:i/>
          <w:iCs/>
          <w:color w:val="000000" w:themeColor="text1"/>
        </w:rPr>
        <w:t xml:space="preserve"> 1988</w:t>
      </w:r>
      <w:r w:rsidR="00362924" w:rsidRPr="00737A97">
        <w:rPr>
          <w:rFonts w:ascii="Aptos" w:hAnsi="Aptos"/>
          <w:color w:val="000000" w:themeColor="text1"/>
        </w:rPr>
        <w:t xml:space="preserve"> (Cth).</w:t>
      </w:r>
    </w:p>
  </w:footnote>
  <w:footnote w:id="10">
    <w:p w14:paraId="382DB1AC" w14:textId="11AA26EC" w:rsidR="004523DC" w:rsidRPr="00737A97" w:rsidRDefault="004523DC">
      <w:pPr>
        <w:pStyle w:val="FootnoteText"/>
        <w:rPr>
          <w:rFonts w:ascii="Aptos" w:hAnsi="Aptos"/>
          <w:color w:val="000000" w:themeColor="text1"/>
        </w:rPr>
      </w:pPr>
      <w:r w:rsidRPr="00737A97">
        <w:rPr>
          <w:rStyle w:val="FootnoteReference"/>
          <w:rFonts w:ascii="Aptos" w:hAnsi="Aptos"/>
          <w:color w:val="000000" w:themeColor="text1"/>
        </w:rPr>
        <w:footnoteRef/>
      </w:r>
      <w:r w:rsidRPr="00737A97">
        <w:rPr>
          <w:rFonts w:ascii="Aptos" w:hAnsi="Aptos"/>
          <w:color w:val="000000" w:themeColor="text1"/>
        </w:rPr>
        <w:t xml:space="preserve"> </w:t>
      </w:r>
      <w:r w:rsidR="00362924" w:rsidRPr="00737A97">
        <w:rPr>
          <w:rFonts w:ascii="Aptos" w:hAnsi="Aptos"/>
          <w:i/>
          <w:iCs/>
          <w:color w:val="000000" w:themeColor="text1"/>
        </w:rPr>
        <w:t>Privacy and Personal Information Protection Act</w:t>
      </w:r>
      <w:r w:rsidR="00362924" w:rsidRPr="00737A97">
        <w:rPr>
          <w:rFonts w:ascii="Aptos" w:hAnsi="Aptos"/>
          <w:color w:val="000000" w:themeColor="text1"/>
        </w:rPr>
        <w:t xml:space="preserve"> 1998 (NSW).</w:t>
      </w:r>
    </w:p>
  </w:footnote>
  <w:footnote w:id="11">
    <w:p w14:paraId="21C560ED" w14:textId="2583DE7D" w:rsidR="004523DC" w:rsidRPr="00737A97" w:rsidRDefault="004523DC">
      <w:pPr>
        <w:pStyle w:val="FootnoteText"/>
        <w:rPr>
          <w:rFonts w:ascii="Aptos" w:hAnsi="Aptos"/>
          <w:color w:val="000000" w:themeColor="text1"/>
        </w:rPr>
      </w:pPr>
      <w:r w:rsidRPr="00737A97">
        <w:rPr>
          <w:rStyle w:val="FootnoteReference"/>
          <w:rFonts w:ascii="Aptos" w:hAnsi="Aptos"/>
          <w:color w:val="000000" w:themeColor="text1"/>
        </w:rPr>
        <w:footnoteRef/>
      </w:r>
      <w:r w:rsidRPr="00737A97">
        <w:rPr>
          <w:rFonts w:ascii="Aptos" w:hAnsi="Aptos"/>
          <w:color w:val="000000" w:themeColor="text1"/>
        </w:rPr>
        <w:t xml:space="preserve"> </w:t>
      </w:r>
      <w:r w:rsidR="00362924" w:rsidRPr="00737A97">
        <w:rPr>
          <w:rFonts w:ascii="Aptos" w:hAnsi="Aptos" w:cs="Times New Roman"/>
          <w:i/>
          <w:iCs/>
          <w:color w:val="000000" w:themeColor="text1"/>
        </w:rPr>
        <w:t>Privacy Legislation Amendment (Enforcement and Other Measures) Act 2022</w:t>
      </w:r>
      <w:r w:rsidR="00362924" w:rsidRPr="00737A97">
        <w:rPr>
          <w:rFonts w:ascii="Aptos" w:hAnsi="Aptos" w:cs="Times New Roman"/>
          <w:color w:val="000000" w:themeColor="text1"/>
        </w:rPr>
        <w:t xml:space="preserve"> (Cth).</w:t>
      </w:r>
    </w:p>
  </w:footnote>
  <w:footnote w:id="12">
    <w:p w14:paraId="12CA38A4" w14:textId="0E5ACAD4" w:rsidR="006F6B89" w:rsidRPr="006F6B89" w:rsidRDefault="006F6B89">
      <w:pPr>
        <w:pStyle w:val="FootnoteText"/>
        <w:rPr>
          <w:lang w:val="en-US"/>
        </w:rPr>
      </w:pPr>
      <w:r>
        <w:rPr>
          <w:rStyle w:val="FootnoteReference"/>
        </w:rPr>
        <w:footnoteRef/>
      </w:r>
      <w:r>
        <w:t xml:space="preserve"> Australian Government Department of Industry, Science and Resources, </w:t>
      </w:r>
      <w:r w:rsidRPr="006F6B89">
        <w:rPr>
          <w:i/>
          <w:iCs/>
        </w:rPr>
        <w:t xml:space="preserve">Safe and </w:t>
      </w:r>
      <w:r w:rsidR="004F76E6">
        <w:rPr>
          <w:i/>
          <w:iCs/>
        </w:rPr>
        <w:t>R</w:t>
      </w:r>
      <w:r w:rsidRPr="006F6B89">
        <w:rPr>
          <w:i/>
          <w:iCs/>
        </w:rPr>
        <w:t xml:space="preserve">esponsible AI in Australia </w:t>
      </w:r>
      <w:r>
        <w:t>(Discussion Paper, June 2023)  &lt;</w:t>
      </w:r>
      <w:r w:rsidRPr="006F6B89">
        <w:t>https://storage.googleapis.com/converlens-au-industry/industry/p/prj2452c8e24d7a400c72429/public_assets/Safe-and-responsible-AI-in-Australia-discussion-paper.pdf</w:t>
      </w:r>
      <w:r>
        <w:t>&gt;</w:t>
      </w:r>
      <w:r w:rsidR="00E54137">
        <w:t>.</w:t>
      </w:r>
    </w:p>
  </w:footnote>
  <w:footnote w:id="13">
    <w:p w14:paraId="7E724E95" w14:textId="77777777" w:rsidR="00113B0C" w:rsidRPr="00362924" w:rsidRDefault="00113B0C" w:rsidP="00113B0C">
      <w:pPr>
        <w:pStyle w:val="FootnoteText"/>
        <w:rPr>
          <w:color w:val="000000" w:themeColor="text1"/>
        </w:rPr>
      </w:pPr>
      <w:r w:rsidRPr="00362924">
        <w:rPr>
          <w:rStyle w:val="FootnoteReference"/>
          <w:color w:val="000000" w:themeColor="text1"/>
        </w:rPr>
        <w:footnoteRef/>
      </w:r>
      <w:r w:rsidRPr="00362924">
        <w:rPr>
          <w:color w:val="000000" w:themeColor="text1"/>
        </w:rPr>
        <w:t xml:space="preserve"> Julian Lincoln, Susannah Wilkinson and Alex Lundie, “Australia Government announces mandatory regulations for high-risk AI’ (Article, Insight Australia, 18 January 2024).</w:t>
      </w:r>
    </w:p>
  </w:footnote>
  <w:footnote w:id="14">
    <w:p w14:paraId="0FD191CF" w14:textId="77777777" w:rsidR="0023796B" w:rsidRPr="00B3535E" w:rsidRDefault="0023796B" w:rsidP="0023796B">
      <w:pPr>
        <w:pStyle w:val="FootnoteText"/>
        <w:rPr>
          <w:rFonts w:asciiTheme="majorHAnsi" w:hAnsiTheme="majorHAnsi"/>
        </w:rPr>
      </w:pPr>
      <w:r w:rsidRPr="00B3535E">
        <w:rPr>
          <w:rStyle w:val="FootnoteReference"/>
          <w:rFonts w:asciiTheme="majorHAnsi" w:hAnsiTheme="majorHAnsi"/>
        </w:rPr>
        <w:footnoteRef/>
      </w:r>
      <w:r w:rsidRPr="00B3535E">
        <w:rPr>
          <w:rFonts w:asciiTheme="majorHAnsi" w:hAnsiTheme="majorHAnsi"/>
        </w:rPr>
        <w:t xml:space="preserve"> ACMA, Online Misinformation, </w:t>
      </w:r>
      <w:hyperlink r:id="rId1" w:history="1">
        <w:r w:rsidRPr="00B3535E">
          <w:rPr>
            <w:rStyle w:val="Hyperlink"/>
            <w:rFonts w:asciiTheme="majorHAnsi" w:hAnsiTheme="majorHAnsi"/>
          </w:rPr>
          <w:t>www.acma.gov.au/online-misinformation</w:t>
        </w:r>
      </w:hyperlink>
      <w:r w:rsidRPr="00B3535E">
        <w:rPr>
          <w:rFonts w:asciiTheme="majorHAnsi" w:hAnsiTheme="majorHAnsi"/>
        </w:rPr>
        <w:t xml:space="preserve"> (accessed 01 September 2024)</w:t>
      </w:r>
    </w:p>
  </w:footnote>
  <w:footnote w:id="15">
    <w:p w14:paraId="75D37BDA" w14:textId="77777777" w:rsidR="0023796B" w:rsidRDefault="0023796B" w:rsidP="0023796B">
      <w:pPr>
        <w:pStyle w:val="FootnoteText"/>
      </w:pPr>
      <w:r w:rsidRPr="00B3535E">
        <w:rPr>
          <w:rStyle w:val="FootnoteReference"/>
          <w:rFonts w:asciiTheme="majorHAnsi" w:hAnsiTheme="majorHAnsi"/>
        </w:rPr>
        <w:footnoteRef/>
      </w:r>
      <w:r w:rsidRPr="00B3535E">
        <w:rPr>
          <w:rFonts w:asciiTheme="majorHAnsi" w:hAnsiTheme="majorHAnsi"/>
        </w:rPr>
        <w:t xml:space="preserve"> </w:t>
      </w:r>
      <w:r w:rsidRPr="0020101A">
        <w:rPr>
          <w:i/>
          <w:iCs/>
        </w:rPr>
        <w:t>Australian Code of Practice on Disinformation and Misinformation</w:t>
      </w:r>
      <w:r>
        <w:t xml:space="preserve"> </w:t>
      </w:r>
      <w:r>
        <w:rPr>
          <w:rFonts w:asciiTheme="majorHAnsi" w:hAnsiTheme="majorHAnsi"/>
        </w:rPr>
        <w:t>s</w:t>
      </w:r>
      <w:r w:rsidRPr="00B3535E">
        <w:rPr>
          <w:rFonts w:asciiTheme="majorHAnsi" w:hAnsiTheme="majorHAnsi"/>
        </w:rPr>
        <w:t xml:space="preserve"> 7.5</w:t>
      </w:r>
      <w:r>
        <w:rPr>
          <w:rFonts w:asciiTheme="majorHAnsi" w:hAnsiTheme="majorHAnsi"/>
        </w:rPr>
        <w:t>.</w:t>
      </w:r>
    </w:p>
  </w:footnote>
  <w:footnote w:id="16">
    <w:p w14:paraId="4D43493D" w14:textId="77777777" w:rsidR="0023796B" w:rsidRPr="0050328D" w:rsidRDefault="0023796B" w:rsidP="0023796B">
      <w:pPr>
        <w:pStyle w:val="FootnoteText"/>
      </w:pPr>
      <w:r w:rsidRPr="0050328D">
        <w:rPr>
          <w:rStyle w:val="FootnoteReference"/>
        </w:rPr>
        <w:footnoteRef/>
      </w:r>
      <w:r w:rsidRPr="0050328D">
        <w:t xml:space="preserve"> </w:t>
      </w:r>
      <w:r w:rsidRPr="0050328D">
        <w:rPr>
          <w:i/>
          <w:iCs/>
        </w:rPr>
        <w:t xml:space="preserve">Online Safety Act 2021 </w:t>
      </w:r>
      <w:r w:rsidRPr="0050328D">
        <w:t>(</w:t>
      </w:r>
      <w:proofErr w:type="spellStart"/>
      <w:r w:rsidRPr="0050328D">
        <w:t>Cth</w:t>
      </w:r>
      <w:proofErr w:type="spellEnd"/>
      <w:r w:rsidRPr="0050328D">
        <w:t>) s 45(4)</w:t>
      </w:r>
    </w:p>
  </w:footnote>
  <w:footnote w:id="17">
    <w:p w14:paraId="295D8A7E" w14:textId="77777777" w:rsidR="0023796B" w:rsidRPr="0050328D" w:rsidRDefault="0023796B" w:rsidP="0023796B">
      <w:pPr>
        <w:pStyle w:val="FootnoteText"/>
      </w:pPr>
      <w:r w:rsidRPr="0050328D">
        <w:rPr>
          <w:rStyle w:val="FootnoteReference"/>
        </w:rPr>
        <w:footnoteRef/>
      </w:r>
      <w:r w:rsidRPr="0050328D">
        <w:t xml:space="preserve"> </w:t>
      </w:r>
      <w:r w:rsidRPr="0050328D">
        <w:rPr>
          <w:i/>
          <w:iCs/>
        </w:rPr>
        <w:t>Online Safety Act 2021</w:t>
      </w:r>
      <w:r w:rsidRPr="0050328D">
        <w:t>(</w:t>
      </w:r>
      <w:proofErr w:type="spellStart"/>
      <w:r w:rsidRPr="0050328D">
        <w:t>Cth</w:t>
      </w:r>
      <w:proofErr w:type="spellEnd"/>
      <w:r w:rsidRPr="0050328D">
        <w:t>) s 46(1)(a)(b)</w:t>
      </w:r>
    </w:p>
  </w:footnote>
  <w:footnote w:id="18">
    <w:p w14:paraId="0496DBBE" w14:textId="77777777" w:rsidR="0023796B" w:rsidRPr="0050328D" w:rsidRDefault="0023796B" w:rsidP="0023796B">
      <w:pPr>
        <w:rPr>
          <w:sz w:val="20"/>
          <w:szCs w:val="20"/>
        </w:rPr>
      </w:pPr>
      <w:r w:rsidRPr="0050328D">
        <w:rPr>
          <w:rStyle w:val="FootnoteReference"/>
          <w:sz w:val="20"/>
          <w:szCs w:val="20"/>
        </w:rPr>
        <w:footnoteRef/>
      </w:r>
      <w:r w:rsidRPr="0050328D">
        <w:rPr>
          <w:sz w:val="20"/>
          <w:szCs w:val="20"/>
        </w:rPr>
        <w:t xml:space="preserve"> </w:t>
      </w:r>
      <w:r w:rsidRPr="0050328D">
        <w:rPr>
          <w:i/>
          <w:iCs/>
          <w:sz w:val="20"/>
          <w:szCs w:val="20"/>
        </w:rPr>
        <w:t>Online Safety (Basic Online Safety Expectations) Determination</w:t>
      </w:r>
      <w:r w:rsidRPr="0050328D">
        <w:rPr>
          <w:sz w:val="20"/>
          <w:szCs w:val="20"/>
        </w:rPr>
        <w:t xml:space="preserve"> 2022 s8A, s9</w:t>
      </w:r>
    </w:p>
    <w:p w14:paraId="2A78C4F1" w14:textId="77777777" w:rsidR="0023796B" w:rsidRDefault="0023796B" w:rsidP="0023796B">
      <w:pPr>
        <w:pStyle w:val="FootnoteText"/>
      </w:pPr>
    </w:p>
  </w:footnote>
  <w:footnote w:id="19">
    <w:p w14:paraId="2514FBEE" w14:textId="70D8E273" w:rsidR="00737A97" w:rsidRDefault="00737A97">
      <w:pPr>
        <w:pStyle w:val="FootnoteText"/>
      </w:pPr>
      <w:r>
        <w:rPr>
          <w:rStyle w:val="FootnoteReference"/>
        </w:rPr>
        <w:footnoteRef/>
      </w:r>
      <w:r>
        <w:t xml:space="preserve"> Ravi </w:t>
      </w:r>
      <w:proofErr w:type="spellStart"/>
      <w:r>
        <w:t>Sandepudi</w:t>
      </w:r>
      <w:proofErr w:type="spellEnd"/>
      <w:r>
        <w:t>, ‘The Banker’s Guide: Using AI for Fraud Detection (Effective, 11 March 2024).</w:t>
      </w:r>
    </w:p>
  </w:footnote>
  <w:footnote w:id="20">
    <w:p w14:paraId="7200C51A" w14:textId="11AD9C42" w:rsidR="00737A97" w:rsidRDefault="00737A97">
      <w:pPr>
        <w:pStyle w:val="FootnoteText"/>
      </w:pPr>
      <w:r>
        <w:rPr>
          <w:rStyle w:val="FootnoteReference"/>
        </w:rPr>
        <w:footnoteRef/>
      </w:r>
      <w:r>
        <w:t xml:space="preserve"> David Emelianocm, ‘Advanced Spam Filtering AI, </w:t>
      </w:r>
      <w:r>
        <w:rPr>
          <w:i/>
          <w:iCs/>
        </w:rPr>
        <w:t xml:space="preserve">Trimbox </w:t>
      </w:r>
      <w:r>
        <w:t>(Blog Post, 21 November 2023).</w:t>
      </w:r>
    </w:p>
  </w:footnote>
  <w:footnote w:id="21">
    <w:p w14:paraId="52F42142" w14:textId="470F1C91" w:rsidR="005C757A" w:rsidRDefault="005C757A">
      <w:pPr>
        <w:pStyle w:val="FootnoteText"/>
      </w:pPr>
      <w:r w:rsidRPr="00362924">
        <w:rPr>
          <w:rStyle w:val="FootnoteReference"/>
          <w:color w:val="000000" w:themeColor="text1"/>
        </w:rPr>
        <w:footnoteRef/>
      </w:r>
      <w:r w:rsidRPr="00362924">
        <w:rPr>
          <w:color w:val="000000" w:themeColor="text1"/>
        </w:rPr>
        <w:t xml:space="preserve"> </w:t>
      </w:r>
      <w:r w:rsidR="00362924" w:rsidRPr="00362924">
        <w:rPr>
          <w:color w:val="000000" w:themeColor="text1"/>
        </w:rPr>
        <w:t xml:space="preserve">Ashtynn Baltimore, ‘Is AI changing customer expectations?’ (2024) </w:t>
      </w:r>
      <w:r w:rsidR="00362924" w:rsidRPr="00362924">
        <w:rPr>
          <w:i/>
          <w:iCs/>
          <w:color w:val="000000" w:themeColor="text1"/>
        </w:rPr>
        <w:t>PayPal Braintree Product Team.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57ED2"/>
    <w:multiLevelType w:val="multilevel"/>
    <w:tmpl w:val="281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6783"/>
    <w:multiLevelType w:val="hybridMultilevel"/>
    <w:tmpl w:val="2A2423AE"/>
    <w:lvl w:ilvl="0" w:tplc="0C090017">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8B3F43"/>
    <w:multiLevelType w:val="multilevel"/>
    <w:tmpl w:val="623E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706E7"/>
    <w:multiLevelType w:val="hybridMultilevel"/>
    <w:tmpl w:val="47DC4F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EB4FB6"/>
    <w:multiLevelType w:val="hybridMultilevel"/>
    <w:tmpl w:val="6B9CC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467AC1"/>
    <w:multiLevelType w:val="hybridMultilevel"/>
    <w:tmpl w:val="326CA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9658A8"/>
    <w:multiLevelType w:val="multilevel"/>
    <w:tmpl w:val="E8886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C4FC1"/>
    <w:multiLevelType w:val="multilevel"/>
    <w:tmpl w:val="D42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717455">
    <w:abstractNumId w:val="0"/>
  </w:num>
  <w:num w:numId="2" w16cid:durableId="2004239659">
    <w:abstractNumId w:val="2"/>
  </w:num>
  <w:num w:numId="3" w16cid:durableId="1975982323">
    <w:abstractNumId w:val="7"/>
  </w:num>
  <w:num w:numId="4" w16cid:durableId="881018975">
    <w:abstractNumId w:val="6"/>
  </w:num>
  <w:num w:numId="5" w16cid:durableId="895162503">
    <w:abstractNumId w:val="5"/>
  </w:num>
  <w:num w:numId="6" w16cid:durableId="942961279">
    <w:abstractNumId w:val="4"/>
  </w:num>
  <w:num w:numId="7" w16cid:durableId="1068959357">
    <w:abstractNumId w:val="3"/>
  </w:num>
  <w:num w:numId="8" w16cid:durableId="173843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6"/>
    <w:rsid w:val="000619B9"/>
    <w:rsid w:val="000D6B5B"/>
    <w:rsid w:val="00113B0C"/>
    <w:rsid w:val="0015014D"/>
    <w:rsid w:val="00151DD0"/>
    <w:rsid w:val="00187D48"/>
    <w:rsid w:val="001B56FF"/>
    <w:rsid w:val="0023796B"/>
    <w:rsid w:val="00247E41"/>
    <w:rsid w:val="002A1CF3"/>
    <w:rsid w:val="002A6614"/>
    <w:rsid w:val="002B1C07"/>
    <w:rsid w:val="002D6BCC"/>
    <w:rsid w:val="00321262"/>
    <w:rsid w:val="00362924"/>
    <w:rsid w:val="003B5712"/>
    <w:rsid w:val="003B6258"/>
    <w:rsid w:val="003F30BF"/>
    <w:rsid w:val="00411E08"/>
    <w:rsid w:val="004523DC"/>
    <w:rsid w:val="00485B45"/>
    <w:rsid w:val="004C1151"/>
    <w:rsid w:val="004F76E6"/>
    <w:rsid w:val="005437DE"/>
    <w:rsid w:val="00561838"/>
    <w:rsid w:val="005C757A"/>
    <w:rsid w:val="00606EC2"/>
    <w:rsid w:val="006242EA"/>
    <w:rsid w:val="00636DE6"/>
    <w:rsid w:val="00646B5E"/>
    <w:rsid w:val="006C2F5E"/>
    <w:rsid w:val="006E12D3"/>
    <w:rsid w:val="006F6B89"/>
    <w:rsid w:val="00707448"/>
    <w:rsid w:val="00710F2F"/>
    <w:rsid w:val="00722EB7"/>
    <w:rsid w:val="00737A97"/>
    <w:rsid w:val="00792B60"/>
    <w:rsid w:val="00803ED3"/>
    <w:rsid w:val="008336F8"/>
    <w:rsid w:val="008633EC"/>
    <w:rsid w:val="009153F0"/>
    <w:rsid w:val="009729E1"/>
    <w:rsid w:val="0098455C"/>
    <w:rsid w:val="00995043"/>
    <w:rsid w:val="009D7416"/>
    <w:rsid w:val="00A11283"/>
    <w:rsid w:val="00A76E42"/>
    <w:rsid w:val="00AA6DB6"/>
    <w:rsid w:val="00AB39DF"/>
    <w:rsid w:val="00B35242"/>
    <w:rsid w:val="00B369FE"/>
    <w:rsid w:val="00B4273F"/>
    <w:rsid w:val="00B73FBD"/>
    <w:rsid w:val="00BA648A"/>
    <w:rsid w:val="00C14152"/>
    <w:rsid w:val="00C305B7"/>
    <w:rsid w:val="00C3611C"/>
    <w:rsid w:val="00C51436"/>
    <w:rsid w:val="00CC1A9A"/>
    <w:rsid w:val="00DA0497"/>
    <w:rsid w:val="00DE75ED"/>
    <w:rsid w:val="00E54137"/>
    <w:rsid w:val="00EB547E"/>
    <w:rsid w:val="00ED3241"/>
    <w:rsid w:val="00EF5751"/>
    <w:rsid w:val="00F31719"/>
    <w:rsid w:val="00FC560F"/>
    <w:rsid w:val="00FF5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8286"/>
  <w15:chartTrackingRefBased/>
  <w15:docId w15:val="{4A0F2078-ED03-0B4C-8328-C628BA85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4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4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4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4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436"/>
    <w:rPr>
      <w:rFonts w:eastAsiaTheme="majorEastAsia" w:cstheme="majorBidi"/>
      <w:color w:val="272727" w:themeColor="text1" w:themeTint="D8"/>
    </w:rPr>
  </w:style>
  <w:style w:type="paragraph" w:styleId="Title">
    <w:name w:val="Title"/>
    <w:basedOn w:val="Normal"/>
    <w:next w:val="Normal"/>
    <w:link w:val="TitleChar"/>
    <w:uiPriority w:val="10"/>
    <w:qFormat/>
    <w:rsid w:val="00C514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4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4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1436"/>
    <w:rPr>
      <w:i/>
      <w:iCs/>
      <w:color w:val="404040" w:themeColor="text1" w:themeTint="BF"/>
    </w:rPr>
  </w:style>
  <w:style w:type="paragraph" w:styleId="ListParagraph">
    <w:name w:val="List Paragraph"/>
    <w:basedOn w:val="Normal"/>
    <w:uiPriority w:val="34"/>
    <w:qFormat/>
    <w:rsid w:val="00C51436"/>
    <w:pPr>
      <w:ind w:left="720"/>
      <w:contextualSpacing/>
    </w:pPr>
  </w:style>
  <w:style w:type="character" w:styleId="IntenseEmphasis">
    <w:name w:val="Intense Emphasis"/>
    <w:basedOn w:val="DefaultParagraphFont"/>
    <w:uiPriority w:val="21"/>
    <w:qFormat/>
    <w:rsid w:val="00C51436"/>
    <w:rPr>
      <w:i/>
      <w:iCs/>
      <w:color w:val="0F4761" w:themeColor="accent1" w:themeShade="BF"/>
    </w:rPr>
  </w:style>
  <w:style w:type="paragraph" w:styleId="IntenseQuote">
    <w:name w:val="Intense Quote"/>
    <w:basedOn w:val="Normal"/>
    <w:next w:val="Normal"/>
    <w:link w:val="IntenseQuoteChar"/>
    <w:uiPriority w:val="30"/>
    <w:qFormat/>
    <w:rsid w:val="00C51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436"/>
    <w:rPr>
      <w:i/>
      <w:iCs/>
      <w:color w:val="0F4761" w:themeColor="accent1" w:themeShade="BF"/>
    </w:rPr>
  </w:style>
  <w:style w:type="character" w:styleId="IntenseReference">
    <w:name w:val="Intense Reference"/>
    <w:basedOn w:val="DefaultParagraphFont"/>
    <w:uiPriority w:val="32"/>
    <w:qFormat/>
    <w:rsid w:val="00C51436"/>
    <w:rPr>
      <w:b/>
      <w:bCs/>
      <w:smallCaps/>
      <w:color w:val="0F4761" w:themeColor="accent1" w:themeShade="BF"/>
      <w:spacing w:val="5"/>
    </w:rPr>
  </w:style>
  <w:style w:type="character" w:styleId="Hyperlink">
    <w:name w:val="Hyperlink"/>
    <w:basedOn w:val="DefaultParagraphFont"/>
    <w:uiPriority w:val="99"/>
    <w:unhideWhenUsed/>
    <w:rsid w:val="00C51436"/>
    <w:rPr>
      <w:color w:val="467886" w:themeColor="hyperlink"/>
      <w:u w:val="single"/>
    </w:rPr>
  </w:style>
  <w:style w:type="character" w:styleId="UnresolvedMention">
    <w:name w:val="Unresolved Mention"/>
    <w:basedOn w:val="DefaultParagraphFont"/>
    <w:uiPriority w:val="99"/>
    <w:semiHidden/>
    <w:unhideWhenUsed/>
    <w:rsid w:val="00C51436"/>
    <w:rPr>
      <w:color w:val="605E5C"/>
      <w:shd w:val="clear" w:color="auto" w:fill="E1DFDD"/>
    </w:rPr>
  </w:style>
  <w:style w:type="character" w:styleId="FollowedHyperlink">
    <w:name w:val="FollowedHyperlink"/>
    <w:basedOn w:val="DefaultParagraphFont"/>
    <w:uiPriority w:val="99"/>
    <w:semiHidden/>
    <w:unhideWhenUsed/>
    <w:rsid w:val="00C51436"/>
    <w:rPr>
      <w:color w:val="96607D" w:themeColor="followedHyperlink"/>
      <w:u w:val="single"/>
    </w:rPr>
  </w:style>
  <w:style w:type="paragraph" w:styleId="FootnoteText">
    <w:name w:val="footnote text"/>
    <w:basedOn w:val="Normal"/>
    <w:link w:val="FootnoteTextChar"/>
    <w:uiPriority w:val="99"/>
    <w:unhideWhenUsed/>
    <w:rsid w:val="00321262"/>
    <w:rPr>
      <w:sz w:val="20"/>
      <w:szCs w:val="20"/>
    </w:rPr>
  </w:style>
  <w:style w:type="character" w:customStyle="1" w:styleId="FootnoteTextChar">
    <w:name w:val="Footnote Text Char"/>
    <w:basedOn w:val="DefaultParagraphFont"/>
    <w:link w:val="FootnoteText"/>
    <w:uiPriority w:val="99"/>
    <w:rsid w:val="00321262"/>
    <w:rPr>
      <w:sz w:val="20"/>
      <w:szCs w:val="20"/>
    </w:rPr>
  </w:style>
  <w:style w:type="character" w:styleId="FootnoteReference">
    <w:name w:val="footnote reference"/>
    <w:basedOn w:val="DefaultParagraphFont"/>
    <w:uiPriority w:val="99"/>
    <w:semiHidden/>
    <w:unhideWhenUsed/>
    <w:rsid w:val="00321262"/>
    <w:rPr>
      <w:vertAlign w:val="superscript"/>
    </w:rPr>
  </w:style>
  <w:style w:type="table" w:styleId="TableGrid">
    <w:name w:val="Table Grid"/>
    <w:basedOn w:val="TableNormal"/>
    <w:uiPriority w:val="39"/>
    <w:rsid w:val="00737A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1810">
      <w:bodyDiv w:val="1"/>
      <w:marLeft w:val="0"/>
      <w:marRight w:val="0"/>
      <w:marTop w:val="0"/>
      <w:marBottom w:val="0"/>
      <w:divBdr>
        <w:top w:val="none" w:sz="0" w:space="0" w:color="auto"/>
        <w:left w:val="none" w:sz="0" w:space="0" w:color="auto"/>
        <w:bottom w:val="none" w:sz="0" w:space="0" w:color="auto"/>
        <w:right w:val="none" w:sz="0" w:space="0" w:color="auto"/>
      </w:divBdr>
    </w:div>
    <w:div w:id="179390860">
      <w:bodyDiv w:val="1"/>
      <w:marLeft w:val="0"/>
      <w:marRight w:val="0"/>
      <w:marTop w:val="0"/>
      <w:marBottom w:val="0"/>
      <w:divBdr>
        <w:top w:val="none" w:sz="0" w:space="0" w:color="auto"/>
        <w:left w:val="none" w:sz="0" w:space="0" w:color="auto"/>
        <w:bottom w:val="none" w:sz="0" w:space="0" w:color="auto"/>
        <w:right w:val="none" w:sz="0" w:space="0" w:color="auto"/>
      </w:divBdr>
    </w:div>
    <w:div w:id="316695109">
      <w:bodyDiv w:val="1"/>
      <w:marLeft w:val="0"/>
      <w:marRight w:val="0"/>
      <w:marTop w:val="0"/>
      <w:marBottom w:val="0"/>
      <w:divBdr>
        <w:top w:val="none" w:sz="0" w:space="0" w:color="auto"/>
        <w:left w:val="none" w:sz="0" w:space="0" w:color="auto"/>
        <w:bottom w:val="none" w:sz="0" w:space="0" w:color="auto"/>
        <w:right w:val="none" w:sz="0" w:space="0" w:color="auto"/>
      </w:divBdr>
    </w:div>
    <w:div w:id="408424809">
      <w:bodyDiv w:val="1"/>
      <w:marLeft w:val="0"/>
      <w:marRight w:val="0"/>
      <w:marTop w:val="0"/>
      <w:marBottom w:val="0"/>
      <w:divBdr>
        <w:top w:val="none" w:sz="0" w:space="0" w:color="auto"/>
        <w:left w:val="none" w:sz="0" w:space="0" w:color="auto"/>
        <w:bottom w:val="none" w:sz="0" w:space="0" w:color="auto"/>
        <w:right w:val="none" w:sz="0" w:space="0" w:color="auto"/>
      </w:divBdr>
    </w:div>
    <w:div w:id="541131826">
      <w:bodyDiv w:val="1"/>
      <w:marLeft w:val="0"/>
      <w:marRight w:val="0"/>
      <w:marTop w:val="0"/>
      <w:marBottom w:val="0"/>
      <w:divBdr>
        <w:top w:val="none" w:sz="0" w:space="0" w:color="auto"/>
        <w:left w:val="none" w:sz="0" w:space="0" w:color="auto"/>
        <w:bottom w:val="none" w:sz="0" w:space="0" w:color="auto"/>
        <w:right w:val="none" w:sz="0" w:space="0" w:color="auto"/>
      </w:divBdr>
    </w:div>
    <w:div w:id="545993979">
      <w:bodyDiv w:val="1"/>
      <w:marLeft w:val="0"/>
      <w:marRight w:val="0"/>
      <w:marTop w:val="0"/>
      <w:marBottom w:val="0"/>
      <w:divBdr>
        <w:top w:val="none" w:sz="0" w:space="0" w:color="auto"/>
        <w:left w:val="none" w:sz="0" w:space="0" w:color="auto"/>
        <w:bottom w:val="none" w:sz="0" w:space="0" w:color="auto"/>
        <w:right w:val="none" w:sz="0" w:space="0" w:color="auto"/>
      </w:divBdr>
    </w:div>
    <w:div w:id="627666949">
      <w:bodyDiv w:val="1"/>
      <w:marLeft w:val="0"/>
      <w:marRight w:val="0"/>
      <w:marTop w:val="0"/>
      <w:marBottom w:val="0"/>
      <w:divBdr>
        <w:top w:val="none" w:sz="0" w:space="0" w:color="auto"/>
        <w:left w:val="none" w:sz="0" w:space="0" w:color="auto"/>
        <w:bottom w:val="none" w:sz="0" w:space="0" w:color="auto"/>
        <w:right w:val="none" w:sz="0" w:space="0" w:color="auto"/>
      </w:divBdr>
    </w:div>
    <w:div w:id="674693561">
      <w:bodyDiv w:val="1"/>
      <w:marLeft w:val="0"/>
      <w:marRight w:val="0"/>
      <w:marTop w:val="0"/>
      <w:marBottom w:val="0"/>
      <w:divBdr>
        <w:top w:val="none" w:sz="0" w:space="0" w:color="auto"/>
        <w:left w:val="none" w:sz="0" w:space="0" w:color="auto"/>
        <w:bottom w:val="none" w:sz="0" w:space="0" w:color="auto"/>
        <w:right w:val="none" w:sz="0" w:space="0" w:color="auto"/>
      </w:divBdr>
    </w:div>
    <w:div w:id="683484948">
      <w:bodyDiv w:val="1"/>
      <w:marLeft w:val="0"/>
      <w:marRight w:val="0"/>
      <w:marTop w:val="0"/>
      <w:marBottom w:val="0"/>
      <w:divBdr>
        <w:top w:val="none" w:sz="0" w:space="0" w:color="auto"/>
        <w:left w:val="none" w:sz="0" w:space="0" w:color="auto"/>
        <w:bottom w:val="none" w:sz="0" w:space="0" w:color="auto"/>
        <w:right w:val="none" w:sz="0" w:space="0" w:color="auto"/>
      </w:divBdr>
    </w:div>
    <w:div w:id="759374091">
      <w:bodyDiv w:val="1"/>
      <w:marLeft w:val="0"/>
      <w:marRight w:val="0"/>
      <w:marTop w:val="0"/>
      <w:marBottom w:val="0"/>
      <w:divBdr>
        <w:top w:val="none" w:sz="0" w:space="0" w:color="auto"/>
        <w:left w:val="none" w:sz="0" w:space="0" w:color="auto"/>
        <w:bottom w:val="none" w:sz="0" w:space="0" w:color="auto"/>
        <w:right w:val="none" w:sz="0" w:space="0" w:color="auto"/>
      </w:divBdr>
    </w:div>
    <w:div w:id="934168606">
      <w:bodyDiv w:val="1"/>
      <w:marLeft w:val="0"/>
      <w:marRight w:val="0"/>
      <w:marTop w:val="0"/>
      <w:marBottom w:val="0"/>
      <w:divBdr>
        <w:top w:val="none" w:sz="0" w:space="0" w:color="auto"/>
        <w:left w:val="none" w:sz="0" w:space="0" w:color="auto"/>
        <w:bottom w:val="none" w:sz="0" w:space="0" w:color="auto"/>
        <w:right w:val="none" w:sz="0" w:space="0" w:color="auto"/>
      </w:divBdr>
    </w:div>
    <w:div w:id="973176566">
      <w:bodyDiv w:val="1"/>
      <w:marLeft w:val="0"/>
      <w:marRight w:val="0"/>
      <w:marTop w:val="0"/>
      <w:marBottom w:val="0"/>
      <w:divBdr>
        <w:top w:val="none" w:sz="0" w:space="0" w:color="auto"/>
        <w:left w:val="none" w:sz="0" w:space="0" w:color="auto"/>
        <w:bottom w:val="none" w:sz="0" w:space="0" w:color="auto"/>
        <w:right w:val="none" w:sz="0" w:space="0" w:color="auto"/>
      </w:divBdr>
    </w:div>
    <w:div w:id="1085569012">
      <w:bodyDiv w:val="1"/>
      <w:marLeft w:val="0"/>
      <w:marRight w:val="0"/>
      <w:marTop w:val="0"/>
      <w:marBottom w:val="0"/>
      <w:divBdr>
        <w:top w:val="none" w:sz="0" w:space="0" w:color="auto"/>
        <w:left w:val="none" w:sz="0" w:space="0" w:color="auto"/>
        <w:bottom w:val="none" w:sz="0" w:space="0" w:color="auto"/>
        <w:right w:val="none" w:sz="0" w:space="0" w:color="auto"/>
      </w:divBdr>
    </w:div>
    <w:div w:id="1114210058">
      <w:bodyDiv w:val="1"/>
      <w:marLeft w:val="0"/>
      <w:marRight w:val="0"/>
      <w:marTop w:val="0"/>
      <w:marBottom w:val="0"/>
      <w:divBdr>
        <w:top w:val="none" w:sz="0" w:space="0" w:color="auto"/>
        <w:left w:val="none" w:sz="0" w:space="0" w:color="auto"/>
        <w:bottom w:val="none" w:sz="0" w:space="0" w:color="auto"/>
        <w:right w:val="none" w:sz="0" w:space="0" w:color="auto"/>
      </w:divBdr>
    </w:div>
    <w:div w:id="1197350246">
      <w:bodyDiv w:val="1"/>
      <w:marLeft w:val="0"/>
      <w:marRight w:val="0"/>
      <w:marTop w:val="0"/>
      <w:marBottom w:val="0"/>
      <w:divBdr>
        <w:top w:val="none" w:sz="0" w:space="0" w:color="auto"/>
        <w:left w:val="none" w:sz="0" w:space="0" w:color="auto"/>
        <w:bottom w:val="none" w:sz="0" w:space="0" w:color="auto"/>
        <w:right w:val="none" w:sz="0" w:space="0" w:color="auto"/>
      </w:divBdr>
    </w:div>
    <w:div w:id="1227960042">
      <w:bodyDiv w:val="1"/>
      <w:marLeft w:val="0"/>
      <w:marRight w:val="0"/>
      <w:marTop w:val="0"/>
      <w:marBottom w:val="0"/>
      <w:divBdr>
        <w:top w:val="none" w:sz="0" w:space="0" w:color="auto"/>
        <w:left w:val="none" w:sz="0" w:space="0" w:color="auto"/>
        <w:bottom w:val="none" w:sz="0" w:space="0" w:color="auto"/>
        <w:right w:val="none" w:sz="0" w:space="0" w:color="auto"/>
      </w:divBdr>
    </w:div>
    <w:div w:id="1322348059">
      <w:bodyDiv w:val="1"/>
      <w:marLeft w:val="0"/>
      <w:marRight w:val="0"/>
      <w:marTop w:val="0"/>
      <w:marBottom w:val="0"/>
      <w:divBdr>
        <w:top w:val="none" w:sz="0" w:space="0" w:color="auto"/>
        <w:left w:val="none" w:sz="0" w:space="0" w:color="auto"/>
        <w:bottom w:val="none" w:sz="0" w:space="0" w:color="auto"/>
        <w:right w:val="none" w:sz="0" w:space="0" w:color="auto"/>
      </w:divBdr>
    </w:div>
    <w:div w:id="1339427321">
      <w:bodyDiv w:val="1"/>
      <w:marLeft w:val="0"/>
      <w:marRight w:val="0"/>
      <w:marTop w:val="0"/>
      <w:marBottom w:val="0"/>
      <w:divBdr>
        <w:top w:val="none" w:sz="0" w:space="0" w:color="auto"/>
        <w:left w:val="none" w:sz="0" w:space="0" w:color="auto"/>
        <w:bottom w:val="none" w:sz="0" w:space="0" w:color="auto"/>
        <w:right w:val="none" w:sz="0" w:space="0" w:color="auto"/>
      </w:divBdr>
    </w:div>
    <w:div w:id="1423842217">
      <w:bodyDiv w:val="1"/>
      <w:marLeft w:val="0"/>
      <w:marRight w:val="0"/>
      <w:marTop w:val="0"/>
      <w:marBottom w:val="0"/>
      <w:divBdr>
        <w:top w:val="none" w:sz="0" w:space="0" w:color="auto"/>
        <w:left w:val="none" w:sz="0" w:space="0" w:color="auto"/>
        <w:bottom w:val="none" w:sz="0" w:space="0" w:color="auto"/>
        <w:right w:val="none" w:sz="0" w:space="0" w:color="auto"/>
      </w:divBdr>
    </w:div>
    <w:div w:id="1646810607">
      <w:bodyDiv w:val="1"/>
      <w:marLeft w:val="0"/>
      <w:marRight w:val="0"/>
      <w:marTop w:val="0"/>
      <w:marBottom w:val="0"/>
      <w:divBdr>
        <w:top w:val="none" w:sz="0" w:space="0" w:color="auto"/>
        <w:left w:val="none" w:sz="0" w:space="0" w:color="auto"/>
        <w:bottom w:val="none" w:sz="0" w:space="0" w:color="auto"/>
        <w:right w:val="none" w:sz="0" w:space="0" w:color="auto"/>
      </w:divBdr>
    </w:div>
    <w:div w:id="18341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ta.gov.au/blogs/ai-government-taskforce-examining-use-and-governance-ai-a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h.gov.au/About_Parliament/Parliamentary_departments/Parliamentary_Library/Research/FlagPost/2024/March/Media_regulation_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advisor/business/artificial-intelligence-consumer-sentiment/" TargetMode="External"/><Relationship Id="rId5" Type="http://schemas.openxmlformats.org/officeDocument/2006/relationships/webSettings" Target="webSettings.xml"/><Relationship Id="rId10" Type="http://schemas.openxmlformats.org/officeDocument/2006/relationships/hyperlink" Target="https://www.acma.gov.au/online-misinformation" TargetMode="External"/><Relationship Id="rId4" Type="http://schemas.openxmlformats.org/officeDocument/2006/relationships/settings" Target="settings.xml"/><Relationship Id="rId9" Type="http://schemas.openxmlformats.org/officeDocument/2006/relationships/hyperlink" Target="https://www.industry.gov.au/science-technology-and-innovation/technology/artificial-intelligenc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cma.gov.au/online-mi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74891-920E-6D44-BD2D-ED4947A8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Marks</dc:creator>
  <cp:keywords/>
  <dc:description/>
  <cp:lastModifiedBy>Marie Hadley</cp:lastModifiedBy>
  <cp:revision>6</cp:revision>
  <dcterms:created xsi:type="dcterms:W3CDTF">2025-01-14T00:39:00Z</dcterms:created>
  <dcterms:modified xsi:type="dcterms:W3CDTF">2025-01-14T02:11:00Z</dcterms:modified>
</cp:coreProperties>
</file>