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B968" w14:textId="77777777" w:rsidR="004A18A1" w:rsidRDefault="004A18A1" w:rsidP="004A18A1">
      <w:pPr>
        <w:spacing w:line="360" w:lineRule="auto"/>
        <w:jc w:val="center"/>
        <w:rPr>
          <w:b/>
          <w:bCs/>
          <w:u w:val="single"/>
        </w:rPr>
      </w:pPr>
    </w:p>
    <w:p w14:paraId="29CB4E24" w14:textId="5D03AE33" w:rsidR="004A18A1" w:rsidRPr="001372DD" w:rsidRDefault="004A18A1" w:rsidP="004A18A1">
      <w:pPr>
        <w:spacing w:line="360" w:lineRule="auto"/>
        <w:jc w:val="center"/>
        <w:rPr>
          <w:b/>
          <w:bCs/>
          <w:u w:val="single"/>
        </w:rPr>
      </w:pPr>
      <w:r>
        <w:rPr>
          <w:b/>
          <w:bCs/>
          <w:u w:val="single"/>
        </w:rPr>
        <w:t xml:space="preserve">8. </w:t>
      </w:r>
      <w:r w:rsidRPr="001372DD">
        <w:rPr>
          <w:b/>
          <w:bCs/>
          <w:u w:val="single"/>
        </w:rPr>
        <w:t>Biometric</w:t>
      </w:r>
      <w:r>
        <w:rPr>
          <w:b/>
          <w:bCs/>
          <w:u w:val="single"/>
        </w:rPr>
        <w:t xml:space="preserve">s </w:t>
      </w:r>
      <w:r w:rsidRPr="001372DD">
        <w:rPr>
          <w:b/>
          <w:bCs/>
          <w:u w:val="single"/>
        </w:rPr>
        <w:t xml:space="preserve">and </w:t>
      </w:r>
      <w:r>
        <w:rPr>
          <w:b/>
          <w:bCs/>
          <w:u w:val="single"/>
        </w:rPr>
        <w:t>The Australian Privacy Framework</w:t>
      </w:r>
    </w:p>
    <w:p w14:paraId="77817DD6" w14:textId="77777777" w:rsidR="004A18A1" w:rsidRPr="00D56F21" w:rsidRDefault="004A18A1" w:rsidP="004A18A1">
      <w:pPr>
        <w:spacing w:line="360" w:lineRule="auto"/>
        <w:jc w:val="both"/>
      </w:pPr>
      <w:bookmarkStart w:id="0" w:name="_Hlk207724433"/>
      <w:r>
        <w:t>Biometric data is a type of data that describes and classifies measurable human characteristics. These characteristics commonly include fingerprints, facial features, and voice patterns, and are primarily used for identification and authentication purposes.</w:t>
      </w:r>
      <w:r>
        <w:rPr>
          <w:rStyle w:val="FootnoteReference"/>
        </w:rPr>
        <w:footnoteReference w:id="1"/>
      </w:r>
      <w:r>
        <w:t xml:space="preserve"> In Australia, biometric data is classified as ‘sensitive information’ under s 6 of the </w:t>
      </w:r>
      <w:r>
        <w:rPr>
          <w:i/>
          <w:iCs/>
        </w:rPr>
        <w:t>Privacy Act</w:t>
      </w:r>
      <w:r>
        <w:t xml:space="preserve"> </w:t>
      </w:r>
      <w:r>
        <w:rPr>
          <w:i/>
          <w:iCs/>
        </w:rPr>
        <w:t xml:space="preserve">1988 </w:t>
      </w:r>
      <w:r>
        <w:t>(Cth) and is afforded extra protections with respect to its collection and use or disclosure.</w:t>
      </w:r>
      <w:r>
        <w:rPr>
          <w:rStyle w:val="FootnoteReference"/>
        </w:rPr>
        <w:footnoteReference w:id="2"/>
      </w:r>
      <w:r>
        <w:t xml:space="preserve"> </w:t>
      </w:r>
    </w:p>
    <w:p w14:paraId="3DC574E0" w14:textId="77777777" w:rsidR="004A18A1" w:rsidRDefault="004A18A1" w:rsidP="004A18A1">
      <w:pPr>
        <w:pStyle w:val="ListParagraph"/>
        <w:numPr>
          <w:ilvl w:val="0"/>
          <w:numId w:val="5"/>
        </w:numPr>
        <w:spacing w:after="240" w:line="360" w:lineRule="auto"/>
        <w:jc w:val="both"/>
      </w:pPr>
      <w:r w:rsidRPr="00C133E7">
        <w:rPr>
          <w:b/>
          <w:bCs/>
        </w:rPr>
        <w:t>How Biometric Systems Work</w:t>
      </w:r>
    </w:p>
    <w:p w14:paraId="5B219236" w14:textId="77777777" w:rsidR="004A18A1" w:rsidRDefault="004A18A1" w:rsidP="004A18A1">
      <w:pPr>
        <w:spacing w:line="360" w:lineRule="auto"/>
        <w:jc w:val="both"/>
      </w:pPr>
      <w:r>
        <w:t>The most common methods of biometric authentication used in everyday life are face or fingerprint recognition on smartphones and laptops.</w:t>
      </w:r>
      <w:r>
        <w:rPr>
          <w:rStyle w:val="FootnoteReference"/>
        </w:rPr>
        <w:footnoteReference w:id="3"/>
      </w:r>
      <w:r>
        <w:t xml:space="preserve"> In the online space, biometric data is being increasingly used in online platforms such as social media sites and in advertising.</w:t>
      </w:r>
      <w:r>
        <w:rPr>
          <w:rStyle w:val="FootnoteReference"/>
        </w:rPr>
        <w:footnoteReference w:id="4"/>
      </w:r>
    </w:p>
    <w:p w14:paraId="31F2FD7B" w14:textId="77777777" w:rsidR="004A18A1" w:rsidRPr="0088018D" w:rsidRDefault="004A18A1" w:rsidP="004A18A1">
      <w:pPr>
        <w:spacing w:line="360" w:lineRule="auto"/>
        <w:jc w:val="both"/>
      </w:pPr>
      <w:r>
        <w:t>The analysis of captured biometric data occurs through a verification system, where the biometric information recorded at login is compared against the data stored on the device.</w:t>
      </w:r>
      <w:r>
        <w:rPr>
          <w:rStyle w:val="FootnoteReference"/>
        </w:rPr>
        <w:footnoteReference w:id="5"/>
      </w:r>
      <w:r>
        <w:t xml:space="preserve"> The system evaluates whether the two sets of biometric data are sufficiently similar to confirm the user’s identity.</w:t>
      </w:r>
      <w:r>
        <w:rPr>
          <w:rStyle w:val="FootnoteReference"/>
        </w:rPr>
        <w:footnoteReference w:id="6"/>
      </w:r>
      <w:r>
        <w:t xml:space="preserve"> Unlike password or PIN systems, which require an exact match between the input and stored value, biometric systems rely on patterns and features, allowing for a more flexible and secure method of authentication.</w:t>
      </w:r>
      <w:r>
        <w:rPr>
          <w:rStyle w:val="FootnoteReference"/>
        </w:rPr>
        <w:footnoteReference w:id="7"/>
      </w:r>
      <w:r>
        <w:t xml:space="preserve"> For example, ANZ Bank utilise a system called ‘Voice ID’ on their phone banking app that allows a user’s ‘voice print’ to verify their identity upon login.</w:t>
      </w:r>
      <w:r>
        <w:rPr>
          <w:rStyle w:val="FootnoteReference"/>
        </w:rPr>
        <w:footnoteReference w:id="8"/>
      </w:r>
      <w:r>
        <w:t xml:space="preserve"> Similarly, the Australian Taxation Office utilises voice authentication to verify the identity of individuals who call the ATO’s help lines.</w:t>
      </w:r>
      <w:r>
        <w:rPr>
          <w:rStyle w:val="FootnoteReference"/>
        </w:rPr>
        <w:footnoteReference w:id="9"/>
      </w:r>
      <w:r>
        <w:rPr>
          <w:b/>
          <w:bCs/>
        </w:rPr>
        <w:t xml:space="preserve">  </w:t>
      </w:r>
    </w:p>
    <w:p w14:paraId="51F325AF" w14:textId="77777777" w:rsidR="004A18A1" w:rsidRDefault="004A18A1" w:rsidP="004A18A1">
      <w:pPr>
        <w:pStyle w:val="ListParagraph"/>
        <w:numPr>
          <w:ilvl w:val="0"/>
          <w:numId w:val="5"/>
        </w:numPr>
        <w:spacing w:after="240" w:line="360" w:lineRule="auto"/>
        <w:jc w:val="both"/>
      </w:pPr>
      <w:r w:rsidRPr="00C133E7">
        <w:rPr>
          <w:b/>
          <w:bCs/>
        </w:rPr>
        <w:t>Legal Framework and Challenges</w:t>
      </w:r>
    </w:p>
    <w:p w14:paraId="77F987C8" w14:textId="77777777" w:rsidR="004A18A1" w:rsidRPr="00120D97" w:rsidRDefault="004A18A1" w:rsidP="004A18A1">
      <w:pPr>
        <w:spacing w:line="360" w:lineRule="auto"/>
        <w:jc w:val="both"/>
      </w:pPr>
      <w:r>
        <w:lastRenderedPageBreak/>
        <w:t>Practically, the Australian Privacy Principles</w:t>
      </w:r>
      <w:r>
        <w:rPr>
          <w:rStyle w:val="FootnoteReference"/>
        </w:rPr>
        <w:footnoteReference w:id="10"/>
      </w:r>
      <w:r>
        <w:t xml:space="preserve"> will apply to most businesses and platforms operating in Australia and utilising simple biometric systems. When using biometric systems, such as ‘Voice ID’, organisations required under the </w:t>
      </w:r>
      <w:r>
        <w:rPr>
          <w:i/>
          <w:iCs/>
        </w:rPr>
        <w:t>Privacy Act</w:t>
      </w:r>
      <w:r>
        <w:t xml:space="preserve"> will generally comply with the following APPs: </w:t>
      </w:r>
    </w:p>
    <w:p w14:paraId="3ADB025C" w14:textId="77777777" w:rsidR="004A18A1" w:rsidRDefault="004A18A1" w:rsidP="004A18A1">
      <w:pPr>
        <w:pStyle w:val="ListParagraph"/>
        <w:numPr>
          <w:ilvl w:val="0"/>
          <w:numId w:val="3"/>
        </w:numPr>
        <w:spacing w:after="240" w:line="360" w:lineRule="auto"/>
        <w:jc w:val="both"/>
      </w:pPr>
      <w:r>
        <w:t xml:space="preserve">APP 3 (Collection): biometric data must only be collected with consent </w:t>
      </w:r>
    </w:p>
    <w:p w14:paraId="7EF66340" w14:textId="77777777" w:rsidR="004A18A1" w:rsidRDefault="004A18A1" w:rsidP="004A18A1">
      <w:pPr>
        <w:pStyle w:val="ListParagraph"/>
        <w:numPr>
          <w:ilvl w:val="0"/>
          <w:numId w:val="3"/>
        </w:numPr>
        <w:spacing w:after="240" w:line="360" w:lineRule="auto"/>
        <w:jc w:val="both"/>
      </w:pPr>
      <w:r>
        <w:t xml:space="preserve">APP 6 (Use and Disclosure): collected data must only be used for its original purpose, unless further consent is obtained </w:t>
      </w:r>
    </w:p>
    <w:p w14:paraId="4D4A9AAA" w14:textId="77777777" w:rsidR="004A18A1" w:rsidRDefault="004A18A1" w:rsidP="004A18A1">
      <w:pPr>
        <w:pStyle w:val="ListParagraph"/>
        <w:numPr>
          <w:ilvl w:val="0"/>
          <w:numId w:val="3"/>
        </w:numPr>
        <w:spacing w:after="240" w:line="360" w:lineRule="auto"/>
        <w:jc w:val="both"/>
      </w:pPr>
      <w:r>
        <w:t>APP 11 (Security): reasonable steps must be taken to protect biometric data from misuse, interference, or loss</w:t>
      </w:r>
    </w:p>
    <w:p w14:paraId="421C54E2" w14:textId="77777777" w:rsidR="004A18A1" w:rsidRDefault="004A18A1" w:rsidP="004A18A1">
      <w:pPr>
        <w:pStyle w:val="ListParagraph"/>
        <w:numPr>
          <w:ilvl w:val="0"/>
          <w:numId w:val="3"/>
        </w:numPr>
        <w:spacing w:after="240" w:line="360" w:lineRule="auto"/>
        <w:jc w:val="both"/>
      </w:pPr>
      <w:r>
        <w:t>APP 12 (Access): individuals have the right to access personal data held about them</w:t>
      </w:r>
    </w:p>
    <w:p w14:paraId="53F135DF" w14:textId="77777777" w:rsidR="004A18A1" w:rsidRDefault="004A18A1" w:rsidP="004A18A1">
      <w:pPr>
        <w:spacing w:line="360" w:lineRule="auto"/>
        <w:jc w:val="both"/>
      </w:pPr>
      <w:r>
        <w:t xml:space="preserve">Where organisations fail to comply with these principles, the </w:t>
      </w:r>
      <w:r>
        <w:rPr>
          <w:i/>
          <w:iCs/>
        </w:rPr>
        <w:t xml:space="preserve">Privacy Act </w:t>
      </w:r>
      <w:r>
        <w:t>allows the Information Commissioner to impose penalties.</w:t>
      </w:r>
      <w:r>
        <w:rPr>
          <w:rStyle w:val="FootnoteReference"/>
        </w:rPr>
        <w:footnoteReference w:id="11"/>
      </w:r>
      <w:r>
        <w:t xml:space="preserve"> When considering simple biometric systems, as discussed above, the current legislative approach provides an adequate framework for the collection, storage, and security of collected data. Despite these protections, biometric data also raises unique risks.  </w:t>
      </w:r>
    </w:p>
    <w:p w14:paraId="67AC88B2" w14:textId="77777777" w:rsidR="004A18A1" w:rsidRDefault="004A18A1" w:rsidP="004A18A1">
      <w:pPr>
        <w:pStyle w:val="ListParagraph"/>
        <w:numPr>
          <w:ilvl w:val="0"/>
          <w:numId w:val="6"/>
        </w:numPr>
        <w:spacing w:after="240" w:line="360" w:lineRule="auto"/>
        <w:jc w:val="both"/>
      </w:pPr>
      <w:r w:rsidRPr="00C133E7">
        <w:rPr>
          <w:u w:val="single"/>
        </w:rPr>
        <w:t>Static nature of biometric data</w:t>
      </w:r>
    </w:p>
    <w:p w14:paraId="610508F3" w14:textId="77777777" w:rsidR="004A18A1" w:rsidRDefault="004A18A1" w:rsidP="004A18A1">
      <w:pPr>
        <w:spacing w:line="360" w:lineRule="auto"/>
        <w:jc w:val="both"/>
      </w:pPr>
      <w:r>
        <w:t xml:space="preserve">Biometric data cannot be changed, so unlike a password, once it is compromised, it cannot be revoked or replaced. </w:t>
      </w:r>
    </w:p>
    <w:p w14:paraId="19354EE3" w14:textId="77777777" w:rsidR="004A18A1" w:rsidRPr="00C133E7" w:rsidRDefault="004A18A1" w:rsidP="004A18A1">
      <w:pPr>
        <w:pStyle w:val="ListParagraph"/>
        <w:numPr>
          <w:ilvl w:val="0"/>
          <w:numId w:val="6"/>
        </w:numPr>
        <w:spacing w:after="240" w:line="360" w:lineRule="auto"/>
        <w:jc w:val="both"/>
        <w:rPr>
          <w:u w:val="single"/>
        </w:rPr>
      </w:pPr>
      <w:r w:rsidRPr="00C133E7">
        <w:rPr>
          <w:u w:val="single"/>
        </w:rPr>
        <w:t xml:space="preserve">Principle of consent </w:t>
      </w:r>
    </w:p>
    <w:p w14:paraId="2D201091" w14:textId="77777777" w:rsidR="004A18A1" w:rsidRDefault="004A18A1" w:rsidP="004A18A1">
      <w:pPr>
        <w:spacing w:line="360" w:lineRule="auto"/>
        <w:jc w:val="both"/>
      </w:pPr>
      <w:r>
        <w:t>The APP 3 principle that collection of data must occur by consent has historically been a cause for concern for many individuals, particularly when dealing with large organisations where information about biometric collection is often hidden in dense privacy clauses, or simply not available at all. This issue arose in late 2020, when Meta settled lawsuits in Texas and Illinois over Instagram and Facebook’s collection and use of users’ and non-users’ facial data to train an AI facial recognition program, DeepFace.</w:t>
      </w:r>
      <w:r>
        <w:rPr>
          <w:rStyle w:val="FootnoteReference"/>
        </w:rPr>
        <w:footnoteReference w:id="12"/>
      </w:r>
      <w:r>
        <w:t xml:space="preserve"> The lawsuits alleged that Meta failed to disclose that users and non-users of its platforms </w:t>
      </w:r>
      <w:r>
        <w:lastRenderedPageBreak/>
        <w:t>would have their biometric information collected and used to train AI models, which was contrary to privacy legislation in both jurisdictions (as it would be in Australia).</w:t>
      </w:r>
      <w:r>
        <w:rPr>
          <w:rStyle w:val="FootnoteReference"/>
        </w:rPr>
        <w:footnoteReference w:id="13"/>
      </w:r>
    </w:p>
    <w:p w14:paraId="422843B2" w14:textId="77777777" w:rsidR="004A18A1" w:rsidRDefault="004A18A1" w:rsidP="004A18A1">
      <w:pPr>
        <w:spacing w:line="360" w:lineRule="auto"/>
        <w:jc w:val="both"/>
      </w:pPr>
      <w:r>
        <w:t>More recently in Australia, Bunnings breached Australian privacy laws in 2024 by utilising facial recognition through CCTV systems in 63 stores across VIC and NSW.</w:t>
      </w:r>
      <w:r>
        <w:rPr>
          <w:rStyle w:val="FootnoteReference"/>
        </w:rPr>
        <w:footnoteReference w:id="14"/>
      </w:r>
      <w:r>
        <w:t xml:space="preserve"> The Privacy Commissioner found that Bunnings collected sensitive information without consent, failed to take reasonable steps to notify individuals that their personal information was being collected and did not include required information in its privacy policy.</w:t>
      </w:r>
      <w:r>
        <w:rPr>
          <w:rStyle w:val="FootnoteReference"/>
        </w:rPr>
        <w:footnoteReference w:id="15"/>
      </w:r>
      <w:r>
        <w:t xml:space="preserve"> These examples show the clear issues surrounding the principles of consent and an inherent failure of large corporations to follow simple requirements.  </w:t>
      </w:r>
    </w:p>
    <w:p w14:paraId="1DB9E646" w14:textId="77777777" w:rsidR="004A18A1" w:rsidRDefault="004A18A1" w:rsidP="004A18A1">
      <w:pPr>
        <w:pStyle w:val="ListParagraph"/>
        <w:numPr>
          <w:ilvl w:val="0"/>
          <w:numId w:val="6"/>
        </w:numPr>
        <w:spacing w:after="240" w:line="360" w:lineRule="auto"/>
        <w:jc w:val="both"/>
      </w:pPr>
      <w:r w:rsidRPr="00C133E7">
        <w:rPr>
          <w:u w:val="single"/>
        </w:rPr>
        <w:t xml:space="preserve">Small business exemption </w:t>
      </w:r>
    </w:p>
    <w:p w14:paraId="7FC3C067" w14:textId="77777777" w:rsidR="004A18A1" w:rsidRPr="009D547F" w:rsidRDefault="004A18A1" w:rsidP="004A18A1">
      <w:pPr>
        <w:spacing w:line="360" w:lineRule="auto"/>
        <w:jc w:val="both"/>
      </w:pPr>
      <w:r>
        <w:t xml:space="preserve">The current small business exemption, pursuant to s 6C of the </w:t>
      </w:r>
      <w:r w:rsidRPr="003D47FA">
        <w:rPr>
          <w:i/>
          <w:iCs/>
        </w:rPr>
        <w:t>Privacy Act</w:t>
      </w:r>
      <w:r>
        <w:t>, provides a blanket exemption to small businesses</w:t>
      </w:r>
      <w:r>
        <w:rPr>
          <w:rStyle w:val="FootnoteReference"/>
        </w:rPr>
        <w:footnoteReference w:id="16"/>
      </w:r>
      <w:r>
        <w:t xml:space="preserve"> from providing necessary and appropriate protection of the personal information they have about their customers, staff, and other businesses they are dealing with.</w:t>
      </w:r>
      <w:r>
        <w:rPr>
          <w:rStyle w:val="FootnoteReference"/>
        </w:rPr>
        <w:footnoteReference w:id="17"/>
      </w:r>
      <w:r>
        <w:t xml:space="preserve"> This is particularly important for small businesses utilising biometric systems, as storing and protecting such sensitive data carries significant risks, and there is a public interest in ensuring such data is adequately protected. </w:t>
      </w:r>
    </w:p>
    <w:p w14:paraId="13B9195F" w14:textId="77777777" w:rsidR="004A18A1" w:rsidRDefault="004A18A1" w:rsidP="004A18A1">
      <w:pPr>
        <w:pStyle w:val="ListParagraph"/>
        <w:numPr>
          <w:ilvl w:val="0"/>
          <w:numId w:val="5"/>
        </w:numPr>
        <w:spacing w:after="240" w:line="360" w:lineRule="auto"/>
        <w:jc w:val="both"/>
      </w:pPr>
      <w:r w:rsidRPr="00C133E7">
        <w:rPr>
          <w:b/>
          <w:bCs/>
        </w:rPr>
        <w:t>Emerging Protections</w:t>
      </w:r>
    </w:p>
    <w:p w14:paraId="3F0EFEFE" w14:textId="77777777" w:rsidR="004A18A1" w:rsidRDefault="004A18A1" w:rsidP="004A18A1">
      <w:pPr>
        <w:spacing w:line="360" w:lineRule="auto"/>
        <w:jc w:val="both"/>
      </w:pPr>
      <w:r>
        <w:t xml:space="preserve">As of 10 June 2025, Schedule 2 has been added to the </w:t>
      </w:r>
      <w:r w:rsidRPr="002809AA">
        <w:rPr>
          <w:i/>
          <w:iCs/>
        </w:rPr>
        <w:t>Privacy Act</w:t>
      </w:r>
      <w:r>
        <w:t xml:space="preserve">, which creates a statutory tort for serious invasions of privacy. To establish a cause of action under the new tort, five elements must be present: </w:t>
      </w:r>
    </w:p>
    <w:p w14:paraId="3D5939EE" w14:textId="77777777" w:rsidR="004A18A1" w:rsidRDefault="004A18A1" w:rsidP="004A18A1">
      <w:pPr>
        <w:pStyle w:val="ListParagraph"/>
        <w:numPr>
          <w:ilvl w:val="0"/>
          <w:numId w:val="4"/>
        </w:numPr>
        <w:spacing w:after="240" w:line="360" w:lineRule="auto"/>
        <w:jc w:val="both"/>
      </w:pPr>
      <w:r>
        <w:t xml:space="preserve">The Defendant invaded the privacy of the Plaintiff </w:t>
      </w:r>
    </w:p>
    <w:p w14:paraId="23102944" w14:textId="77777777" w:rsidR="004A18A1" w:rsidRDefault="004A18A1" w:rsidP="004A18A1">
      <w:pPr>
        <w:pStyle w:val="ListParagraph"/>
        <w:numPr>
          <w:ilvl w:val="0"/>
          <w:numId w:val="4"/>
        </w:numPr>
        <w:spacing w:after="240" w:line="360" w:lineRule="auto"/>
        <w:jc w:val="both"/>
      </w:pPr>
      <w:r>
        <w:t xml:space="preserve">The Plaintiff had a reasonable expectation of privacy </w:t>
      </w:r>
    </w:p>
    <w:p w14:paraId="3E0BEC52" w14:textId="77777777" w:rsidR="004A18A1" w:rsidRDefault="004A18A1" w:rsidP="004A18A1">
      <w:pPr>
        <w:pStyle w:val="ListParagraph"/>
        <w:numPr>
          <w:ilvl w:val="0"/>
          <w:numId w:val="4"/>
        </w:numPr>
        <w:spacing w:after="240" w:line="360" w:lineRule="auto"/>
        <w:jc w:val="both"/>
      </w:pPr>
      <w:r>
        <w:t>The invasion of privacy must be intentional or reckless</w:t>
      </w:r>
    </w:p>
    <w:p w14:paraId="6A75DEBA" w14:textId="77777777" w:rsidR="004A18A1" w:rsidRDefault="004A18A1" w:rsidP="004A18A1">
      <w:pPr>
        <w:pStyle w:val="ListParagraph"/>
        <w:numPr>
          <w:ilvl w:val="0"/>
          <w:numId w:val="4"/>
        </w:numPr>
        <w:spacing w:after="240" w:line="360" w:lineRule="auto"/>
        <w:jc w:val="both"/>
      </w:pPr>
      <w:r>
        <w:t xml:space="preserve">The invasion of privacy must be serious </w:t>
      </w:r>
    </w:p>
    <w:p w14:paraId="46EE76B6" w14:textId="77777777" w:rsidR="004A18A1" w:rsidRDefault="004A18A1" w:rsidP="004A18A1">
      <w:pPr>
        <w:pStyle w:val="ListParagraph"/>
        <w:numPr>
          <w:ilvl w:val="0"/>
          <w:numId w:val="4"/>
        </w:numPr>
        <w:spacing w:after="240" w:line="360" w:lineRule="auto"/>
        <w:jc w:val="both"/>
      </w:pPr>
      <w:r>
        <w:lastRenderedPageBreak/>
        <w:t xml:space="preserve">The public interest in the Plaintiff’s privacy must outweigh any countervailing public interest </w:t>
      </w:r>
    </w:p>
    <w:p w14:paraId="454D0899" w14:textId="77777777" w:rsidR="004A18A1" w:rsidRPr="00232CF7" w:rsidRDefault="004A18A1" w:rsidP="004A18A1">
      <w:pPr>
        <w:spacing w:line="360" w:lineRule="auto"/>
        <w:jc w:val="both"/>
      </w:pPr>
      <w:r>
        <w:t>The Schedule provides matters in which the court may consider when determining each element.</w:t>
      </w:r>
      <w:r>
        <w:rPr>
          <w:rStyle w:val="FootnoteReference"/>
        </w:rPr>
        <w:footnoteReference w:id="18"/>
      </w:r>
      <w:r>
        <w:t xml:space="preserve"> </w:t>
      </w:r>
    </w:p>
    <w:p w14:paraId="374F9F50" w14:textId="77777777" w:rsidR="004A18A1" w:rsidRDefault="004A18A1" w:rsidP="004A18A1">
      <w:pPr>
        <w:spacing w:line="360" w:lineRule="auto"/>
        <w:jc w:val="both"/>
      </w:pPr>
      <w:r>
        <w:t>This statutory cause of action has several important features beyond those listed in the Schedule. Firstly, it appears to operate independently of the Privacy Act’s regulatory framework, meaning that a plaintiff can bring a claim against any ‘person’, regardless of whether that ‘person’ is a government agency or an organisation with over $3 million in annual turnover.</w:t>
      </w:r>
      <w:r>
        <w:rPr>
          <w:rStyle w:val="FootnoteReference"/>
        </w:rPr>
        <w:footnoteReference w:id="19"/>
      </w:r>
      <w:r>
        <w:t xml:space="preserve"> This theoretically nullifies the small business exemption, provided for in ss 6C and 6D of the Privacy Act, as discussed above. For example, the unauthorised collection of biometric information by an individual or small business </w:t>
      </w:r>
      <w:r w:rsidRPr="002A007C">
        <w:rPr>
          <w:i/>
          <w:iCs/>
        </w:rPr>
        <w:t>will</w:t>
      </w:r>
      <w:r>
        <w:t xml:space="preserve"> be captured by the cause of action. </w:t>
      </w:r>
    </w:p>
    <w:p w14:paraId="049F8FB7" w14:textId="77777777" w:rsidR="004A18A1" w:rsidRDefault="004A18A1" w:rsidP="004A18A1">
      <w:pPr>
        <w:spacing w:line="360" w:lineRule="auto"/>
        <w:jc w:val="both"/>
      </w:pPr>
      <w:r>
        <w:t>Further, this cause of action does not require any form of harm to be suffered. While the nature of the harm or damage suffered will be a relevant factor in assessing the seriousness of the invasion,</w:t>
      </w:r>
      <w:r>
        <w:rPr>
          <w:rStyle w:val="FootnoteReference"/>
        </w:rPr>
        <w:footnoteReference w:id="20"/>
      </w:r>
      <w:r>
        <w:t xml:space="preserve"> this is an important step to recognising that privacy itself is a protected interest, and as such, the existence of a breach of privacy, coupled with the remaining elements, so that the breach is a ‘serious invasion’,</w:t>
      </w:r>
      <w:r>
        <w:rPr>
          <w:rStyle w:val="FootnoteReference"/>
        </w:rPr>
        <w:footnoteReference w:id="21"/>
      </w:r>
      <w:r>
        <w:t xml:space="preserve"> is in itself a sufficient cause of action. The legislature has recognised that the harm from privacy breaches is often intangible, particularly in the case of enduring biometric information. Requiring ‘proof’ of harm would further restrict the application of the tort and limit its effectiveness as a mechanism for protecting an individual’s private interests. This is consistent with a recommendation made by the ALRC, which stated that </w:t>
      </w:r>
      <w:r w:rsidRPr="00931EA9">
        <w:rPr>
          <w:i/>
          <w:iCs/>
        </w:rPr>
        <w:t>not</w:t>
      </w:r>
      <w:r>
        <w:t xml:space="preserve"> requiring proof of actual damage will provide an important level of protection and vindication for victims of intentional or reckless invasions of privacy and will enhance the tort’s deterrent and normative influence.</w:t>
      </w:r>
      <w:r>
        <w:rPr>
          <w:rStyle w:val="FootnoteReference"/>
        </w:rPr>
        <w:footnoteReference w:id="22"/>
      </w:r>
      <w:r>
        <w:t xml:space="preserve"> </w:t>
      </w:r>
    </w:p>
    <w:p w14:paraId="7859162D" w14:textId="77777777" w:rsidR="004A18A1" w:rsidRDefault="004A18A1" w:rsidP="004A18A1">
      <w:pPr>
        <w:spacing w:line="360" w:lineRule="auto"/>
        <w:jc w:val="both"/>
      </w:pPr>
      <w:r>
        <w:t>By leaving the question of harm largely open-ended, the legislature has afforded Courts the discretion to assess the correlation between the harm suffered and the seriousness of the invasion of privacy.</w:t>
      </w:r>
      <w:r>
        <w:rPr>
          <w:rStyle w:val="FootnoteReference"/>
        </w:rPr>
        <w:footnoteReference w:id="23"/>
      </w:r>
      <w:r>
        <w:t xml:space="preserve"> In UK jurisprudence, consideration has been given to ‘a loss of dignity’ as a recognisable harm in breach-of-privacy-related matters.</w:t>
      </w:r>
      <w:r>
        <w:rPr>
          <w:rStyle w:val="FootnoteReference"/>
        </w:rPr>
        <w:footnoteReference w:id="24"/>
      </w:r>
      <w:r>
        <w:t xml:space="preserve"> It remains to be seen how the Courts will approach this issue, but the range of harms recognised under Australian common law may expand as a result of this provision. </w:t>
      </w:r>
    </w:p>
    <w:p w14:paraId="0CB4AD1E" w14:textId="77777777" w:rsidR="004A18A1" w:rsidRDefault="004A18A1" w:rsidP="004A18A1">
      <w:pPr>
        <w:spacing w:line="360" w:lineRule="auto"/>
        <w:jc w:val="both"/>
      </w:pPr>
      <w:r>
        <w:lastRenderedPageBreak/>
        <w:t>Finally, given the permanent and sensitive nature of biometric information, breaches involving biometric data may constitute a serious invasion under Schedule 2.</w:t>
      </w:r>
      <w:r>
        <w:rPr>
          <w:rStyle w:val="FootnoteReference"/>
        </w:rPr>
        <w:footnoteReference w:id="25"/>
      </w:r>
      <w:r>
        <w:t xml:space="preserve"> Therefore, the additional protections afforded by the tort may adequately expand the realm of privacy law to encompass breaches of biometric data in a more comprehensive capacity.</w:t>
      </w:r>
    </w:p>
    <w:p w14:paraId="0A62199D" w14:textId="77777777" w:rsidR="004A18A1" w:rsidRDefault="004A18A1" w:rsidP="004A18A1">
      <w:pPr>
        <w:spacing w:line="360" w:lineRule="auto"/>
        <w:jc w:val="both"/>
      </w:pPr>
    </w:p>
    <w:bookmarkEnd w:id="0"/>
    <w:p w14:paraId="707D5AF9" w14:textId="77777777" w:rsidR="004A18A1" w:rsidRDefault="004A18A1" w:rsidP="004A18A1"/>
    <w:p w14:paraId="1417F27A" w14:textId="77777777" w:rsidR="004A18A1" w:rsidRDefault="004A18A1" w:rsidP="004A18A1"/>
    <w:p w14:paraId="75BDFB13" w14:textId="77777777" w:rsidR="004A18A1" w:rsidRDefault="004A18A1" w:rsidP="004A18A1"/>
    <w:p w14:paraId="1455F00E" w14:textId="77777777" w:rsidR="004A18A1" w:rsidRDefault="004A18A1" w:rsidP="004A18A1"/>
    <w:p w14:paraId="3FE70F25" w14:textId="77777777" w:rsidR="004A18A1" w:rsidRDefault="004A18A1" w:rsidP="004A18A1"/>
    <w:p w14:paraId="1E3CD1EA" w14:textId="77777777" w:rsidR="004A18A1" w:rsidRDefault="004A18A1" w:rsidP="004A18A1"/>
    <w:p w14:paraId="1E4DBED3" w14:textId="77777777" w:rsidR="004A18A1" w:rsidRDefault="004A18A1" w:rsidP="004A18A1"/>
    <w:p w14:paraId="279E5CB3" w14:textId="77777777" w:rsidR="004A18A1" w:rsidRDefault="004A18A1" w:rsidP="004A18A1"/>
    <w:p w14:paraId="015713C7" w14:textId="77777777" w:rsidR="004A18A1" w:rsidRDefault="004A18A1" w:rsidP="004A18A1"/>
    <w:p w14:paraId="049E571E" w14:textId="77777777" w:rsidR="004A18A1" w:rsidRDefault="004A18A1" w:rsidP="004A18A1"/>
    <w:p w14:paraId="4980D89D" w14:textId="77777777" w:rsidR="004A18A1" w:rsidRDefault="004A18A1" w:rsidP="004A18A1"/>
    <w:p w14:paraId="6F02E5A4" w14:textId="77777777" w:rsidR="004A18A1" w:rsidRDefault="004A18A1" w:rsidP="004A18A1"/>
    <w:p w14:paraId="5D30C707" w14:textId="77777777" w:rsidR="004A18A1" w:rsidRDefault="004A18A1" w:rsidP="004A18A1"/>
    <w:p w14:paraId="33503A86" w14:textId="77777777" w:rsidR="004A18A1" w:rsidRDefault="004A18A1" w:rsidP="004A18A1"/>
    <w:p w14:paraId="6B801DB9" w14:textId="77777777" w:rsidR="004A18A1" w:rsidRDefault="004A18A1" w:rsidP="004A18A1"/>
    <w:p w14:paraId="20FC4EE5" w14:textId="77777777" w:rsidR="004A18A1" w:rsidRDefault="004A18A1" w:rsidP="004A18A1"/>
    <w:p w14:paraId="3829AF43" w14:textId="77777777" w:rsidR="004A18A1" w:rsidRDefault="004A18A1" w:rsidP="00C746F8"/>
    <w:p w14:paraId="3264E357" w14:textId="77777777" w:rsidR="00C746F8" w:rsidRDefault="00C746F8" w:rsidP="00C746F8">
      <w:pPr>
        <w:rPr>
          <w:b/>
          <w:bCs/>
          <w:u w:val="single"/>
        </w:rPr>
      </w:pPr>
    </w:p>
    <w:p w14:paraId="27E1FE7F" w14:textId="5EA3420C" w:rsidR="004A18A1" w:rsidRDefault="004A18A1" w:rsidP="004A18A1">
      <w:pPr>
        <w:spacing w:line="360" w:lineRule="auto"/>
        <w:jc w:val="center"/>
        <w:rPr>
          <w:b/>
          <w:bCs/>
          <w:u w:val="single"/>
        </w:rPr>
      </w:pPr>
      <w:r>
        <w:rPr>
          <w:b/>
          <w:bCs/>
          <w:u w:val="single"/>
        </w:rPr>
        <w:t>Bibliography</w:t>
      </w:r>
    </w:p>
    <w:p w14:paraId="23ED237B" w14:textId="77777777" w:rsidR="004A18A1" w:rsidRDefault="004A18A1" w:rsidP="004A18A1">
      <w:pPr>
        <w:spacing w:line="360" w:lineRule="auto"/>
        <w:jc w:val="center"/>
        <w:rPr>
          <w:i/>
          <w:iCs/>
        </w:rPr>
      </w:pPr>
      <w:r>
        <w:t xml:space="preserve">A </w:t>
      </w:r>
      <w:r>
        <w:rPr>
          <w:i/>
          <w:iCs/>
        </w:rPr>
        <w:t>Articles/Books/Reports</w:t>
      </w:r>
    </w:p>
    <w:p w14:paraId="5B76FB40" w14:textId="77777777" w:rsidR="004A18A1" w:rsidRPr="00623883" w:rsidRDefault="004A18A1" w:rsidP="004A18A1">
      <w:pPr>
        <w:spacing w:line="360" w:lineRule="auto"/>
        <w:jc w:val="both"/>
      </w:pPr>
      <w:r>
        <w:t xml:space="preserve">ANZ, ’Voice ID in the ANZ App’, </w:t>
      </w:r>
      <w:r>
        <w:rPr>
          <w:i/>
          <w:iCs/>
        </w:rPr>
        <w:t>Security hub</w:t>
      </w:r>
      <w:r>
        <w:t xml:space="preserve"> (Web page) &lt;</w:t>
      </w:r>
      <w:r w:rsidRPr="00D878C4">
        <w:t>https://www.anz.com.au/security/how-we-protect-you/voice-id/</w:t>
      </w:r>
      <w:r>
        <w:t>&gt;</w:t>
      </w:r>
    </w:p>
    <w:p w14:paraId="7E91B0B8" w14:textId="77777777" w:rsidR="004A18A1" w:rsidRDefault="004A18A1" w:rsidP="004A18A1">
      <w:pPr>
        <w:spacing w:line="360" w:lineRule="auto"/>
        <w:jc w:val="both"/>
      </w:pPr>
      <w:r>
        <w:lastRenderedPageBreak/>
        <w:t xml:space="preserve">Australian Taxation Office, ‘Voice authentication’, </w:t>
      </w:r>
      <w:r>
        <w:rPr>
          <w:i/>
          <w:iCs/>
        </w:rPr>
        <w:t>Online services</w:t>
      </w:r>
      <w:r>
        <w:t xml:space="preserve"> (Web page) &lt;</w:t>
      </w:r>
      <w:r w:rsidRPr="00E57186">
        <w:t>https://www.ato.gov.au/online-services/voice-authentication</w:t>
      </w:r>
      <w:r>
        <w:t>&gt;</w:t>
      </w:r>
    </w:p>
    <w:p w14:paraId="36358751" w14:textId="77777777" w:rsidR="004A18A1" w:rsidRDefault="004A18A1" w:rsidP="004A18A1">
      <w:pPr>
        <w:spacing w:line="360" w:lineRule="auto"/>
        <w:jc w:val="both"/>
      </w:pPr>
      <w:r>
        <w:t xml:space="preserve">Bruce Billson, ‘Small businesses can’t be held to the same privacy standards’, </w:t>
      </w:r>
      <w:r>
        <w:rPr>
          <w:i/>
          <w:iCs/>
        </w:rPr>
        <w:t>Australian Small Business and Family Enterprise Ombudsman</w:t>
      </w:r>
      <w:r>
        <w:t xml:space="preserve"> (Online, 22 July 2024) &lt;</w:t>
      </w:r>
      <w:r w:rsidRPr="00364A7A">
        <w:t>https://www.asbfeo.gov.au/media-centre/media-releases/small-businesses-cant-be-held-same-privacy-standards</w:t>
      </w:r>
      <w:r>
        <w:t>&gt;</w:t>
      </w:r>
    </w:p>
    <w:p w14:paraId="3E950DA9" w14:textId="77777777" w:rsidR="004A18A1" w:rsidRDefault="004A18A1" w:rsidP="004A18A1">
      <w:pPr>
        <w:pStyle w:val="NoSpacing"/>
        <w:spacing w:line="360" w:lineRule="auto"/>
        <w:jc w:val="both"/>
      </w:pPr>
      <w:r>
        <w:t xml:space="preserve">Eric Descheemaeker, ‘The harms of privacy’ (2015) 7(2) </w:t>
      </w:r>
      <w:r>
        <w:rPr>
          <w:i/>
          <w:iCs/>
        </w:rPr>
        <w:t>The Journal of Media Law</w:t>
      </w:r>
      <w:r>
        <w:t xml:space="preserve"> 278</w:t>
      </w:r>
    </w:p>
    <w:p w14:paraId="7739E10F" w14:textId="77777777" w:rsidR="004A18A1" w:rsidRDefault="004A18A1" w:rsidP="004A18A1">
      <w:pPr>
        <w:pStyle w:val="NoSpacing"/>
        <w:spacing w:line="360" w:lineRule="auto"/>
        <w:jc w:val="both"/>
      </w:pPr>
    </w:p>
    <w:p w14:paraId="027C0665" w14:textId="77777777" w:rsidR="004A18A1" w:rsidRDefault="004A18A1" w:rsidP="004A18A1">
      <w:pPr>
        <w:pStyle w:val="NoSpacing"/>
        <w:spacing w:line="360" w:lineRule="auto"/>
        <w:jc w:val="both"/>
      </w:pPr>
      <w:r>
        <w:t xml:space="preserve">Hern, Alex, ‘Facebook pays $550m settlement for breaking Illinois data protection law’, </w:t>
      </w:r>
      <w:r>
        <w:rPr>
          <w:i/>
          <w:iCs/>
        </w:rPr>
        <w:t>The Guardian</w:t>
      </w:r>
      <w:r>
        <w:t xml:space="preserve"> (Online, 31 January 2020) &lt;</w:t>
      </w:r>
      <w:r w:rsidRPr="00CE1211">
        <w:t>https://www.theguardian.com/technology/2020/jan/30/facebook-pays-550m-settlement-for-breaking-illinois-data-protection-law</w:t>
      </w:r>
      <w:r>
        <w:t>&gt;</w:t>
      </w:r>
    </w:p>
    <w:p w14:paraId="6B0E139A" w14:textId="77777777" w:rsidR="004A18A1" w:rsidRDefault="004A18A1" w:rsidP="004A18A1">
      <w:pPr>
        <w:pStyle w:val="NoSpacing"/>
        <w:spacing w:line="360" w:lineRule="auto"/>
        <w:jc w:val="both"/>
      </w:pPr>
    </w:p>
    <w:p w14:paraId="1612DCA8" w14:textId="77777777" w:rsidR="004A18A1" w:rsidRPr="00D140C6" w:rsidRDefault="004A18A1" w:rsidP="004A18A1">
      <w:pPr>
        <w:spacing w:line="360" w:lineRule="auto"/>
        <w:jc w:val="both"/>
      </w:pPr>
      <w:r>
        <w:t xml:space="preserve">Jorge Conde and Dan J B Svantesson, ‘The five generations of facial recognition usage and the Australian privacy law’ (2024) 14(3) </w:t>
      </w:r>
      <w:r>
        <w:rPr>
          <w:i/>
          <w:iCs/>
        </w:rPr>
        <w:t>International Data Privacy Law</w:t>
      </w:r>
      <w:r>
        <w:t xml:space="preserve"> 247.</w:t>
      </w:r>
    </w:p>
    <w:p w14:paraId="6CA7DE30" w14:textId="77777777" w:rsidR="004A18A1" w:rsidRDefault="004A18A1" w:rsidP="004A18A1">
      <w:pPr>
        <w:spacing w:line="360" w:lineRule="auto"/>
        <w:jc w:val="both"/>
      </w:pPr>
      <w:r>
        <w:t xml:space="preserve">Mangan, Dan, ‘Meta agrees to $1.4 billion settlement in Texas biometric data lawsuit over Facebook images’, </w:t>
      </w:r>
      <w:r>
        <w:rPr>
          <w:i/>
          <w:iCs/>
        </w:rPr>
        <w:t xml:space="preserve">CNBC </w:t>
      </w:r>
      <w:r>
        <w:t>(Online, 30 July 2024) &lt;</w:t>
      </w:r>
      <w:r w:rsidRPr="00CE1211">
        <w:t>https://www.cnbc.com/2024/07/30/meta-agrees-to-1point4-billion-settlement-in-texas-biometric-data-lawsuit.html</w:t>
      </w:r>
      <w:r>
        <w:t>&gt;.</w:t>
      </w:r>
    </w:p>
    <w:p w14:paraId="7F03CA60" w14:textId="77777777" w:rsidR="004A18A1" w:rsidRDefault="004A18A1" w:rsidP="004A18A1">
      <w:pPr>
        <w:spacing w:line="360" w:lineRule="auto"/>
        <w:jc w:val="both"/>
      </w:pPr>
      <w:r>
        <w:t xml:space="preserve">National Cyber Security Centre, ‘Using biometrics’, </w:t>
      </w:r>
      <w:r>
        <w:rPr>
          <w:i/>
          <w:iCs/>
        </w:rPr>
        <w:t>Device security guidance</w:t>
      </w:r>
      <w:r>
        <w:t xml:space="preserve"> (Web page) &lt;</w:t>
      </w:r>
      <w:r w:rsidRPr="00623883">
        <w:t>https://www.ncsc.gov.uk/collection/device-security-guidance/policies-and-settings/using-biometrics</w:t>
      </w:r>
      <w:r>
        <w:t>&gt;</w:t>
      </w:r>
    </w:p>
    <w:p w14:paraId="4F77B74A" w14:textId="77777777" w:rsidR="004A18A1" w:rsidRDefault="004A18A1" w:rsidP="004A18A1">
      <w:pPr>
        <w:spacing w:line="360" w:lineRule="auto"/>
        <w:jc w:val="both"/>
      </w:pPr>
      <w:r>
        <w:t xml:space="preserve">Office of the Australian Information Commissioner, ‘Biometric scanning’, </w:t>
      </w:r>
      <w:r>
        <w:rPr>
          <w:i/>
          <w:iCs/>
        </w:rPr>
        <w:t>Your privacy rights</w:t>
      </w:r>
      <w:r>
        <w:t xml:space="preserve"> (Web page) &lt;</w:t>
      </w:r>
      <w:r w:rsidRPr="004F710A">
        <w:t>https://www.oaic.gov.au/privacy/your-privacy-rights/surveillance-and-monitoring/biometric-scanning</w:t>
      </w:r>
      <w:r>
        <w:t>&gt;</w:t>
      </w:r>
    </w:p>
    <w:p w14:paraId="3EBF79CF" w14:textId="77777777" w:rsidR="004A18A1" w:rsidRDefault="004A18A1" w:rsidP="004A18A1">
      <w:pPr>
        <w:pStyle w:val="NoSpacing"/>
        <w:spacing w:line="360" w:lineRule="auto"/>
        <w:jc w:val="both"/>
      </w:pPr>
      <w:r>
        <w:t xml:space="preserve">Office of the Australian Information Commissioner, ‘Bunnings breached Australians’ privacy with facial recognition tool, </w:t>
      </w:r>
      <w:r>
        <w:rPr>
          <w:i/>
          <w:iCs/>
        </w:rPr>
        <w:t>Media centre</w:t>
      </w:r>
      <w:r>
        <w:t xml:space="preserve"> (Blog page) &lt;</w:t>
      </w:r>
      <w:r w:rsidRPr="00CE1211">
        <w:t>https://www.oaic.gov.au/news/media-centre/bunnings-breached-australians-privacy-with-facial-recognition-tool</w:t>
      </w:r>
      <w:r>
        <w:t>&gt;</w:t>
      </w:r>
    </w:p>
    <w:p w14:paraId="52B0D191" w14:textId="77777777" w:rsidR="004A18A1" w:rsidRDefault="004A18A1" w:rsidP="004A18A1">
      <w:pPr>
        <w:pStyle w:val="NoSpacing"/>
        <w:spacing w:line="360" w:lineRule="auto"/>
        <w:jc w:val="both"/>
      </w:pPr>
    </w:p>
    <w:p w14:paraId="64647992" w14:textId="77777777" w:rsidR="004A18A1" w:rsidRDefault="004A18A1" w:rsidP="004A18A1">
      <w:pPr>
        <w:spacing w:line="360" w:lineRule="auto"/>
        <w:jc w:val="both"/>
      </w:pPr>
      <w:r>
        <w:t xml:space="preserve">Office of the Victorian Information Commissioner, ‘Biometrics and Privacy – Issues and Challenges’, </w:t>
      </w:r>
      <w:r>
        <w:rPr>
          <w:i/>
          <w:iCs/>
        </w:rPr>
        <w:t>Resources for organisations</w:t>
      </w:r>
      <w:r>
        <w:t xml:space="preserve"> (Web page) &lt;</w:t>
      </w:r>
      <w:r w:rsidRPr="00D20563">
        <w:t>https://ovic.vic.gov.au/privacy/resources-for-organisations/biometrics-and-privacy-issues-and-challenges/</w:t>
      </w:r>
      <w:r>
        <w:t>&gt;</w:t>
      </w:r>
    </w:p>
    <w:p w14:paraId="7D98C454" w14:textId="77777777" w:rsidR="004A18A1" w:rsidRDefault="004A18A1" w:rsidP="004A18A1">
      <w:pPr>
        <w:spacing w:line="360" w:lineRule="auto"/>
        <w:jc w:val="center"/>
        <w:rPr>
          <w:i/>
          <w:iCs/>
        </w:rPr>
      </w:pPr>
      <w:r>
        <w:t xml:space="preserve">C </w:t>
      </w:r>
      <w:r>
        <w:rPr>
          <w:i/>
          <w:iCs/>
        </w:rPr>
        <w:t>Legislation</w:t>
      </w:r>
    </w:p>
    <w:p w14:paraId="68B0D91A" w14:textId="77777777" w:rsidR="004A18A1" w:rsidRPr="00056809" w:rsidRDefault="004A18A1" w:rsidP="004A18A1">
      <w:pPr>
        <w:spacing w:line="360" w:lineRule="auto"/>
        <w:jc w:val="both"/>
      </w:pPr>
      <w:r>
        <w:rPr>
          <w:i/>
          <w:iCs/>
        </w:rPr>
        <w:t xml:space="preserve">Privacy Act </w:t>
      </w:r>
      <w:r w:rsidRPr="00046606">
        <w:t>1988</w:t>
      </w:r>
      <w:r>
        <w:t xml:space="preserve"> (Cth)</w:t>
      </w:r>
    </w:p>
    <w:p w14:paraId="6385ADC2" w14:textId="77777777" w:rsidR="004A18A1" w:rsidRDefault="004A18A1" w:rsidP="004A18A1">
      <w:pPr>
        <w:spacing w:line="360" w:lineRule="auto"/>
        <w:jc w:val="center"/>
      </w:pPr>
      <w:r>
        <w:lastRenderedPageBreak/>
        <w:t xml:space="preserve">E </w:t>
      </w:r>
      <w:r>
        <w:rPr>
          <w:i/>
          <w:iCs/>
        </w:rPr>
        <w:t>Other</w:t>
      </w:r>
    </w:p>
    <w:p w14:paraId="1A67DA39" w14:textId="77777777" w:rsidR="004A18A1" w:rsidRDefault="004A18A1" w:rsidP="004A18A1">
      <w:pPr>
        <w:pStyle w:val="NoSpacing"/>
        <w:spacing w:line="360" w:lineRule="auto"/>
        <w:jc w:val="both"/>
      </w:pPr>
      <w:r>
        <w:t xml:space="preserve">Australian Law Reform Commission, </w:t>
      </w:r>
      <w:r>
        <w:rPr>
          <w:i/>
          <w:iCs/>
        </w:rPr>
        <w:t>Serious Invasions of Privacy in the Digital Era</w:t>
      </w:r>
      <w:r>
        <w:t xml:space="preserve"> (Report No 123, June 2014).</w:t>
      </w:r>
    </w:p>
    <w:p w14:paraId="1D2B8205" w14:textId="77777777" w:rsidR="004A18A1" w:rsidRDefault="004A18A1" w:rsidP="004A18A1">
      <w:pPr>
        <w:pStyle w:val="NoSpacing"/>
        <w:spacing w:line="360" w:lineRule="auto"/>
        <w:jc w:val="both"/>
      </w:pPr>
    </w:p>
    <w:p w14:paraId="2927ADF8" w14:textId="77777777" w:rsidR="004A18A1" w:rsidRDefault="004A18A1" w:rsidP="004A18A1">
      <w:pPr>
        <w:spacing w:line="360" w:lineRule="auto"/>
        <w:jc w:val="both"/>
      </w:pPr>
      <w:r>
        <w:t xml:space="preserve">Commonwealth, </w:t>
      </w:r>
      <w:r>
        <w:rPr>
          <w:i/>
          <w:iCs/>
        </w:rPr>
        <w:t>Parliamentary Debate</w:t>
      </w:r>
      <w:r>
        <w:t>, Legislative Council, 12 September 2024 (Mark Dreyfus, Attorney-General)</w:t>
      </w:r>
    </w:p>
    <w:p w14:paraId="51C4D704" w14:textId="77777777" w:rsidR="004A18A1" w:rsidRDefault="004A18A1">
      <w:pPr>
        <w:rPr>
          <w:lang w:val="en-US"/>
        </w:rPr>
      </w:pPr>
    </w:p>
    <w:sectPr w:rsidR="004A18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F2A6" w14:textId="77777777" w:rsidR="00B43A06" w:rsidRDefault="00B43A06" w:rsidP="004A18A1">
      <w:pPr>
        <w:spacing w:after="0" w:line="240" w:lineRule="auto"/>
      </w:pPr>
      <w:r>
        <w:separator/>
      </w:r>
    </w:p>
  </w:endnote>
  <w:endnote w:type="continuationSeparator" w:id="0">
    <w:p w14:paraId="39BEFEC5" w14:textId="77777777" w:rsidR="00B43A06" w:rsidRDefault="00B43A06" w:rsidP="004A1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6486" w14:textId="77777777" w:rsidR="00B43A06" w:rsidRDefault="00B43A06" w:rsidP="004A18A1">
      <w:pPr>
        <w:spacing w:after="0" w:line="240" w:lineRule="auto"/>
      </w:pPr>
      <w:r>
        <w:separator/>
      </w:r>
    </w:p>
  </w:footnote>
  <w:footnote w:type="continuationSeparator" w:id="0">
    <w:p w14:paraId="0FD64E39" w14:textId="77777777" w:rsidR="00B43A06" w:rsidRDefault="00B43A06" w:rsidP="004A18A1">
      <w:pPr>
        <w:spacing w:after="0" w:line="240" w:lineRule="auto"/>
      </w:pPr>
      <w:r>
        <w:continuationSeparator/>
      </w:r>
    </w:p>
  </w:footnote>
  <w:footnote w:id="1">
    <w:p w14:paraId="7249C6C0" w14:textId="77777777" w:rsidR="004A18A1" w:rsidRDefault="004A18A1" w:rsidP="004A18A1">
      <w:pPr>
        <w:pStyle w:val="NoSpacing"/>
      </w:pPr>
      <w:r>
        <w:rPr>
          <w:rStyle w:val="FootnoteReference"/>
        </w:rPr>
        <w:footnoteRef/>
      </w:r>
      <w:r>
        <w:t xml:space="preserve"> </w:t>
      </w:r>
      <w:r w:rsidRPr="008047C6">
        <w:rPr>
          <w:sz w:val="20"/>
          <w:szCs w:val="20"/>
        </w:rPr>
        <w:t xml:space="preserve">Office of the Australian Information Commissioner, ‘Biometric scanning’, </w:t>
      </w:r>
      <w:r w:rsidRPr="008047C6">
        <w:rPr>
          <w:i/>
          <w:iCs/>
          <w:sz w:val="20"/>
          <w:szCs w:val="20"/>
        </w:rPr>
        <w:t>Your privacy rights</w:t>
      </w:r>
      <w:r w:rsidRPr="008047C6">
        <w:rPr>
          <w:sz w:val="20"/>
          <w:szCs w:val="20"/>
        </w:rPr>
        <w:t xml:space="preserve"> (Web page) &lt;https://www.oaic.gov.au/privacy/your-privacy-rights/surveillance-and-monitoring/biometric-scanning&gt;.</w:t>
      </w:r>
    </w:p>
  </w:footnote>
  <w:footnote w:id="2">
    <w:p w14:paraId="135AB4C8" w14:textId="77777777" w:rsidR="004A18A1" w:rsidRDefault="004A18A1" w:rsidP="004A18A1">
      <w:pPr>
        <w:pStyle w:val="FootnoteText"/>
      </w:pPr>
      <w:r>
        <w:rPr>
          <w:rStyle w:val="FootnoteReference"/>
        </w:rPr>
        <w:footnoteRef/>
      </w:r>
      <w:r>
        <w:t xml:space="preserve"> </w:t>
      </w:r>
      <w:r w:rsidRPr="008047C6">
        <w:rPr>
          <w:i/>
          <w:iCs/>
        </w:rPr>
        <w:t>Privacy Act 1988</w:t>
      </w:r>
      <w:r>
        <w:t xml:space="preserve"> (Cth) s 6.</w:t>
      </w:r>
    </w:p>
  </w:footnote>
  <w:footnote w:id="3">
    <w:p w14:paraId="19D6080B" w14:textId="77777777" w:rsidR="004A18A1" w:rsidRPr="008047C6" w:rsidRDefault="004A18A1" w:rsidP="004A18A1">
      <w:pPr>
        <w:pStyle w:val="NoSpacing"/>
        <w:rPr>
          <w:sz w:val="20"/>
          <w:szCs w:val="20"/>
        </w:rPr>
      </w:pPr>
      <w:r w:rsidRPr="008047C6">
        <w:rPr>
          <w:rStyle w:val="FootnoteReference"/>
          <w:sz w:val="20"/>
          <w:szCs w:val="20"/>
        </w:rPr>
        <w:footnoteRef/>
      </w:r>
      <w:r w:rsidRPr="008047C6">
        <w:rPr>
          <w:sz w:val="20"/>
          <w:szCs w:val="20"/>
        </w:rPr>
        <w:t xml:space="preserve"> National Cyber Security Centre, ‘Using biometrics’, </w:t>
      </w:r>
      <w:r w:rsidRPr="008047C6">
        <w:rPr>
          <w:i/>
          <w:iCs/>
          <w:sz w:val="20"/>
          <w:szCs w:val="20"/>
        </w:rPr>
        <w:t>Device security guidance</w:t>
      </w:r>
      <w:r w:rsidRPr="008047C6">
        <w:rPr>
          <w:sz w:val="20"/>
          <w:szCs w:val="20"/>
        </w:rPr>
        <w:t xml:space="preserve"> (Web page) &lt;https://www.ncsc.gov.uk/collection/device-security-guidance/policies-and-settings/using-biometrics&gt;.</w:t>
      </w:r>
    </w:p>
  </w:footnote>
  <w:footnote w:id="4">
    <w:p w14:paraId="42FF47FE" w14:textId="77777777" w:rsidR="004A18A1" w:rsidRDefault="004A18A1" w:rsidP="004A18A1">
      <w:pPr>
        <w:pStyle w:val="FootnoteText"/>
      </w:pPr>
      <w:r>
        <w:rPr>
          <w:rStyle w:val="FootnoteReference"/>
        </w:rPr>
        <w:footnoteRef/>
      </w:r>
      <w:r>
        <w:t xml:space="preserve"> </w:t>
      </w:r>
      <w:r w:rsidRPr="00D56F21">
        <w:t>https://www-tandfonline-com.ezproxy.newcastle.edu.au/doi/pdf/10.1080/00913367.2024.2399657</w:t>
      </w:r>
    </w:p>
  </w:footnote>
  <w:footnote w:id="5">
    <w:p w14:paraId="5679A560" w14:textId="77777777" w:rsidR="004A18A1" w:rsidRDefault="004A18A1" w:rsidP="004A18A1">
      <w:pPr>
        <w:pStyle w:val="FootnoteText"/>
      </w:pPr>
      <w:r>
        <w:rPr>
          <w:rStyle w:val="FootnoteReference"/>
        </w:rPr>
        <w:footnoteRef/>
      </w:r>
      <w:r>
        <w:t xml:space="preserve"> </w:t>
      </w:r>
      <w:r w:rsidRPr="008047C6">
        <w:t xml:space="preserve">National Cyber Security Centre, ‘Using biometrics’, </w:t>
      </w:r>
      <w:r w:rsidRPr="008047C6">
        <w:rPr>
          <w:i/>
          <w:iCs/>
        </w:rPr>
        <w:t>Device security guidance</w:t>
      </w:r>
      <w:r w:rsidRPr="008047C6">
        <w:t xml:space="preserve"> (Web page) &lt;https://www.ncsc.gov.uk/collection/device-security-guidance/policies-and-settings/using-biometrics&gt;.</w:t>
      </w:r>
    </w:p>
  </w:footnote>
  <w:footnote w:id="6">
    <w:p w14:paraId="13CA465E" w14:textId="77777777" w:rsidR="004A18A1" w:rsidRDefault="004A18A1" w:rsidP="004A18A1">
      <w:pPr>
        <w:pStyle w:val="FootnoteText"/>
      </w:pPr>
      <w:r>
        <w:rPr>
          <w:rStyle w:val="FootnoteReference"/>
        </w:rPr>
        <w:footnoteRef/>
      </w:r>
      <w:r>
        <w:t xml:space="preserve"> </w:t>
      </w:r>
      <w:r w:rsidRPr="008047C6">
        <w:t xml:space="preserve">National Cyber Security Centre, ‘Using biometrics’, </w:t>
      </w:r>
      <w:r w:rsidRPr="008047C6">
        <w:rPr>
          <w:i/>
          <w:iCs/>
        </w:rPr>
        <w:t>Device security guidance</w:t>
      </w:r>
      <w:r w:rsidRPr="008047C6">
        <w:t xml:space="preserve"> (Web page) &lt;https://www.ncsc.gov.uk/collection/device-security-guidance/policies-and-settings/using-biometrics&gt;.</w:t>
      </w:r>
    </w:p>
  </w:footnote>
  <w:footnote w:id="7">
    <w:p w14:paraId="51FA4C9A" w14:textId="77777777" w:rsidR="004A18A1" w:rsidRDefault="004A18A1" w:rsidP="004A18A1">
      <w:pPr>
        <w:pStyle w:val="NoSpacing"/>
      </w:pPr>
      <w:r>
        <w:rPr>
          <w:rStyle w:val="FootnoteReference"/>
        </w:rPr>
        <w:footnoteRef/>
      </w:r>
      <w:r>
        <w:t xml:space="preserve"> </w:t>
      </w:r>
      <w:r w:rsidRPr="007D03A5">
        <w:rPr>
          <w:sz w:val="20"/>
          <w:szCs w:val="20"/>
        </w:rPr>
        <w:t xml:space="preserve">Office of the Victorian Information Commissioner, ‘Biometrics and Privacy – Issues and Challenges’, </w:t>
      </w:r>
      <w:r w:rsidRPr="007D03A5">
        <w:rPr>
          <w:i/>
          <w:iCs/>
          <w:sz w:val="20"/>
          <w:szCs w:val="20"/>
        </w:rPr>
        <w:t>Resources for organisations</w:t>
      </w:r>
      <w:r w:rsidRPr="007D03A5">
        <w:rPr>
          <w:sz w:val="20"/>
          <w:szCs w:val="20"/>
        </w:rPr>
        <w:t xml:space="preserve"> (Web page) &lt;https://ovic.vic.gov.au/privacy/resources-for-organisations/biometrics-and-privacy-issues-and-challenges/&gt;.</w:t>
      </w:r>
    </w:p>
  </w:footnote>
  <w:footnote w:id="8">
    <w:p w14:paraId="0A59A297" w14:textId="77777777" w:rsidR="004A18A1" w:rsidRDefault="004A18A1" w:rsidP="004A18A1">
      <w:pPr>
        <w:pStyle w:val="NoSpacing"/>
      </w:pPr>
      <w:r>
        <w:rPr>
          <w:rStyle w:val="FootnoteReference"/>
        </w:rPr>
        <w:footnoteRef/>
      </w:r>
      <w:r>
        <w:t xml:space="preserve"> </w:t>
      </w:r>
      <w:r w:rsidRPr="007D73D3">
        <w:rPr>
          <w:sz w:val="20"/>
          <w:szCs w:val="20"/>
        </w:rPr>
        <w:t xml:space="preserve">ANZ, ’Voice ID in the ANZ App’, </w:t>
      </w:r>
      <w:r w:rsidRPr="007D73D3">
        <w:rPr>
          <w:i/>
          <w:iCs/>
          <w:sz w:val="20"/>
          <w:szCs w:val="20"/>
        </w:rPr>
        <w:t>Security hub</w:t>
      </w:r>
      <w:r w:rsidRPr="007D73D3">
        <w:rPr>
          <w:sz w:val="20"/>
          <w:szCs w:val="20"/>
        </w:rPr>
        <w:t xml:space="preserve"> (Web page) &lt;https://www.anz.com.au/security/how-we-protect-you/voice-id/&gt;.</w:t>
      </w:r>
    </w:p>
  </w:footnote>
  <w:footnote w:id="9">
    <w:p w14:paraId="2BBF2AE3" w14:textId="77777777" w:rsidR="004A18A1" w:rsidRDefault="004A18A1" w:rsidP="004A18A1">
      <w:pPr>
        <w:pStyle w:val="NoSpacing"/>
      </w:pPr>
      <w:r>
        <w:rPr>
          <w:rStyle w:val="FootnoteReference"/>
        </w:rPr>
        <w:footnoteRef/>
      </w:r>
      <w:r>
        <w:t xml:space="preserve"> </w:t>
      </w:r>
      <w:r w:rsidRPr="00D63579">
        <w:rPr>
          <w:sz w:val="20"/>
          <w:szCs w:val="20"/>
        </w:rPr>
        <w:t xml:space="preserve">Australian Taxation Office, ‘Voice authentication’, </w:t>
      </w:r>
      <w:r w:rsidRPr="00D63579">
        <w:rPr>
          <w:i/>
          <w:iCs/>
          <w:sz w:val="20"/>
          <w:szCs w:val="20"/>
        </w:rPr>
        <w:t>Online services</w:t>
      </w:r>
      <w:r w:rsidRPr="00D63579">
        <w:rPr>
          <w:sz w:val="20"/>
          <w:szCs w:val="20"/>
        </w:rPr>
        <w:t xml:space="preserve"> (Web page) &lt;https://www.ato.gov.au/online-services/voice-authentication&gt;</w:t>
      </w:r>
      <w:r>
        <w:rPr>
          <w:sz w:val="20"/>
          <w:szCs w:val="20"/>
        </w:rPr>
        <w:t>.</w:t>
      </w:r>
    </w:p>
  </w:footnote>
  <w:footnote w:id="10">
    <w:p w14:paraId="5FDD0A80" w14:textId="77777777" w:rsidR="004A18A1" w:rsidRDefault="004A18A1" w:rsidP="004A18A1">
      <w:pPr>
        <w:pStyle w:val="FootnoteText"/>
      </w:pPr>
      <w:r>
        <w:rPr>
          <w:rStyle w:val="FootnoteReference"/>
        </w:rPr>
        <w:footnoteRef/>
      </w:r>
      <w:r>
        <w:t xml:space="preserve"> The APPs have already been discussed extensively in Part 6 of this chapter and will not be considered in this article. </w:t>
      </w:r>
    </w:p>
  </w:footnote>
  <w:footnote w:id="11">
    <w:p w14:paraId="3DE8A7A4" w14:textId="77777777" w:rsidR="004A18A1" w:rsidRDefault="004A18A1" w:rsidP="004A18A1">
      <w:pPr>
        <w:pStyle w:val="FootnoteText"/>
      </w:pPr>
      <w:r>
        <w:rPr>
          <w:rStyle w:val="FootnoteReference"/>
        </w:rPr>
        <w:footnoteRef/>
      </w:r>
      <w:r>
        <w:t xml:space="preserve"> </w:t>
      </w:r>
      <w:r w:rsidRPr="008047C6">
        <w:rPr>
          <w:i/>
          <w:iCs/>
        </w:rPr>
        <w:t>Privacy Act 1988</w:t>
      </w:r>
      <w:r>
        <w:t xml:space="preserve"> (Cth) ss 13G, 13H, 13K.</w:t>
      </w:r>
    </w:p>
  </w:footnote>
  <w:footnote w:id="12">
    <w:p w14:paraId="217421EF" w14:textId="77777777" w:rsidR="004A18A1" w:rsidRPr="00695745" w:rsidRDefault="004A18A1" w:rsidP="004A18A1">
      <w:pPr>
        <w:pStyle w:val="NoSpacing"/>
        <w:rPr>
          <w:sz w:val="20"/>
          <w:szCs w:val="20"/>
        </w:rPr>
      </w:pPr>
      <w:r w:rsidRPr="00695745">
        <w:rPr>
          <w:rStyle w:val="FootnoteReference"/>
          <w:sz w:val="20"/>
          <w:szCs w:val="20"/>
        </w:rPr>
        <w:footnoteRef/>
      </w:r>
      <w:r w:rsidRPr="00695745">
        <w:rPr>
          <w:sz w:val="20"/>
          <w:szCs w:val="20"/>
        </w:rPr>
        <w:t xml:space="preserve"> Dan Mangan, ‘Meta agrees to $1.4 billion settlement in Texas biometric data lawsuit over Facebook images’, </w:t>
      </w:r>
      <w:r w:rsidRPr="00695745">
        <w:rPr>
          <w:i/>
          <w:iCs/>
          <w:sz w:val="20"/>
          <w:szCs w:val="20"/>
        </w:rPr>
        <w:t xml:space="preserve">CNBC </w:t>
      </w:r>
      <w:r w:rsidRPr="00695745">
        <w:rPr>
          <w:sz w:val="20"/>
          <w:szCs w:val="20"/>
        </w:rPr>
        <w:t xml:space="preserve">(Online, 30 July 2024) &lt;https://www.cnbc.com/2024/07/30/meta-agrees-to-1point4-billion-settlement-in-texas-biometric-data-lawsuit.html&gt;, Alex Hern, ‘Facebook pays $550m settlement for breaking Illinois data protection law’, </w:t>
      </w:r>
      <w:r w:rsidRPr="00695745">
        <w:rPr>
          <w:i/>
          <w:iCs/>
          <w:sz w:val="20"/>
          <w:szCs w:val="20"/>
        </w:rPr>
        <w:t>The Guardian</w:t>
      </w:r>
      <w:r w:rsidRPr="00695745">
        <w:rPr>
          <w:sz w:val="20"/>
          <w:szCs w:val="20"/>
        </w:rPr>
        <w:t xml:space="preserve"> (Online, 31 January 2020) &lt;https://www.theguardian.com/technology/2020/jan/30/facebook-pays-550m-settlement-for-breaking-illinois-data-protection-law&gt;.</w:t>
      </w:r>
    </w:p>
  </w:footnote>
  <w:footnote w:id="13">
    <w:p w14:paraId="7F46A21D" w14:textId="77777777" w:rsidR="004A18A1" w:rsidRDefault="004A18A1" w:rsidP="004A18A1">
      <w:pPr>
        <w:pStyle w:val="FootnoteText"/>
      </w:pPr>
      <w:r>
        <w:rPr>
          <w:rStyle w:val="FootnoteReference"/>
        </w:rPr>
        <w:footnoteRef/>
      </w:r>
      <w:r>
        <w:t xml:space="preserve"> </w:t>
      </w:r>
      <w:r w:rsidRPr="00695745">
        <w:t xml:space="preserve">Dan Mangan, ‘Meta agrees to $1.4 billion settlement in Texas biometric data lawsuit over Facebook images’, </w:t>
      </w:r>
      <w:r w:rsidRPr="00695745">
        <w:rPr>
          <w:i/>
          <w:iCs/>
        </w:rPr>
        <w:t xml:space="preserve">CNBC </w:t>
      </w:r>
      <w:r w:rsidRPr="00695745">
        <w:t>(Online, 30 July 2024) &lt;https://www.cnbc.com/2024/07/30/meta-agrees-to-1point4-billion-settlement-in-texas-biometric-data-lawsuit.html&gt;</w:t>
      </w:r>
      <w:r>
        <w:t>.</w:t>
      </w:r>
    </w:p>
  </w:footnote>
  <w:footnote w:id="14">
    <w:p w14:paraId="53C64000" w14:textId="77777777" w:rsidR="004A18A1" w:rsidRPr="008C00F8" w:rsidRDefault="004A18A1" w:rsidP="004A18A1">
      <w:pPr>
        <w:pStyle w:val="NoSpacing"/>
        <w:rPr>
          <w:sz w:val="20"/>
          <w:szCs w:val="20"/>
        </w:rPr>
      </w:pPr>
      <w:r>
        <w:rPr>
          <w:rStyle w:val="FootnoteReference"/>
        </w:rPr>
        <w:footnoteRef/>
      </w:r>
      <w:r>
        <w:t xml:space="preserve"> </w:t>
      </w:r>
      <w:r w:rsidRPr="008C00F8">
        <w:rPr>
          <w:sz w:val="20"/>
          <w:szCs w:val="20"/>
        </w:rPr>
        <w:t xml:space="preserve">Office of the Australian Information Commissioner, ‘Bunnings breached Australians’ privacy with facial recognition tool, </w:t>
      </w:r>
      <w:r w:rsidRPr="008C00F8">
        <w:rPr>
          <w:i/>
          <w:iCs/>
          <w:sz w:val="20"/>
          <w:szCs w:val="20"/>
        </w:rPr>
        <w:t>Media centre</w:t>
      </w:r>
      <w:r w:rsidRPr="008C00F8">
        <w:rPr>
          <w:sz w:val="20"/>
          <w:szCs w:val="20"/>
        </w:rPr>
        <w:t xml:space="preserve"> (Blog page) &lt;https://www.oaic.gov.au/news/media-centre/bunnings-breached-australians-privacy-with-facial-recognition-tool&gt;.</w:t>
      </w:r>
    </w:p>
  </w:footnote>
  <w:footnote w:id="15">
    <w:p w14:paraId="77921770" w14:textId="77777777" w:rsidR="004A18A1" w:rsidRDefault="004A18A1" w:rsidP="004A18A1">
      <w:pPr>
        <w:pStyle w:val="NoSpacing"/>
      </w:pPr>
      <w:r w:rsidRPr="008C00F8">
        <w:rPr>
          <w:rStyle w:val="FootnoteReference"/>
          <w:sz w:val="20"/>
          <w:szCs w:val="20"/>
        </w:rPr>
        <w:footnoteRef/>
      </w:r>
      <w:r w:rsidRPr="008C00F8">
        <w:rPr>
          <w:sz w:val="20"/>
          <w:szCs w:val="20"/>
        </w:rPr>
        <w:t xml:space="preserve"> Office of the Australian Information Commissioner, ‘Bunnings breached Australians’ privacy with facial recognition tool, </w:t>
      </w:r>
      <w:r w:rsidRPr="008C00F8">
        <w:rPr>
          <w:i/>
          <w:iCs/>
          <w:sz w:val="20"/>
          <w:szCs w:val="20"/>
        </w:rPr>
        <w:t>Media centre</w:t>
      </w:r>
      <w:r w:rsidRPr="008C00F8">
        <w:rPr>
          <w:sz w:val="20"/>
          <w:szCs w:val="20"/>
        </w:rPr>
        <w:t xml:space="preserve"> (Blog page) &lt;https://www.oaic.gov.au/news/media-centre/bunnings-breached-australians-privacy-with-facial-recognition-tool&gt;.</w:t>
      </w:r>
    </w:p>
  </w:footnote>
  <w:footnote w:id="16">
    <w:p w14:paraId="3A9A22EB" w14:textId="77777777" w:rsidR="004A18A1" w:rsidRDefault="004A18A1" w:rsidP="004A18A1">
      <w:pPr>
        <w:pStyle w:val="FootnoteText"/>
      </w:pPr>
      <w:r>
        <w:rPr>
          <w:rStyle w:val="FootnoteReference"/>
        </w:rPr>
        <w:footnoteRef/>
      </w:r>
      <w:r>
        <w:t xml:space="preserve"> </w:t>
      </w:r>
      <w:r>
        <w:rPr>
          <w:i/>
          <w:iCs/>
        </w:rPr>
        <w:t xml:space="preserve">Privacy Act </w:t>
      </w:r>
      <w:r w:rsidRPr="00046606">
        <w:t>1988</w:t>
      </w:r>
      <w:r>
        <w:t xml:space="preserve"> (Cth) ss 6C, 6D. </w:t>
      </w:r>
    </w:p>
  </w:footnote>
  <w:footnote w:id="17">
    <w:p w14:paraId="463A5555" w14:textId="77777777" w:rsidR="004A18A1" w:rsidRDefault="004A18A1" w:rsidP="004A18A1">
      <w:pPr>
        <w:pStyle w:val="NoSpacing"/>
      </w:pPr>
      <w:r>
        <w:rPr>
          <w:rStyle w:val="FootnoteReference"/>
        </w:rPr>
        <w:footnoteRef/>
      </w:r>
      <w:r>
        <w:t xml:space="preserve"> </w:t>
      </w:r>
      <w:r w:rsidRPr="00F960C1">
        <w:rPr>
          <w:sz w:val="20"/>
          <w:szCs w:val="20"/>
        </w:rPr>
        <w:t xml:space="preserve">Bruce Billson, ‘Small businesses can’t be held to the same privacy standards’, </w:t>
      </w:r>
      <w:r w:rsidRPr="00F960C1">
        <w:rPr>
          <w:i/>
          <w:iCs/>
          <w:sz w:val="20"/>
          <w:szCs w:val="20"/>
        </w:rPr>
        <w:t>Australian Small Business and Family Enterprise Ombudsman</w:t>
      </w:r>
      <w:r w:rsidRPr="00F960C1">
        <w:rPr>
          <w:sz w:val="20"/>
          <w:szCs w:val="20"/>
        </w:rPr>
        <w:t xml:space="preserve"> (Online, 22 July 2024) &lt;https://www.asbfeo.gov.au/media-centre/media-releases/small-businesses-cant-be-held-same-privacy-standards&gt;.</w:t>
      </w:r>
    </w:p>
  </w:footnote>
  <w:footnote w:id="18">
    <w:p w14:paraId="46E86E0D" w14:textId="77777777" w:rsidR="004A18A1" w:rsidRDefault="004A18A1" w:rsidP="004A18A1">
      <w:pPr>
        <w:pStyle w:val="FootnoteText"/>
      </w:pPr>
      <w:r>
        <w:rPr>
          <w:rStyle w:val="FootnoteReference"/>
        </w:rPr>
        <w:footnoteRef/>
      </w:r>
      <w:r>
        <w:t xml:space="preserve"> </w:t>
      </w:r>
      <w:r>
        <w:rPr>
          <w:i/>
          <w:iCs/>
        </w:rPr>
        <w:t xml:space="preserve">Privacy Act </w:t>
      </w:r>
      <w:r w:rsidRPr="00046606">
        <w:t>1988</w:t>
      </w:r>
      <w:r>
        <w:t xml:space="preserve"> (Cth) sch 2. </w:t>
      </w:r>
    </w:p>
  </w:footnote>
  <w:footnote w:id="19">
    <w:p w14:paraId="5DD2D032" w14:textId="77777777" w:rsidR="004A18A1" w:rsidRPr="007F2E95" w:rsidRDefault="004A18A1" w:rsidP="004A18A1">
      <w:pPr>
        <w:pStyle w:val="FootnoteText"/>
      </w:pPr>
      <w:r>
        <w:rPr>
          <w:rStyle w:val="FootnoteReference"/>
        </w:rPr>
        <w:footnoteRef/>
      </w:r>
      <w:r>
        <w:t xml:space="preserve"> </w:t>
      </w:r>
      <w:r>
        <w:rPr>
          <w:i/>
          <w:iCs/>
        </w:rPr>
        <w:t xml:space="preserve">Privacy Act </w:t>
      </w:r>
      <w:r w:rsidRPr="00046606">
        <w:t>1988</w:t>
      </w:r>
      <w:r>
        <w:t xml:space="preserve"> (Cth) ss 6C, 6D. </w:t>
      </w:r>
    </w:p>
  </w:footnote>
  <w:footnote w:id="20">
    <w:p w14:paraId="7B8A0872" w14:textId="77777777" w:rsidR="004A18A1" w:rsidRDefault="004A18A1" w:rsidP="004A18A1">
      <w:pPr>
        <w:pStyle w:val="NoSpacing"/>
      </w:pPr>
      <w:r>
        <w:rPr>
          <w:rStyle w:val="FootnoteReference"/>
        </w:rPr>
        <w:footnoteRef/>
      </w:r>
      <w:r>
        <w:t xml:space="preserve"> </w:t>
      </w:r>
      <w:r w:rsidRPr="00190892">
        <w:rPr>
          <w:sz w:val="20"/>
          <w:szCs w:val="20"/>
        </w:rPr>
        <w:t xml:space="preserve">Commonwealth, </w:t>
      </w:r>
      <w:r w:rsidRPr="00190892">
        <w:rPr>
          <w:i/>
          <w:iCs/>
          <w:sz w:val="20"/>
          <w:szCs w:val="20"/>
        </w:rPr>
        <w:t>Parliamentary Debate</w:t>
      </w:r>
      <w:r w:rsidRPr="00190892">
        <w:rPr>
          <w:sz w:val="20"/>
          <w:szCs w:val="20"/>
        </w:rPr>
        <w:t>, Legislative Council, 12 September 2024 (Mark Dreyfus, Attorney-General).</w:t>
      </w:r>
    </w:p>
  </w:footnote>
  <w:footnote w:id="21">
    <w:p w14:paraId="7972E809" w14:textId="77777777" w:rsidR="004A18A1" w:rsidRDefault="004A18A1" w:rsidP="004A18A1">
      <w:pPr>
        <w:pStyle w:val="FootnoteText"/>
      </w:pPr>
      <w:r>
        <w:rPr>
          <w:rStyle w:val="FootnoteReference"/>
        </w:rPr>
        <w:footnoteRef/>
      </w:r>
      <w:r>
        <w:t xml:space="preserve"> </w:t>
      </w:r>
      <w:r>
        <w:rPr>
          <w:i/>
          <w:iCs/>
        </w:rPr>
        <w:t xml:space="preserve">Privacy Act </w:t>
      </w:r>
      <w:r w:rsidRPr="00046606">
        <w:t>1988</w:t>
      </w:r>
      <w:r>
        <w:t xml:space="preserve"> (Cth) sch 2. </w:t>
      </w:r>
    </w:p>
  </w:footnote>
  <w:footnote w:id="22">
    <w:p w14:paraId="483C8D64" w14:textId="77777777" w:rsidR="004A18A1" w:rsidRDefault="004A18A1" w:rsidP="004A18A1">
      <w:pPr>
        <w:pStyle w:val="NoSpacing"/>
      </w:pPr>
      <w:r>
        <w:rPr>
          <w:rStyle w:val="FootnoteReference"/>
        </w:rPr>
        <w:footnoteRef/>
      </w:r>
      <w:r>
        <w:t xml:space="preserve"> </w:t>
      </w:r>
      <w:r w:rsidRPr="00506328">
        <w:rPr>
          <w:sz w:val="20"/>
          <w:szCs w:val="20"/>
        </w:rPr>
        <w:t xml:space="preserve">Australian Law Reform Commission, </w:t>
      </w:r>
      <w:r w:rsidRPr="00506328">
        <w:rPr>
          <w:i/>
          <w:iCs/>
          <w:sz w:val="20"/>
          <w:szCs w:val="20"/>
        </w:rPr>
        <w:t>Serious Invasions of Privacy in the Digital Era</w:t>
      </w:r>
      <w:r w:rsidRPr="00506328">
        <w:rPr>
          <w:sz w:val="20"/>
          <w:szCs w:val="20"/>
        </w:rPr>
        <w:t xml:space="preserve"> (Report No 123, June 2014).</w:t>
      </w:r>
    </w:p>
  </w:footnote>
  <w:footnote w:id="23">
    <w:p w14:paraId="5609135D" w14:textId="77777777" w:rsidR="004A18A1" w:rsidRDefault="004A18A1" w:rsidP="004A18A1">
      <w:pPr>
        <w:pStyle w:val="FootnoteText"/>
      </w:pPr>
      <w:r>
        <w:rPr>
          <w:rStyle w:val="FootnoteReference"/>
        </w:rPr>
        <w:footnoteRef/>
      </w:r>
      <w:r>
        <w:t xml:space="preserve"> </w:t>
      </w:r>
      <w:r>
        <w:rPr>
          <w:i/>
          <w:iCs/>
        </w:rPr>
        <w:t xml:space="preserve">Privacy Act </w:t>
      </w:r>
      <w:r w:rsidRPr="00046606">
        <w:t>1988</w:t>
      </w:r>
      <w:r>
        <w:t xml:space="preserve"> (Cth) sch 2. </w:t>
      </w:r>
    </w:p>
  </w:footnote>
  <w:footnote w:id="24">
    <w:p w14:paraId="3538AF0D" w14:textId="77777777" w:rsidR="004A18A1" w:rsidRPr="00FA190B" w:rsidRDefault="004A18A1" w:rsidP="004A18A1">
      <w:pPr>
        <w:pStyle w:val="NoSpacing"/>
        <w:rPr>
          <w:sz w:val="20"/>
          <w:szCs w:val="20"/>
        </w:rPr>
      </w:pPr>
      <w:r>
        <w:rPr>
          <w:rStyle w:val="FootnoteReference"/>
        </w:rPr>
        <w:footnoteRef/>
      </w:r>
      <w:r>
        <w:t xml:space="preserve"> </w:t>
      </w:r>
      <w:r w:rsidRPr="00FA190B">
        <w:rPr>
          <w:sz w:val="20"/>
          <w:szCs w:val="20"/>
        </w:rPr>
        <w:t xml:space="preserve">Eric Descheemaeker, ‘The harms of privacy’ (2015) 7(2) </w:t>
      </w:r>
      <w:r w:rsidRPr="00FA190B">
        <w:rPr>
          <w:i/>
          <w:iCs/>
          <w:sz w:val="20"/>
          <w:szCs w:val="20"/>
        </w:rPr>
        <w:t>The Journal of Media Law</w:t>
      </w:r>
      <w:r w:rsidRPr="00FA190B">
        <w:rPr>
          <w:sz w:val="20"/>
          <w:szCs w:val="20"/>
        </w:rPr>
        <w:t xml:space="preserve"> 278.</w:t>
      </w:r>
    </w:p>
  </w:footnote>
  <w:footnote w:id="25">
    <w:p w14:paraId="5AA05E83" w14:textId="77777777" w:rsidR="004A18A1" w:rsidRDefault="004A18A1" w:rsidP="004A18A1">
      <w:pPr>
        <w:pStyle w:val="FootnoteText"/>
      </w:pPr>
      <w:r>
        <w:rPr>
          <w:rStyle w:val="FootnoteReference"/>
        </w:rPr>
        <w:footnoteRef/>
      </w:r>
      <w:r>
        <w:t xml:space="preserve"> </w:t>
      </w:r>
      <w:r>
        <w:rPr>
          <w:i/>
          <w:iCs/>
        </w:rPr>
        <w:t xml:space="preserve">Privacy Act </w:t>
      </w:r>
      <w:r w:rsidRPr="00046606">
        <w:t>1988</w:t>
      </w:r>
      <w:r>
        <w:t xml:space="preserve"> (Cth) sch 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06B49"/>
    <w:multiLevelType w:val="hybridMultilevel"/>
    <w:tmpl w:val="15E0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C75DD0"/>
    <w:multiLevelType w:val="hybridMultilevel"/>
    <w:tmpl w:val="5072A142"/>
    <w:lvl w:ilvl="0" w:tplc="0C090013">
      <w:start w:val="1"/>
      <w:numFmt w:val="upperRoman"/>
      <w:lvlText w:val="%1."/>
      <w:lvlJc w:val="right"/>
      <w:pPr>
        <w:ind w:left="720" w:hanging="360"/>
      </w:pPr>
      <w:rPr>
        <w:rFonts w:hint="default"/>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5401C76"/>
    <w:multiLevelType w:val="hybridMultilevel"/>
    <w:tmpl w:val="AAA86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D884F4C"/>
    <w:multiLevelType w:val="hybridMultilevel"/>
    <w:tmpl w:val="959AB586"/>
    <w:lvl w:ilvl="0" w:tplc="E8EE7B20">
      <w:start w:val="1"/>
      <w:numFmt w:val="bullet"/>
      <w:lvlText w:val="•"/>
      <w:lvlJc w:val="left"/>
      <w:pPr>
        <w:ind w:left="720" w:hanging="360"/>
      </w:pPr>
      <w:rPr>
        <w:rFonts w:ascii="Symbol" w:eastAsia="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4AD7D8E"/>
    <w:multiLevelType w:val="hybridMultilevel"/>
    <w:tmpl w:val="6540A01E"/>
    <w:lvl w:ilvl="0" w:tplc="B5E244A2">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526286E"/>
    <w:multiLevelType w:val="hybridMultilevel"/>
    <w:tmpl w:val="70C498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66894186">
    <w:abstractNumId w:val="2"/>
  </w:num>
  <w:num w:numId="2" w16cid:durableId="2056612081">
    <w:abstractNumId w:val="3"/>
  </w:num>
  <w:num w:numId="3" w16cid:durableId="626543838">
    <w:abstractNumId w:val="0"/>
  </w:num>
  <w:num w:numId="4" w16cid:durableId="942806401">
    <w:abstractNumId w:val="5"/>
  </w:num>
  <w:num w:numId="5" w16cid:durableId="1099175422">
    <w:abstractNumId w:val="4"/>
  </w:num>
  <w:num w:numId="6" w16cid:durableId="1387601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AA"/>
    <w:rsid w:val="000209E0"/>
    <w:rsid w:val="0002467D"/>
    <w:rsid w:val="00026834"/>
    <w:rsid w:val="000549E1"/>
    <w:rsid w:val="0005660B"/>
    <w:rsid w:val="000C3F80"/>
    <w:rsid w:val="001214CF"/>
    <w:rsid w:val="00154E93"/>
    <w:rsid w:val="00182BD3"/>
    <w:rsid w:val="001B7796"/>
    <w:rsid w:val="00257D78"/>
    <w:rsid w:val="002606AA"/>
    <w:rsid w:val="002B6A5E"/>
    <w:rsid w:val="002D4836"/>
    <w:rsid w:val="00337259"/>
    <w:rsid w:val="00467250"/>
    <w:rsid w:val="004A18A1"/>
    <w:rsid w:val="004A7B15"/>
    <w:rsid w:val="0050600E"/>
    <w:rsid w:val="00587268"/>
    <w:rsid w:val="005C2C8E"/>
    <w:rsid w:val="005D22F2"/>
    <w:rsid w:val="005D3988"/>
    <w:rsid w:val="006005A7"/>
    <w:rsid w:val="00643F15"/>
    <w:rsid w:val="006D0B9E"/>
    <w:rsid w:val="008B0207"/>
    <w:rsid w:val="008E321D"/>
    <w:rsid w:val="009730E8"/>
    <w:rsid w:val="00973E56"/>
    <w:rsid w:val="009C0047"/>
    <w:rsid w:val="009D6153"/>
    <w:rsid w:val="00A2393B"/>
    <w:rsid w:val="00A52867"/>
    <w:rsid w:val="00AA4740"/>
    <w:rsid w:val="00B12979"/>
    <w:rsid w:val="00B40EA6"/>
    <w:rsid w:val="00B43A06"/>
    <w:rsid w:val="00B92F31"/>
    <w:rsid w:val="00BD7526"/>
    <w:rsid w:val="00C65529"/>
    <w:rsid w:val="00C746F8"/>
    <w:rsid w:val="00DF3813"/>
    <w:rsid w:val="00F35B5D"/>
    <w:rsid w:val="00F605D2"/>
    <w:rsid w:val="00FC2C82"/>
    <w:rsid w:val="00FF65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6BF3"/>
  <w15:chartTrackingRefBased/>
  <w15:docId w15:val="{BB2352BF-DEAE-489F-88C9-2FB895C9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0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AA"/>
    <w:rPr>
      <w:rFonts w:eastAsiaTheme="majorEastAsia" w:cstheme="majorBidi"/>
      <w:color w:val="272727" w:themeColor="text1" w:themeTint="D8"/>
    </w:rPr>
  </w:style>
  <w:style w:type="paragraph" w:styleId="Title">
    <w:name w:val="Title"/>
    <w:basedOn w:val="Normal"/>
    <w:next w:val="Normal"/>
    <w:link w:val="TitleChar"/>
    <w:uiPriority w:val="10"/>
    <w:qFormat/>
    <w:rsid w:val="00260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AA"/>
    <w:pPr>
      <w:spacing w:before="160"/>
      <w:jc w:val="center"/>
    </w:pPr>
    <w:rPr>
      <w:i/>
      <w:iCs/>
      <w:color w:val="404040" w:themeColor="text1" w:themeTint="BF"/>
    </w:rPr>
  </w:style>
  <w:style w:type="character" w:customStyle="1" w:styleId="QuoteChar">
    <w:name w:val="Quote Char"/>
    <w:basedOn w:val="DefaultParagraphFont"/>
    <w:link w:val="Quote"/>
    <w:uiPriority w:val="29"/>
    <w:rsid w:val="002606AA"/>
    <w:rPr>
      <w:i/>
      <w:iCs/>
      <w:color w:val="404040" w:themeColor="text1" w:themeTint="BF"/>
    </w:rPr>
  </w:style>
  <w:style w:type="paragraph" w:styleId="ListParagraph">
    <w:name w:val="List Paragraph"/>
    <w:basedOn w:val="Normal"/>
    <w:uiPriority w:val="34"/>
    <w:qFormat/>
    <w:rsid w:val="002606AA"/>
    <w:pPr>
      <w:ind w:left="720"/>
      <w:contextualSpacing/>
    </w:pPr>
  </w:style>
  <w:style w:type="character" w:styleId="IntenseEmphasis">
    <w:name w:val="Intense Emphasis"/>
    <w:basedOn w:val="DefaultParagraphFont"/>
    <w:uiPriority w:val="21"/>
    <w:qFormat/>
    <w:rsid w:val="002606AA"/>
    <w:rPr>
      <w:i/>
      <w:iCs/>
      <w:color w:val="2F5496" w:themeColor="accent1" w:themeShade="BF"/>
    </w:rPr>
  </w:style>
  <w:style w:type="paragraph" w:styleId="IntenseQuote">
    <w:name w:val="Intense Quote"/>
    <w:basedOn w:val="Normal"/>
    <w:next w:val="Normal"/>
    <w:link w:val="IntenseQuoteChar"/>
    <w:uiPriority w:val="30"/>
    <w:qFormat/>
    <w:rsid w:val="00260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6AA"/>
    <w:rPr>
      <w:i/>
      <w:iCs/>
      <w:color w:val="2F5496" w:themeColor="accent1" w:themeShade="BF"/>
    </w:rPr>
  </w:style>
  <w:style w:type="character" w:styleId="IntenseReference">
    <w:name w:val="Intense Reference"/>
    <w:basedOn w:val="DefaultParagraphFont"/>
    <w:uiPriority w:val="32"/>
    <w:qFormat/>
    <w:rsid w:val="002606AA"/>
    <w:rPr>
      <w:b/>
      <w:bCs/>
      <w:smallCaps/>
      <w:color w:val="2F5496" w:themeColor="accent1" w:themeShade="BF"/>
      <w:spacing w:val="5"/>
    </w:rPr>
  </w:style>
  <w:style w:type="table" w:styleId="TableGrid">
    <w:name w:val="Table Grid"/>
    <w:basedOn w:val="TableNormal"/>
    <w:uiPriority w:val="39"/>
    <w:rsid w:val="00260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3988"/>
    <w:rPr>
      <w:color w:val="0563C1" w:themeColor="hyperlink"/>
      <w:u w:val="single"/>
    </w:rPr>
  </w:style>
  <w:style w:type="character" w:styleId="UnresolvedMention">
    <w:name w:val="Unresolved Mention"/>
    <w:basedOn w:val="DefaultParagraphFont"/>
    <w:uiPriority w:val="99"/>
    <w:semiHidden/>
    <w:unhideWhenUsed/>
    <w:rsid w:val="005D3988"/>
    <w:rPr>
      <w:color w:val="605E5C"/>
      <w:shd w:val="clear" w:color="auto" w:fill="E1DFDD"/>
    </w:rPr>
  </w:style>
  <w:style w:type="character" w:styleId="FollowedHyperlink">
    <w:name w:val="FollowedHyperlink"/>
    <w:basedOn w:val="DefaultParagraphFont"/>
    <w:uiPriority w:val="99"/>
    <w:semiHidden/>
    <w:unhideWhenUsed/>
    <w:rsid w:val="000209E0"/>
    <w:rPr>
      <w:color w:val="954F72" w:themeColor="followedHyperlink"/>
      <w:u w:val="single"/>
    </w:rPr>
  </w:style>
  <w:style w:type="paragraph" w:styleId="FootnoteText">
    <w:name w:val="footnote text"/>
    <w:basedOn w:val="Normal"/>
    <w:link w:val="FootnoteTextChar"/>
    <w:uiPriority w:val="99"/>
    <w:semiHidden/>
    <w:unhideWhenUsed/>
    <w:rsid w:val="004A18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18A1"/>
    <w:rPr>
      <w:sz w:val="20"/>
      <w:szCs w:val="20"/>
    </w:rPr>
  </w:style>
  <w:style w:type="character" w:styleId="FootnoteReference">
    <w:name w:val="footnote reference"/>
    <w:basedOn w:val="DefaultParagraphFont"/>
    <w:uiPriority w:val="99"/>
    <w:semiHidden/>
    <w:unhideWhenUsed/>
    <w:rsid w:val="004A18A1"/>
    <w:rPr>
      <w:vertAlign w:val="superscript"/>
    </w:rPr>
  </w:style>
  <w:style w:type="paragraph" w:styleId="NoSpacing">
    <w:name w:val="No Spacing"/>
    <w:uiPriority w:val="1"/>
    <w:qFormat/>
    <w:rsid w:val="004A18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1589">
      <w:bodyDiv w:val="1"/>
      <w:marLeft w:val="0"/>
      <w:marRight w:val="0"/>
      <w:marTop w:val="0"/>
      <w:marBottom w:val="0"/>
      <w:divBdr>
        <w:top w:val="none" w:sz="0" w:space="0" w:color="auto"/>
        <w:left w:val="none" w:sz="0" w:space="0" w:color="auto"/>
        <w:bottom w:val="none" w:sz="0" w:space="0" w:color="auto"/>
        <w:right w:val="none" w:sz="0" w:space="0" w:color="auto"/>
      </w:divBdr>
    </w:div>
    <w:div w:id="1436901116">
      <w:bodyDiv w:val="1"/>
      <w:marLeft w:val="0"/>
      <w:marRight w:val="0"/>
      <w:marTop w:val="0"/>
      <w:marBottom w:val="0"/>
      <w:divBdr>
        <w:top w:val="none" w:sz="0" w:space="0" w:color="auto"/>
        <w:left w:val="none" w:sz="0" w:space="0" w:color="auto"/>
        <w:bottom w:val="none" w:sz="0" w:space="0" w:color="auto"/>
        <w:right w:val="none" w:sz="0" w:space="0" w:color="auto"/>
      </w:divBdr>
    </w:div>
    <w:div w:id="1686402217">
      <w:bodyDiv w:val="1"/>
      <w:marLeft w:val="0"/>
      <w:marRight w:val="0"/>
      <w:marTop w:val="0"/>
      <w:marBottom w:val="0"/>
      <w:divBdr>
        <w:top w:val="none" w:sz="0" w:space="0" w:color="auto"/>
        <w:left w:val="none" w:sz="0" w:space="0" w:color="auto"/>
        <w:bottom w:val="none" w:sz="0" w:space="0" w:color="auto"/>
        <w:right w:val="none" w:sz="0" w:space="0" w:color="auto"/>
      </w:divBdr>
    </w:div>
    <w:div w:id="19192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Hadley</dc:creator>
  <cp:keywords/>
  <dc:description/>
  <cp:lastModifiedBy>Marie Hadley</cp:lastModifiedBy>
  <cp:revision>3</cp:revision>
  <dcterms:created xsi:type="dcterms:W3CDTF">2026-08-17T08:48:00Z</dcterms:created>
  <dcterms:modified xsi:type="dcterms:W3CDTF">2026-08-17T08:48:00Z</dcterms:modified>
</cp:coreProperties>
</file>