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D057" w14:textId="5729D346" w:rsidR="00D808A2" w:rsidRDefault="00D808A2" w:rsidP="00D808A2">
      <w:pPr>
        <w:pStyle w:val="Heading3"/>
        <w:rPr>
          <w:lang w:val="en-US"/>
        </w:rPr>
      </w:pPr>
      <w:r>
        <w:rPr>
          <w:lang w:val="en-US"/>
        </w:rPr>
        <w:t>A Case Study: Social Media Minimum Age Legislation and Rules</w:t>
      </w:r>
    </w:p>
    <w:p w14:paraId="54D5BE55" w14:textId="766DCB6B" w:rsidR="00380B41" w:rsidRDefault="00D860CD" w:rsidP="001D52BD">
      <w:pPr>
        <w:rPr>
          <w:rFonts w:ascii="Book Antiqua" w:hAnsi="Book Antiqua"/>
          <w:lang w:val="en-US"/>
        </w:rPr>
      </w:pPr>
      <w:r>
        <w:rPr>
          <w:rFonts w:ascii="Book Antiqua" w:hAnsi="Book Antiqua"/>
          <w:lang w:val="en-US"/>
        </w:rPr>
        <w:t xml:space="preserve">In December of 2024, the Social Media Minimum Age Bill was passed, and Part 4A of the Online Safety Act was added, which introduced rules requiring social media platforms to ‘take reasonable steps </w:t>
      </w:r>
      <w:r w:rsidRPr="00D860CD">
        <w:rPr>
          <w:rFonts w:ascii="Book Antiqua" w:hAnsi="Book Antiqua"/>
          <w:lang w:val="en-US"/>
        </w:rPr>
        <w:t>to prevent children who have not reached a minimum age from having accounts</w:t>
      </w:r>
      <w:r>
        <w:rPr>
          <w:rFonts w:ascii="Book Antiqua" w:hAnsi="Book Antiqua"/>
          <w:lang w:val="en-US"/>
        </w:rPr>
        <w:t xml:space="preserve">’. </w:t>
      </w:r>
      <w:r w:rsidR="00002E39">
        <w:rPr>
          <w:rFonts w:ascii="Book Antiqua" w:hAnsi="Book Antiqua"/>
          <w:lang w:val="en-US"/>
        </w:rPr>
        <w:t xml:space="preserve">Following enacting of the legislation, </w:t>
      </w:r>
      <w:r w:rsidR="00327C83">
        <w:rPr>
          <w:rFonts w:ascii="Book Antiqua" w:hAnsi="Book Antiqua"/>
          <w:lang w:val="en-US"/>
        </w:rPr>
        <w:t xml:space="preserve">the Australian eSafety Commissioner, in partnership with the Australian community, conducted research and consultation on how to implement the legislation, and what guidelines social media platforms </w:t>
      </w:r>
      <w:r w:rsidR="007D4059">
        <w:rPr>
          <w:rFonts w:ascii="Book Antiqua" w:hAnsi="Book Antiqua"/>
          <w:lang w:val="en-US"/>
        </w:rPr>
        <w:t xml:space="preserve">should </w:t>
      </w:r>
      <w:r w:rsidR="00327C83">
        <w:rPr>
          <w:rFonts w:ascii="Book Antiqua" w:hAnsi="Book Antiqua"/>
          <w:lang w:val="en-US"/>
        </w:rPr>
        <w:t>be subject to</w:t>
      </w:r>
      <w:r w:rsidR="007D4059">
        <w:rPr>
          <w:rFonts w:ascii="Book Antiqua" w:hAnsi="Book Antiqua"/>
          <w:lang w:val="en-US"/>
        </w:rPr>
        <w:t xml:space="preserve"> regarding the reasonable steps required by legislatio</w:t>
      </w:r>
      <w:r w:rsidR="00DA0FC0">
        <w:rPr>
          <w:rFonts w:ascii="Book Antiqua" w:hAnsi="Book Antiqua"/>
          <w:lang w:val="en-US"/>
        </w:rPr>
        <w:t>n</w:t>
      </w:r>
      <w:r w:rsidR="00327C83">
        <w:rPr>
          <w:rFonts w:ascii="Book Antiqua" w:hAnsi="Book Antiqua"/>
          <w:lang w:val="en-US"/>
        </w:rPr>
        <w:t xml:space="preserve">. Social media platforms will be expected to take the reasonable steps laid out in those guidelines on 10 December 2025, if they have not already done so. </w:t>
      </w:r>
    </w:p>
    <w:p w14:paraId="624E6DEB" w14:textId="75D05B7E" w:rsidR="00511E40" w:rsidRDefault="007D4059" w:rsidP="001D52BD">
      <w:pPr>
        <w:rPr>
          <w:rFonts w:ascii="Book Antiqua" w:hAnsi="Book Antiqua"/>
          <w:lang w:val="en-US"/>
        </w:rPr>
      </w:pPr>
      <w:r>
        <w:rPr>
          <w:rFonts w:ascii="Book Antiqua" w:hAnsi="Book Antiqua"/>
          <w:lang w:val="en-US"/>
        </w:rPr>
        <w:t xml:space="preserve">This legislation is a modern-day example of </w:t>
      </w:r>
      <w:r w:rsidR="005A779B">
        <w:rPr>
          <w:rFonts w:ascii="Book Antiqua" w:hAnsi="Book Antiqua"/>
          <w:lang w:val="en-US"/>
        </w:rPr>
        <w:t>strategies</w:t>
      </w:r>
      <w:r>
        <w:rPr>
          <w:rFonts w:ascii="Book Antiqua" w:hAnsi="Book Antiqua"/>
          <w:lang w:val="en-US"/>
        </w:rPr>
        <w:t xml:space="preserve"> the Australian government is </w:t>
      </w:r>
      <w:r w:rsidR="005A779B">
        <w:rPr>
          <w:rFonts w:ascii="Book Antiqua" w:hAnsi="Book Antiqua"/>
          <w:lang w:val="en-US"/>
        </w:rPr>
        <w:t xml:space="preserve">employing in its </w:t>
      </w:r>
      <w:r>
        <w:rPr>
          <w:rFonts w:ascii="Book Antiqua" w:hAnsi="Book Antiqua"/>
          <w:lang w:val="en-US"/>
        </w:rPr>
        <w:t>attempt</w:t>
      </w:r>
      <w:r w:rsidR="005A779B">
        <w:rPr>
          <w:rFonts w:ascii="Book Antiqua" w:hAnsi="Book Antiqua"/>
          <w:lang w:val="en-US"/>
        </w:rPr>
        <w:t>s</w:t>
      </w:r>
      <w:r>
        <w:rPr>
          <w:rFonts w:ascii="Book Antiqua" w:hAnsi="Book Antiqua"/>
          <w:lang w:val="en-US"/>
        </w:rPr>
        <w:t xml:space="preserve"> to regulate the internet and its use</w:t>
      </w:r>
      <w:r w:rsidR="005A779B">
        <w:rPr>
          <w:rFonts w:ascii="Book Antiqua" w:hAnsi="Book Antiqua"/>
          <w:lang w:val="en-US"/>
        </w:rPr>
        <w:t>.</w:t>
      </w:r>
      <w:r w:rsidR="00D808A2">
        <w:rPr>
          <w:rFonts w:ascii="Book Antiqua" w:hAnsi="Book Antiqua"/>
          <w:lang w:val="en-US"/>
        </w:rPr>
        <w:t xml:space="preserve"> By </w:t>
      </w:r>
      <w:r w:rsidR="00511E40">
        <w:rPr>
          <w:rFonts w:ascii="Book Antiqua" w:hAnsi="Book Antiqua"/>
          <w:lang w:val="en-US"/>
        </w:rPr>
        <w:t xml:space="preserve">the law being focused on the social media platforms, instead of their users, it is not only able to be more effectively </w:t>
      </w:r>
      <w:r w:rsidR="005A779B">
        <w:rPr>
          <w:rFonts w:ascii="Book Antiqua" w:hAnsi="Book Antiqua"/>
          <w:lang w:val="en-US"/>
        </w:rPr>
        <w:t xml:space="preserve">and efficiently </w:t>
      </w:r>
      <w:r w:rsidR="00511E40">
        <w:rPr>
          <w:rFonts w:ascii="Book Antiqua" w:hAnsi="Book Antiqua"/>
          <w:lang w:val="en-US"/>
        </w:rPr>
        <w:t>enforced (</w:t>
      </w:r>
      <w:r w:rsidR="00056FEE" w:rsidRPr="00056FEE">
        <w:rPr>
          <w:rFonts w:ascii="Book Antiqua" w:hAnsi="Book Antiqua"/>
          <w:lang w:val="en-US"/>
        </w:rPr>
        <w:t>because there are exponentially less platforms then users</w:t>
      </w:r>
      <w:r w:rsidR="00511E40">
        <w:rPr>
          <w:rFonts w:ascii="Book Antiqua" w:hAnsi="Book Antiqua"/>
          <w:lang w:val="en-US"/>
        </w:rPr>
        <w:t xml:space="preserve">), but it also places the onus of compliance on the corporations behind the platforms, instead of the young people or their parents, corporations which have a great financial interest in ensuring that reasonable steps are taken to comply with the legislation to avoid hefty fines and other legal consequences. </w:t>
      </w:r>
    </w:p>
    <w:p w14:paraId="2EABEAC1" w14:textId="601FDE95" w:rsidR="004C74E3" w:rsidRDefault="00511E40" w:rsidP="001D52BD">
      <w:pPr>
        <w:rPr>
          <w:rFonts w:ascii="Book Antiqua" w:hAnsi="Book Antiqua"/>
          <w:lang w:val="en-US"/>
        </w:rPr>
      </w:pPr>
      <w:r>
        <w:rPr>
          <w:rFonts w:ascii="Book Antiqua" w:hAnsi="Book Antiqua"/>
          <w:lang w:val="en-US"/>
        </w:rPr>
        <w:t xml:space="preserve">Whether this legislation will be effective is yet to be seen. </w:t>
      </w:r>
      <w:r w:rsidR="005A779B">
        <w:rPr>
          <w:rFonts w:ascii="Book Antiqua" w:hAnsi="Book Antiqua"/>
          <w:lang w:val="en-US"/>
        </w:rPr>
        <w:t xml:space="preserve">As Barlow expressed in his claim of the unregulatable nature of the internet, there are challenges inherent to its regulation which all bodies attempting to regulate it must attempt to circumvent. </w:t>
      </w:r>
      <w:r w:rsidR="00EA2A73">
        <w:rPr>
          <w:rFonts w:ascii="Book Antiqua" w:hAnsi="Book Antiqua"/>
          <w:lang w:val="en-US"/>
        </w:rPr>
        <w:t>As discussed</w:t>
      </w:r>
      <w:r w:rsidR="00253ED2">
        <w:rPr>
          <w:rFonts w:ascii="Book Antiqua" w:hAnsi="Book Antiqua"/>
          <w:lang w:val="en-US"/>
        </w:rPr>
        <w:t xml:space="preserve"> above in this textbook</w:t>
      </w:r>
      <w:r w:rsidR="00EA2A73">
        <w:rPr>
          <w:rFonts w:ascii="Book Antiqua" w:hAnsi="Book Antiqua"/>
          <w:lang w:val="en-US"/>
        </w:rPr>
        <w:t xml:space="preserve">, Barlow’s two main arguments in relation to his claim is the de-centralized and </w:t>
      </w:r>
      <w:r w:rsidR="00253ED2">
        <w:rPr>
          <w:rFonts w:ascii="Book Antiqua" w:hAnsi="Book Antiqua"/>
          <w:lang w:val="en-US"/>
        </w:rPr>
        <w:t>ultra</w:t>
      </w:r>
      <w:r w:rsidR="00EA2A73">
        <w:rPr>
          <w:rFonts w:ascii="Book Antiqua" w:hAnsi="Book Antiqua"/>
          <w:lang w:val="en-US"/>
        </w:rPr>
        <w:t xml:space="preserve">-jurisdictional nature </w:t>
      </w:r>
      <w:r w:rsidR="00253ED2">
        <w:rPr>
          <w:rFonts w:ascii="Book Antiqua" w:hAnsi="Book Antiqua"/>
          <w:lang w:val="en-US"/>
        </w:rPr>
        <w:t xml:space="preserve">of the internet, and the sheer enormity of its reach and quantity of users. </w:t>
      </w:r>
      <w:r w:rsidR="004C74E3">
        <w:rPr>
          <w:rFonts w:ascii="Book Antiqua" w:hAnsi="Book Antiqua"/>
          <w:lang w:val="en-US"/>
        </w:rPr>
        <w:t>The internet is not based anywhere; it does not have one master. There is not one hub at which all content, control, or data is localized, instead there are countless devices connected via networks. Maslow is correct when he says that regulating every contributor to the internet would be a monumental, and likely impossible, feat, and a landmine of legal and jurisdictional issues.</w:t>
      </w:r>
    </w:p>
    <w:p w14:paraId="2F6D0CA5" w14:textId="7BB87C78" w:rsidR="007301CC" w:rsidRDefault="002F0DFC" w:rsidP="001D52BD">
      <w:pPr>
        <w:rPr>
          <w:rFonts w:ascii="Book Antiqua" w:hAnsi="Book Antiqua"/>
          <w:lang w:val="en-US"/>
        </w:rPr>
      </w:pPr>
      <w:r>
        <w:rPr>
          <w:rFonts w:ascii="Book Antiqua" w:hAnsi="Book Antiqua"/>
          <w:lang w:val="en-US"/>
        </w:rPr>
        <w:t xml:space="preserve">Interestingly, it seems that this new legislation sidesteps those issues neatly, finding a way around many of the challenges </w:t>
      </w:r>
      <w:r w:rsidR="00BA283D">
        <w:rPr>
          <w:rFonts w:ascii="Book Antiqua" w:hAnsi="Book Antiqua"/>
          <w:lang w:val="en-US"/>
        </w:rPr>
        <w:t xml:space="preserve">and </w:t>
      </w:r>
      <w:r>
        <w:rPr>
          <w:rFonts w:ascii="Book Antiqua" w:hAnsi="Book Antiqua"/>
          <w:lang w:val="en-US"/>
        </w:rPr>
        <w:t>forging a path to possible success</w:t>
      </w:r>
      <w:r w:rsidR="004C74E3">
        <w:rPr>
          <w:rFonts w:ascii="Book Antiqua" w:hAnsi="Book Antiqua"/>
          <w:lang w:val="en-US"/>
        </w:rPr>
        <w:t xml:space="preserve"> in a way which may not have been possible in the pas</w:t>
      </w:r>
      <w:r w:rsidR="00BA283D">
        <w:rPr>
          <w:rFonts w:ascii="Book Antiqua" w:hAnsi="Book Antiqua"/>
          <w:lang w:val="en-US"/>
        </w:rPr>
        <w:t xml:space="preserve">t, before social media platforms were as large and powerful as they are today. </w:t>
      </w:r>
    </w:p>
    <w:p w14:paraId="6836C452" w14:textId="350ADF94" w:rsidR="00BA283D" w:rsidRDefault="00BA283D" w:rsidP="001D52BD">
      <w:pPr>
        <w:rPr>
          <w:rFonts w:ascii="Book Antiqua" w:hAnsi="Book Antiqua"/>
          <w:lang w:val="en-US"/>
        </w:rPr>
      </w:pPr>
      <w:r>
        <w:rPr>
          <w:rFonts w:ascii="Book Antiqua" w:hAnsi="Book Antiqua"/>
          <w:lang w:val="en-US"/>
        </w:rPr>
        <w:t>By controlling the platforms instead of the users, the legislation not only dramatically decrease</w:t>
      </w:r>
      <w:r w:rsidR="005539B0">
        <w:rPr>
          <w:rFonts w:ascii="Book Antiqua" w:hAnsi="Book Antiqua"/>
          <w:lang w:val="en-US"/>
        </w:rPr>
        <w:t>s</w:t>
      </w:r>
      <w:r>
        <w:rPr>
          <w:rFonts w:ascii="Book Antiqua" w:hAnsi="Book Antiqua"/>
          <w:lang w:val="en-US"/>
        </w:rPr>
        <w:t xml:space="preserve"> the </w:t>
      </w:r>
      <w:r w:rsidR="005539B0">
        <w:rPr>
          <w:rFonts w:ascii="Book Antiqua" w:hAnsi="Book Antiqua"/>
          <w:lang w:val="en-US"/>
        </w:rPr>
        <w:t>number</w:t>
      </w:r>
      <w:r>
        <w:rPr>
          <w:rFonts w:ascii="Book Antiqua" w:hAnsi="Book Antiqua"/>
          <w:lang w:val="en-US"/>
        </w:rPr>
        <w:t xml:space="preserve"> of identities </w:t>
      </w:r>
      <w:r w:rsidR="005539B0">
        <w:rPr>
          <w:rFonts w:ascii="Book Antiqua" w:hAnsi="Book Antiqua"/>
          <w:lang w:val="en-US"/>
        </w:rPr>
        <w:t>subject to the legislation</w:t>
      </w:r>
      <w:r>
        <w:rPr>
          <w:rFonts w:ascii="Book Antiqua" w:hAnsi="Book Antiqua"/>
          <w:lang w:val="en-US"/>
        </w:rPr>
        <w:t>, but also creates an environment where it is relatively straightforward to</w:t>
      </w:r>
      <w:r w:rsidR="005539B0">
        <w:rPr>
          <w:rFonts w:ascii="Book Antiqua" w:hAnsi="Book Antiqua"/>
          <w:lang w:val="en-US"/>
        </w:rPr>
        <w:t xml:space="preserve"> recognize and name the legal identities effected, and pinpoint what jurisdiction is capable of enforcement in relation to those identities. </w:t>
      </w:r>
    </w:p>
    <w:p w14:paraId="34F1868E" w14:textId="3A231B26" w:rsidR="005539B0" w:rsidRDefault="005539B0" w:rsidP="001D52BD">
      <w:pPr>
        <w:rPr>
          <w:rFonts w:ascii="Book Antiqua" w:hAnsi="Book Antiqua"/>
          <w:lang w:val="en-US"/>
        </w:rPr>
      </w:pPr>
      <w:r>
        <w:rPr>
          <w:rFonts w:ascii="Book Antiqua" w:hAnsi="Book Antiqua"/>
          <w:lang w:val="en-US"/>
        </w:rPr>
        <w:t xml:space="preserve">The legislators are not blind to the possibility of children finding ways around whatever safeguards the social media platforms put in place, and do not seem to be placing an overly heavy burden on the social media platforms to ensure that no children are present on their platforms. The legislation simply requires reasonable steps to be taken. </w:t>
      </w:r>
      <w:r w:rsidR="00242BEF">
        <w:rPr>
          <w:rFonts w:ascii="Book Antiqua" w:hAnsi="Book Antiqua"/>
          <w:lang w:val="en-US"/>
        </w:rPr>
        <w:t>At this point in time (August 2025), the guidelines depicting what those reasonable steps should look like have not yet been released and so exactly how the change will affect users and platforms is unclear</w:t>
      </w:r>
      <w:r w:rsidR="001509F1">
        <w:rPr>
          <w:rFonts w:ascii="Book Antiqua" w:hAnsi="Book Antiqua"/>
          <w:lang w:val="en-US"/>
        </w:rPr>
        <w:t xml:space="preserve">. </w:t>
      </w:r>
    </w:p>
    <w:p w14:paraId="5CC5D20F" w14:textId="2638D240" w:rsidR="001509F1" w:rsidRDefault="00C020A0" w:rsidP="001D52BD">
      <w:pPr>
        <w:rPr>
          <w:rFonts w:ascii="Book Antiqua" w:hAnsi="Book Antiqua"/>
          <w:lang w:val="en-US"/>
        </w:rPr>
      </w:pPr>
      <w:r>
        <w:rPr>
          <w:rFonts w:ascii="Book Antiqua" w:hAnsi="Book Antiqua"/>
          <w:lang w:val="en-US"/>
        </w:rPr>
        <w:lastRenderedPageBreak/>
        <w:t xml:space="preserve">The Social Media (Minimum Age) legislation illustrates how legislation may be able to avoid the challenges inherent to the regulation of internet, and forge a path towards successful regulation, for better or for worse. Only time will tell how successful this particular attempt at regulation will be, but it signifies the </w:t>
      </w:r>
      <w:r w:rsidR="00B02E01">
        <w:rPr>
          <w:rFonts w:ascii="Book Antiqua" w:hAnsi="Book Antiqua"/>
          <w:lang w:val="en-US"/>
        </w:rPr>
        <w:t>legislator’s</w:t>
      </w:r>
      <w:r>
        <w:rPr>
          <w:rFonts w:ascii="Book Antiqua" w:hAnsi="Book Antiqua"/>
          <w:lang w:val="en-US"/>
        </w:rPr>
        <w:t xml:space="preserve"> willingness to take dramatic steps towards regu</w:t>
      </w:r>
      <w:r w:rsidR="00C42349">
        <w:rPr>
          <w:rFonts w:ascii="Book Antiqua" w:hAnsi="Book Antiqua"/>
          <w:lang w:val="en-US"/>
        </w:rPr>
        <w:t xml:space="preserve">lation. </w:t>
      </w:r>
    </w:p>
    <w:p w14:paraId="622687B4" w14:textId="77777777" w:rsidR="001509F1" w:rsidRDefault="001509F1" w:rsidP="001D52BD">
      <w:pPr>
        <w:rPr>
          <w:rFonts w:ascii="Book Antiqua" w:hAnsi="Book Antiqua"/>
          <w:lang w:val="en-US"/>
        </w:rPr>
      </w:pPr>
    </w:p>
    <w:p w14:paraId="4CD83CA1" w14:textId="767480A0" w:rsidR="00DA0FC0" w:rsidRDefault="00DA0FC0" w:rsidP="00DA0FC0">
      <w:pPr>
        <w:pStyle w:val="Heading3"/>
        <w:rPr>
          <w:lang w:val="en-US"/>
        </w:rPr>
      </w:pPr>
      <w:r>
        <w:rPr>
          <w:lang w:val="en-US"/>
        </w:rPr>
        <w:t xml:space="preserve">Bibliography </w:t>
      </w:r>
    </w:p>
    <w:p w14:paraId="642F814E" w14:textId="77777777" w:rsidR="00C72FD1" w:rsidRDefault="00C72FD1" w:rsidP="00C72FD1">
      <w:r>
        <w:t>A: Articles</w:t>
      </w:r>
    </w:p>
    <w:p w14:paraId="6DDE94AD" w14:textId="1875258D" w:rsidR="00C72FD1" w:rsidRDefault="00C72FD1" w:rsidP="00C72FD1">
      <w:r>
        <w:t xml:space="preserve">‘About Social Media Age Restrictions’, </w:t>
      </w:r>
      <w:r w:rsidRPr="00C72FD1">
        <w:rPr>
          <w:i/>
          <w:iCs/>
        </w:rPr>
        <w:t>eSafety Commissioner</w:t>
      </w:r>
      <w:r>
        <w:t>, (Web Page, 12 August 2025) &lt;</w:t>
      </w:r>
      <w:r w:rsidRPr="00F55BB9">
        <w:t xml:space="preserve"> </w:t>
      </w:r>
      <w:hyperlink r:id="rId8" w:history="1">
        <w:r w:rsidRPr="00F90AEE">
          <w:rPr>
            <w:rStyle w:val="Hyperlink"/>
          </w:rPr>
          <w:t>https://www.esafety.gov.au/about-us/industry-regulation/social-media-age-restrictions</w:t>
        </w:r>
      </w:hyperlink>
      <w:r>
        <w:t>&gt;</w:t>
      </w:r>
    </w:p>
    <w:p w14:paraId="6704DD58" w14:textId="78DDCD22" w:rsidR="00C72FD1" w:rsidRDefault="00C72FD1" w:rsidP="00C72FD1">
      <w:r>
        <w:t>‘</w:t>
      </w:r>
      <w:r w:rsidRPr="00380FD2">
        <w:t>Social media 'ban' or delay FAQ</w:t>
      </w:r>
      <w:r>
        <w:t xml:space="preserve">’, </w:t>
      </w:r>
      <w:r w:rsidRPr="00C72FD1">
        <w:rPr>
          <w:i/>
          <w:iCs/>
        </w:rPr>
        <w:t>eSafety Commissioner</w:t>
      </w:r>
      <w:r>
        <w:t xml:space="preserve">, (Web Page, 26 August 2025) </w:t>
      </w:r>
      <w:hyperlink r:id="rId9" w:history="1">
        <w:r w:rsidRPr="00F90AEE">
          <w:rPr>
            <w:rStyle w:val="Hyperlink"/>
          </w:rPr>
          <w:t>https://www.esafety.gov.au/about-us/industry-regulation/social-media-age-restrictions/faqs</w:t>
        </w:r>
      </w:hyperlink>
    </w:p>
    <w:p w14:paraId="237A916C" w14:textId="35D21F04" w:rsidR="00C72FD1" w:rsidRDefault="00C72FD1" w:rsidP="00C72FD1">
      <w:r>
        <w:t xml:space="preserve">‘Social media age limit not be feared but lauded’, </w:t>
      </w:r>
      <w:r w:rsidRPr="00C72FD1">
        <w:rPr>
          <w:i/>
          <w:iCs/>
        </w:rPr>
        <w:t>Prime Minister of Australia</w:t>
      </w:r>
      <w:r>
        <w:t>, (Web Page, 26 November 2024) &lt;</w:t>
      </w:r>
      <w:r w:rsidRPr="00D17673">
        <w:t xml:space="preserve"> </w:t>
      </w:r>
      <w:hyperlink r:id="rId10" w:history="1">
        <w:r w:rsidRPr="00F90AEE">
          <w:rPr>
            <w:rStyle w:val="Hyperlink"/>
          </w:rPr>
          <w:t>https://www.pm.gov.au/media/social-age-limit-not-be-feared-lauded</w:t>
        </w:r>
      </w:hyperlink>
      <w:r>
        <w:t xml:space="preserve">&gt; </w:t>
      </w:r>
    </w:p>
    <w:p w14:paraId="32703951" w14:textId="58FCBBB0" w:rsidR="00C72FD1" w:rsidRPr="00D17673" w:rsidRDefault="00C72FD1" w:rsidP="00C72FD1">
      <w:r>
        <w:t xml:space="preserve">‘Social media ban’, </w:t>
      </w:r>
      <w:r w:rsidRPr="00C72FD1">
        <w:rPr>
          <w:i/>
          <w:iCs/>
        </w:rPr>
        <w:t>unicef Australia</w:t>
      </w:r>
      <w:r>
        <w:t>, (Web Page), &lt;</w:t>
      </w:r>
      <w:r w:rsidRPr="00D17673">
        <w:t xml:space="preserve"> </w:t>
      </w:r>
      <w:hyperlink r:id="rId11" w:history="1">
        <w:r w:rsidRPr="00F90AEE">
          <w:rPr>
            <w:rStyle w:val="Hyperlink"/>
          </w:rPr>
          <w:t>https://www.unicef.org.au/unicef-youth/staying-safe-online/social-media-ban-explainer?srsltid=AfmBOorsKvfoqdpGUGZS9v7ajVHsVsiz3ZCx1xyd23mEvbM1_dk5Kj1D</w:t>
        </w:r>
      </w:hyperlink>
      <w:r>
        <w:t xml:space="preserve">&gt; </w:t>
      </w:r>
    </w:p>
    <w:p w14:paraId="5E873A8F" w14:textId="047F07C5" w:rsidR="00DA0FC0" w:rsidRDefault="00C72FD1" w:rsidP="00C72FD1">
      <w:r>
        <w:t>B: Legislation</w:t>
      </w:r>
    </w:p>
    <w:p w14:paraId="58EE1F1B" w14:textId="77777777" w:rsidR="00C72FD1" w:rsidRDefault="00165C63" w:rsidP="00C72FD1">
      <w:r>
        <w:t>Online Safety Amendment (Social Media Minimum Age) Bill 2024</w:t>
      </w:r>
    </w:p>
    <w:p w14:paraId="202ECB71" w14:textId="7266483C" w:rsidR="003A5170" w:rsidRDefault="003A5170" w:rsidP="00C72FD1">
      <w:r>
        <w:t>Online Safety Act 2021 (Cth), s 63A</w:t>
      </w:r>
    </w:p>
    <w:p w14:paraId="7CB18229" w14:textId="77777777" w:rsidR="00165C63" w:rsidRPr="00DA0FC0" w:rsidRDefault="00165C63" w:rsidP="00DA0FC0">
      <w:pPr>
        <w:rPr>
          <w:lang w:val="en-US"/>
        </w:rPr>
      </w:pPr>
    </w:p>
    <w:sectPr w:rsidR="00165C63" w:rsidRPr="00DA0F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BFA8" w14:textId="77777777" w:rsidR="00C777F4" w:rsidRDefault="00C777F4" w:rsidP="00D860CD">
      <w:pPr>
        <w:spacing w:after="0" w:line="240" w:lineRule="auto"/>
      </w:pPr>
      <w:r>
        <w:separator/>
      </w:r>
    </w:p>
  </w:endnote>
  <w:endnote w:type="continuationSeparator" w:id="0">
    <w:p w14:paraId="217AB7BA" w14:textId="77777777" w:rsidR="00C777F4" w:rsidRDefault="00C777F4" w:rsidP="00D86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B58F" w14:textId="77777777" w:rsidR="00C777F4" w:rsidRDefault="00C777F4" w:rsidP="00D860CD">
      <w:pPr>
        <w:spacing w:after="0" w:line="240" w:lineRule="auto"/>
      </w:pPr>
      <w:r>
        <w:separator/>
      </w:r>
    </w:p>
  </w:footnote>
  <w:footnote w:type="continuationSeparator" w:id="0">
    <w:p w14:paraId="7294A2BF" w14:textId="77777777" w:rsidR="00C777F4" w:rsidRDefault="00C777F4" w:rsidP="00D86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01C76"/>
    <w:multiLevelType w:val="hybridMultilevel"/>
    <w:tmpl w:val="AAA86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884F4C"/>
    <w:multiLevelType w:val="hybridMultilevel"/>
    <w:tmpl w:val="959AB586"/>
    <w:lvl w:ilvl="0" w:tplc="E8EE7B20">
      <w:start w:val="1"/>
      <w:numFmt w:val="bullet"/>
      <w:lvlText w:val="•"/>
      <w:lvlJc w:val="left"/>
      <w:pPr>
        <w:ind w:left="720" w:hanging="360"/>
      </w:pPr>
      <w:rPr>
        <w:rFonts w:ascii="Symbol" w:eastAsia="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CE96CA5"/>
    <w:multiLevelType w:val="hybridMultilevel"/>
    <w:tmpl w:val="91F83F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6894186">
    <w:abstractNumId w:val="0"/>
  </w:num>
  <w:num w:numId="2" w16cid:durableId="2056612081">
    <w:abstractNumId w:val="1"/>
  </w:num>
  <w:num w:numId="3" w16cid:durableId="1131940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AA"/>
    <w:rsid w:val="00002E39"/>
    <w:rsid w:val="000209E0"/>
    <w:rsid w:val="0002467D"/>
    <w:rsid w:val="00026834"/>
    <w:rsid w:val="000549E1"/>
    <w:rsid w:val="0005660B"/>
    <w:rsid w:val="00056FEE"/>
    <w:rsid w:val="000C3F80"/>
    <w:rsid w:val="001214CF"/>
    <w:rsid w:val="001509F1"/>
    <w:rsid w:val="00154E93"/>
    <w:rsid w:val="00165C63"/>
    <w:rsid w:val="00182BD3"/>
    <w:rsid w:val="001B7796"/>
    <w:rsid w:val="001D52BD"/>
    <w:rsid w:val="001E42AB"/>
    <w:rsid w:val="00242BEF"/>
    <w:rsid w:val="00253ED2"/>
    <w:rsid w:val="00257D78"/>
    <w:rsid w:val="002606AA"/>
    <w:rsid w:val="002B6A5E"/>
    <w:rsid w:val="002D4836"/>
    <w:rsid w:val="002F0DFC"/>
    <w:rsid w:val="00327C83"/>
    <w:rsid w:val="00337259"/>
    <w:rsid w:val="00380B41"/>
    <w:rsid w:val="00380FD2"/>
    <w:rsid w:val="003A2620"/>
    <w:rsid w:val="003A5170"/>
    <w:rsid w:val="003E41C0"/>
    <w:rsid w:val="003F0B0D"/>
    <w:rsid w:val="00467250"/>
    <w:rsid w:val="004A7B15"/>
    <w:rsid w:val="004C74E3"/>
    <w:rsid w:val="00511E40"/>
    <w:rsid w:val="005539B0"/>
    <w:rsid w:val="005A779B"/>
    <w:rsid w:val="005B5BE6"/>
    <w:rsid w:val="005B6960"/>
    <w:rsid w:val="005C2C8E"/>
    <w:rsid w:val="005D22F2"/>
    <w:rsid w:val="005D3988"/>
    <w:rsid w:val="006005A7"/>
    <w:rsid w:val="00640A78"/>
    <w:rsid w:val="00643F15"/>
    <w:rsid w:val="006D0B9E"/>
    <w:rsid w:val="007263C3"/>
    <w:rsid w:val="007301CC"/>
    <w:rsid w:val="00744B01"/>
    <w:rsid w:val="007D4059"/>
    <w:rsid w:val="007F46C8"/>
    <w:rsid w:val="0081654C"/>
    <w:rsid w:val="00832995"/>
    <w:rsid w:val="008E321D"/>
    <w:rsid w:val="009730E8"/>
    <w:rsid w:val="00973E56"/>
    <w:rsid w:val="009C0047"/>
    <w:rsid w:val="009D6153"/>
    <w:rsid w:val="00A2393B"/>
    <w:rsid w:val="00A52867"/>
    <w:rsid w:val="00A61853"/>
    <w:rsid w:val="00AA4740"/>
    <w:rsid w:val="00AD7A01"/>
    <w:rsid w:val="00B02E01"/>
    <w:rsid w:val="00B12979"/>
    <w:rsid w:val="00B40EA6"/>
    <w:rsid w:val="00B916D6"/>
    <w:rsid w:val="00B92F31"/>
    <w:rsid w:val="00BA283D"/>
    <w:rsid w:val="00BD7526"/>
    <w:rsid w:val="00C020A0"/>
    <w:rsid w:val="00C42349"/>
    <w:rsid w:val="00C60ABF"/>
    <w:rsid w:val="00C65529"/>
    <w:rsid w:val="00C72FD1"/>
    <w:rsid w:val="00C777F4"/>
    <w:rsid w:val="00CD73AD"/>
    <w:rsid w:val="00D17673"/>
    <w:rsid w:val="00D808A2"/>
    <w:rsid w:val="00D860CD"/>
    <w:rsid w:val="00DA0FC0"/>
    <w:rsid w:val="00DB5524"/>
    <w:rsid w:val="00DD342E"/>
    <w:rsid w:val="00DF3813"/>
    <w:rsid w:val="00E1464E"/>
    <w:rsid w:val="00E24A68"/>
    <w:rsid w:val="00E30BBA"/>
    <w:rsid w:val="00EA2A73"/>
    <w:rsid w:val="00F17298"/>
    <w:rsid w:val="00F31710"/>
    <w:rsid w:val="00F35B5D"/>
    <w:rsid w:val="00F425E1"/>
    <w:rsid w:val="00F55BB9"/>
    <w:rsid w:val="00F605D2"/>
    <w:rsid w:val="00FC2C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6BF3"/>
  <w15:chartTrackingRefBased/>
  <w15:docId w15:val="{BB2352BF-DEAE-489F-88C9-2FB895C9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0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0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AA"/>
    <w:rPr>
      <w:rFonts w:eastAsiaTheme="majorEastAsia" w:cstheme="majorBidi"/>
      <w:color w:val="272727" w:themeColor="text1" w:themeTint="D8"/>
    </w:rPr>
  </w:style>
  <w:style w:type="paragraph" w:styleId="Title">
    <w:name w:val="Title"/>
    <w:basedOn w:val="Normal"/>
    <w:next w:val="Normal"/>
    <w:link w:val="TitleChar"/>
    <w:uiPriority w:val="10"/>
    <w:qFormat/>
    <w:rsid w:val="00260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06AA"/>
    <w:rPr>
      <w:i/>
      <w:iCs/>
      <w:color w:val="404040" w:themeColor="text1" w:themeTint="BF"/>
    </w:rPr>
  </w:style>
  <w:style w:type="paragraph" w:styleId="ListParagraph">
    <w:name w:val="List Paragraph"/>
    <w:basedOn w:val="Normal"/>
    <w:uiPriority w:val="34"/>
    <w:qFormat/>
    <w:rsid w:val="002606AA"/>
    <w:pPr>
      <w:ind w:left="720"/>
      <w:contextualSpacing/>
    </w:pPr>
  </w:style>
  <w:style w:type="character" w:styleId="IntenseEmphasis">
    <w:name w:val="Intense Emphasis"/>
    <w:basedOn w:val="DefaultParagraphFont"/>
    <w:uiPriority w:val="21"/>
    <w:qFormat/>
    <w:rsid w:val="002606AA"/>
    <w:rPr>
      <w:i/>
      <w:iCs/>
      <w:color w:val="2F5496" w:themeColor="accent1" w:themeShade="BF"/>
    </w:rPr>
  </w:style>
  <w:style w:type="paragraph" w:styleId="IntenseQuote">
    <w:name w:val="Intense Quote"/>
    <w:basedOn w:val="Normal"/>
    <w:next w:val="Normal"/>
    <w:link w:val="IntenseQuoteChar"/>
    <w:uiPriority w:val="30"/>
    <w:qFormat/>
    <w:rsid w:val="0026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AA"/>
    <w:rPr>
      <w:i/>
      <w:iCs/>
      <w:color w:val="2F5496" w:themeColor="accent1" w:themeShade="BF"/>
    </w:rPr>
  </w:style>
  <w:style w:type="character" w:styleId="IntenseReference">
    <w:name w:val="Intense Reference"/>
    <w:basedOn w:val="DefaultParagraphFont"/>
    <w:uiPriority w:val="32"/>
    <w:qFormat/>
    <w:rsid w:val="002606AA"/>
    <w:rPr>
      <w:b/>
      <w:bCs/>
      <w:smallCaps/>
      <w:color w:val="2F5496" w:themeColor="accent1" w:themeShade="BF"/>
      <w:spacing w:val="5"/>
    </w:rPr>
  </w:style>
  <w:style w:type="table" w:styleId="TableGrid">
    <w:name w:val="Table Grid"/>
    <w:basedOn w:val="TableNormal"/>
    <w:uiPriority w:val="39"/>
    <w:rsid w:val="00260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88"/>
    <w:rPr>
      <w:color w:val="0563C1" w:themeColor="hyperlink"/>
      <w:u w:val="single"/>
    </w:rPr>
  </w:style>
  <w:style w:type="character" w:styleId="UnresolvedMention">
    <w:name w:val="Unresolved Mention"/>
    <w:basedOn w:val="DefaultParagraphFont"/>
    <w:uiPriority w:val="99"/>
    <w:semiHidden/>
    <w:unhideWhenUsed/>
    <w:rsid w:val="005D3988"/>
    <w:rPr>
      <w:color w:val="605E5C"/>
      <w:shd w:val="clear" w:color="auto" w:fill="E1DFDD"/>
    </w:rPr>
  </w:style>
  <w:style w:type="character" w:styleId="FollowedHyperlink">
    <w:name w:val="FollowedHyperlink"/>
    <w:basedOn w:val="DefaultParagraphFont"/>
    <w:uiPriority w:val="99"/>
    <w:semiHidden/>
    <w:unhideWhenUsed/>
    <w:rsid w:val="000209E0"/>
    <w:rPr>
      <w:color w:val="954F72" w:themeColor="followedHyperlink"/>
      <w:u w:val="single"/>
    </w:rPr>
  </w:style>
  <w:style w:type="paragraph" w:styleId="FootnoteText">
    <w:name w:val="footnote text"/>
    <w:basedOn w:val="Normal"/>
    <w:link w:val="FootnoteTextChar"/>
    <w:uiPriority w:val="99"/>
    <w:semiHidden/>
    <w:unhideWhenUsed/>
    <w:rsid w:val="00D860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60CD"/>
    <w:rPr>
      <w:sz w:val="20"/>
      <w:szCs w:val="20"/>
    </w:rPr>
  </w:style>
  <w:style w:type="character" w:styleId="FootnoteReference">
    <w:name w:val="footnote reference"/>
    <w:basedOn w:val="DefaultParagraphFont"/>
    <w:uiPriority w:val="99"/>
    <w:semiHidden/>
    <w:unhideWhenUsed/>
    <w:rsid w:val="00D860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1589">
      <w:bodyDiv w:val="1"/>
      <w:marLeft w:val="0"/>
      <w:marRight w:val="0"/>
      <w:marTop w:val="0"/>
      <w:marBottom w:val="0"/>
      <w:divBdr>
        <w:top w:val="none" w:sz="0" w:space="0" w:color="auto"/>
        <w:left w:val="none" w:sz="0" w:space="0" w:color="auto"/>
        <w:bottom w:val="none" w:sz="0" w:space="0" w:color="auto"/>
        <w:right w:val="none" w:sz="0" w:space="0" w:color="auto"/>
      </w:divBdr>
    </w:div>
    <w:div w:id="1436901116">
      <w:bodyDiv w:val="1"/>
      <w:marLeft w:val="0"/>
      <w:marRight w:val="0"/>
      <w:marTop w:val="0"/>
      <w:marBottom w:val="0"/>
      <w:divBdr>
        <w:top w:val="none" w:sz="0" w:space="0" w:color="auto"/>
        <w:left w:val="none" w:sz="0" w:space="0" w:color="auto"/>
        <w:bottom w:val="none" w:sz="0" w:space="0" w:color="auto"/>
        <w:right w:val="none" w:sz="0" w:space="0" w:color="auto"/>
      </w:divBdr>
    </w:div>
    <w:div w:id="1686402217">
      <w:bodyDiv w:val="1"/>
      <w:marLeft w:val="0"/>
      <w:marRight w:val="0"/>
      <w:marTop w:val="0"/>
      <w:marBottom w:val="0"/>
      <w:divBdr>
        <w:top w:val="none" w:sz="0" w:space="0" w:color="auto"/>
        <w:left w:val="none" w:sz="0" w:space="0" w:color="auto"/>
        <w:bottom w:val="none" w:sz="0" w:space="0" w:color="auto"/>
        <w:right w:val="none" w:sz="0" w:space="0" w:color="auto"/>
      </w:divBdr>
    </w:div>
    <w:div w:id="1919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safety.gov.au/about-us/industry-regulation/social-media-age-restric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ef.org.au/unicef-youth/staying-safe-online/social-media-ban-explainer?srsltid=AfmBOorsKvfoqdpGUGZS9v7ajVHsVsiz3ZCx1xyd23mEvbM1_dk5Kj1D" TargetMode="External"/><Relationship Id="rId5" Type="http://schemas.openxmlformats.org/officeDocument/2006/relationships/webSettings" Target="webSettings.xml"/><Relationship Id="rId10" Type="http://schemas.openxmlformats.org/officeDocument/2006/relationships/hyperlink" Target="https://www.pm.gov.au/media/social-age-limit-not-be-feared-lauded" TargetMode="External"/><Relationship Id="rId4" Type="http://schemas.openxmlformats.org/officeDocument/2006/relationships/settings" Target="settings.xml"/><Relationship Id="rId9" Type="http://schemas.openxmlformats.org/officeDocument/2006/relationships/hyperlink" Target="https://www.esafety.gov.au/about-us/industry-regulation/social-media-age-restrictions/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7C999-1082-8C46-8DF3-0B1719810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Hadley</dc:creator>
  <cp:keywords/>
  <dc:description/>
  <cp:lastModifiedBy>Marie Hadley</cp:lastModifiedBy>
  <cp:revision>3</cp:revision>
  <dcterms:created xsi:type="dcterms:W3CDTF">2026-08-17T09:24:00Z</dcterms:created>
  <dcterms:modified xsi:type="dcterms:W3CDTF">2026-08-17T09:25:00Z</dcterms:modified>
</cp:coreProperties>
</file>