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155DA8" w14:textId="5DBEE803" w:rsidR="00973E56" w:rsidRPr="00414D98" w:rsidRDefault="009E5D69" w:rsidP="002606AA">
      <w:pPr>
        <w:rPr>
          <w:rFonts w:cstheme="minorHAnsi"/>
          <w:lang w:val="en-US"/>
        </w:rPr>
      </w:pPr>
      <w:r w:rsidRPr="00414D98">
        <w:rPr>
          <w:rFonts w:cstheme="minorHAnsi"/>
          <w:lang w:val="en-US"/>
        </w:rPr>
        <w:t xml:space="preserve"> </w:t>
      </w:r>
    </w:p>
    <w:tbl>
      <w:tblPr>
        <w:tblStyle w:val="TableGrid"/>
        <w:tblW w:w="10916" w:type="dxa"/>
        <w:tblInd w:w="-993" w:type="dxa"/>
        <w:tblLook w:val="04A0" w:firstRow="1" w:lastRow="0" w:firstColumn="1" w:lastColumn="0" w:noHBand="0" w:noVBand="1"/>
      </w:tblPr>
      <w:tblGrid>
        <w:gridCol w:w="10916"/>
      </w:tblGrid>
      <w:tr w:rsidR="00D32E3C" w:rsidRPr="00414D98" w14:paraId="069324B9" w14:textId="77777777" w:rsidTr="00915308">
        <w:tc>
          <w:tcPr>
            <w:tcW w:w="10916" w:type="dxa"/>
            <w:tcBorders>
              <w:top w:val="nil"/>
              <w:left w:val="nil"/>
              <w:bottom w:val="nil"/>
              <w:right w:val="nil"/>
            </w:tcBorders>
          </w:tcPr>
          <w:p w14:paraId="15B52224" w14:textId="4B2CCB3C" w:rsidR="00D32E3C" w:rsidRPr="008C56D6" w:rsidRDefault="00D32E3C" w:rsidP="00D32E3C">
            <w:pPr>
              <w:spacing w:after="160" w:line="259" w:lineRule="auto"/>
              <w:rPr>
                <w:rFonts w:cstheme="minorHAnsi"/>
                <w:sz w:val="21"/>
                <w:szCs w:val="21"/>
              </w:rPr>
            </w:pPr>
            <w:r w:rsidRPr="008C56D6">
              <w:rPr>
                <w:rFonts w:cstheme="minorHAnsi"/>
                <w:sz w:val="21"/>
                <w:szCs w:val="21"/>
              </w:rPr>
              <w:t xml:space="preserve">Do </w:t>
            </w:r>
            <w:r w:rsidR="003D38B9">
              <w:rPr>
                <w:rFonts w:cstheme="minorHAnsi"/>
                <w:sz w:val="21"/>
                <w:szCs w:val="21"/>
              </w:rPr>
              <w:t>N</w:t>
            </w:r>
            <w:r w:rsidRPr="008C56D6">
              <w:rPr>
                <w:rFonts w:cstheme="minorHAnsi"/>
                <w:sz w:val="21"/>
                <w:szCs w:val="21"/>
              </w:rPr>
              <w:t xml:space="preserve">ot </w:t>
            </w:r>
            <w:r w:rsidR="003D38B9">
              <w:rPr>
                <w:rFonts w:cstheme="minorHAnsi"/>
                <w:sz w:val="21"/>
                <w:szCs w:val="21"/>
              </w:rPr>
              <w:t>C</w:t>
            </w:r>
            <w:r w:rsidRPr="008C56D6">
              <w:rPr>
                <w:rFonts w:cstheme="minorHAnsi"/>
                <w:sz w:val="21"/>
                <w:szCs w:val="21"/>
              </w:rPr>
              <w:t>all Register Act</w:t>
            </w:r>
          </w:p>
          <w:p w14:paraId="43B901B5" w14:textId="207F3D14" w:rsidR="00D32E3C" w:rsidRPr="008C56D6" w:rsidRDefault="00D32E3C" w:rsidP="00D32E3C">
            <w:pPr>
              <w:spacing w:after="160" w:line="259" w:lineRule="auto"/>
              <w:rPr>
                <w:rFonts w:cstheme="minorHAnsi"/>
                <w:sz w:val="21"/>
                <w:szCs w:val="21"/>
              </w:rPr>
            </w:pPr>
            <w:r w:rsidRPr="008C56D6">
              <w:rPr>
                <w:rFonts w:cstheme="minorHAnsi"/>
                <w:sz w:val="21"/>
                <w:szCs w:val="21"/>
              </w:rPr>
              <w:t xml:space="preserve">The Do Not Call Register Act (2006) (DNCR Act) regulates unsolicited telemarketing phone calls and faxes. Its primary purpose is to provide individuals with a mechanism to opt out of unsolicited telemarketing, while also establishing exemptions to enable organisations in the public interest to make telemarketing calls. This act was a response to the growing number of unsolicited telemarketing calls during the 2010’s leading to widespread frustration about the lack of privacy. An Australian Institute survey in 2008 found that the average Australian received 8.5 unsolicited telemarketing calls per month and 63% of people surveyed believed that telemarketing should be banned in Australia. The DNCR Act forms an important part of Australia’s privacy framework by protecting individuals from unwanted telemarketing and fax marketing communications, this works alongside the Spam Act 2003 which regulates electronic messages. </w:t>
            </w:r>
          </w:p>
          <w:p w14:paraId="2B834B0E" w14:textId="79260AF2" w:rsidR="00D32E3C" w:rsidRPr="008C56D6" w:rsidRDefault="00D32E3C" w:rsidP="00D32E3C">
            <w:pPr>
              <w:spacing w:after="160" w:line="259" w:lineRule="auto"/>
              <w:rPr>
                <w:rFonts w:cstheme="minorHAnsi"/>
                <w:sz w:val="21"/>
                <w:szCs w:val="21"/>
              </w:rPr>
            </w:pPr>
            <w:r w:rsidRPr="008C56D6">
              <w:rPr>
                <w:rFonts w:cstheme="minorHAnsi"/>
                <w:sz w:val="21"/>
                <w:szCs w:val="21"/>
              </w:rPr>
              <w:t xml:space="preserve">Prior to the DNCR, the telemarketing industry was self-regulated through voluntary industry codes and practices and some commonwealth and state legislation. This system of self-regulation was ineffective, due to the lack of compulsory standards and enforcement, with the public increasingly viewing telemarketing </w:t>
            </w:r>
            <w:r w:rsidR="003D38B9">
              <w:rPr>
                <w:rFonts w:cstheme="minorHAnsi"/>
                <w:sz w:val="21"/>
                <w:szCs w:val="21"/>
              </w:rPr>
              <w:t xml:space="preserve">as </w:t>
            </w:r>
            <w:r w:rsidRPr="008C56D6">
              <w:rPr>
                <w:rFonts w:cstheme="minorHAnsi"/>
                <w:sz w:val="21"/>
                <w:szCs w:val="21"/>
              </w:rPr>
              <w:t>annoying and an invasion of privacy. The lack of government policy meant there was no formal mechanisms for consumer complaints about unsolicited telemarketing, no enforcement authority to ident</w:t>
            </w:r>
            <w:r w:rsidR="003B7947">
              <w:rPr>
                <w:rFonts w:cstheme="minorHAnsi"/>
                <w:sz w:val="21"/>
                <w:szCs w:val="21"/>
              </w:rPr>
              <w:t>ify</w:t>
            </w:r>
            <w:r w:rsidRPr="008C56D6">
              <w:rPr>
                <w:rFonts w:cstheme="minorHAnsi"/>
                <w:sz w:val="21"/>
                <w:szCs w:val="21"/>
              </w:rPr>
              <w:t xml:space="preserve"> and reprimand unlawful practices and confusion amongst both telemarketers and consumers about their legal rights or obligations. </w:t>
            </w:r>
          </w:p>
          <w:p w14:paraId="66E32ACE" w14:textId="1872302A" w:rsidR="00D32E3C" w:rsidRPr="008C56D6" w:rsidRDefault="00D32E3C" w:rsidP="00D32E3C">
            <w:pPr>
              <w:spacing w:after="160" w:line="259" w:lineRule="auto"/>
              <w:rPr>
                <w:rFonts w:cstheme="minorHAnsi"/>
                <w:sz w:val="21"/>
                <w:szCs w:val="21"/>
              </w:rPr>
            </w:pPr>
            <w:r w:rsidRPr="008C56D6">
              <w:rPr>
                <w:rFonts w:cstheme="minorHAnsi"/>
                <w:sz w:val="21"/>
                <w:szCs w:val="21"/>
              </w:rPr>
              <w:t>The DNCR is a statutory register under Part 2 of the DNCR Act which operates on an opt-out policy. Individuals can list their telephone and fax numbers if they are primarily used for personal, domestic or household purposes</w:t>
            </w:r>
            <w:r w:rsidR="003B7947">
              <w:rPr>
                <w:rFonts w:cstheme="minorHAnsi"/>
                <w:sz w:val="21"/>
                <w:szCs w:val="21"/>
              </w:rPr>
              <w:t>. O</w:t>
            </w:r>
            <w:r w:rsidRPr="008C56D6">
              <w:rPr>
                <w:rFonts w:cstheme="minorHAnsi"/>
                <w:sz w:val="21"/>
                <w:szCs w:val="21"/>
              </w:rPr>
              <w:t>rganisations can register</w:t>
            </w:r>
            <w:r w:rsidR="003B7947">
              <w:rPr>
                <w:rFonts w:cstheme="minorHAnsi"/>
                <w:sz w:val="21"/>
                <w:szCs w:val="21"/>
              </w:rPr>
              <w:t xml:space="preserve"> their phone and fax numbers</w:t>
            </w:r>
            <w:r w:rsidRPr="008C56D6">
              <w:rPr>
                <w:rFonts w:cstheme="minorHAnsi"/>
                <w:sz w:val="21"/>
                <w:szCs w:val="21"/>
              </w:rPr>
              <w:t xml:space="preserve"> if they are used by government bodies, charities and religious organisations. Once a number is entered into the register, it becomes unlawful to contact the number for the purpose of telemarketing unless an exemption under the Act applies. Under the Act, a telemarketing call or a marketing fax is defined in Section 5 and Section 5B as a voice call or Fax to an Australian number where the purpose of the call is to offer or advertise goods, services, land, business or investment opportunities. The definition also extends to soliciting donations. It is the burden on telemarketers to remove numbers of the DNCR from their registers within 30 days. The Australian Communications and Media Authority (ACMA) is the administrator of the register and deals with complaints and breaches of the DNCR Act. </w:t>
            </w:r>
          </w:p>
          <w:p w14:paraId="33EE0F0E" w14:textId="77777777" w:rsidR="00D32E3C" w:rsidRPr="008C56D6" w:rsidRDefault="00D32E3C" w:rsidP="00D32E3C">
            <w:pPr>
              <w:spacing w:after="160" w:line="259" w:lineRule="auto"/>
              <w:rPr>
                <w:rFonts w:cstheme="minorHAnsi"/>
                <w:sz w:val="21"/>
                <w:szCs w:val="21"/>
              </w:rPr>
            </w:pPr>
            <w:r w:rsidRPr="008C56D6">
              <w:rPr>
                <w:rFonts w:cstheme="minorHAnsi"/>
                <w:sz w:val="21"/>
                <w:szCs w:val="21"/>
              </w:rPr>
              <w:t>Exempt groups and purposes</w:t>
            </w:r>
          </w:p>
          <w:p w14:paraId="4EC46D58" w14:textId="65D6F5B0" w:rsidR="00D32E3C" w:rsidRPr="008C56D6" w:rsidRDefault="00D32E3C" w:rsidP="00D32E3C">
            <w:pPr>
              <w:spacing w:after="160" w:line="259" w:lineRule="auto"/>
              <w:rPr>
                <w:rFonts w:cstheme="minorHAnsi"/>
                <w:sz w:val="21"/>
                <w:szCs w:val="21"/>
              </w:rPr>
            </w:pPr>
            <w:r w:rsidRPr="008C56D6">
              <w:rPr>
                <w:rFonts w:cstheme="minorHAnsi"/>
                <w:sz w:val="21"/>
                <w:szCs w:val="21"/>
              </w:rPr>
              <w:t>The Act sets in place exemptions to allow certain groups to use telemarketing in Schedule 2 of the Act. Section 20 of the DNCR Act outlines that when a recipient gives express or implied/inferred consent a telemarketing call is not unlawful. Express consent includes signing up or agreeing to receive promotional calls, express consent expires after three months unless given for a specified or indefinite period</w:t>
            </w:r>
            <w:r w:rsidR="003B7947">
              <w:rPr>
                <w:rFonts w:cstheme="minorHAnsi"/>
                <w:sz w:val="21"/>
                <w:szCs w:val="21"/>
              </w:rPr>
              <w:t xml:space="preserve">. </w:t>
            </w:r>
            <w:r w:rsidRPr="008C56D6">
              <w:rPr>
                <w:rFonts w:cstheme="minorHAnsi"/>
                <w:sz w:val="21"/>
                <w:szCs w:val="21"/>
              </w:rPr>
              <w:t>Implied consent includes a person’s conduct that may indicate they want to be contacted further, an existing business relationship or other preexisting relationship</w:t>
            </w:r>
            <w:r w:rsidR="003B7947">
              <w:rPr>
                <w:rFonts w:cstheme="minorHAnsi"/>
                <w:sz w:val="21"/>
                <w:szCs w:val="21"/>
              </w:rPr>
              <w:t xml:space="preserve">. </w:t>
            </w:r>
            <w:r w:rsidRPr="008C56D6">
              <w:rPr>
                <w:rFonts w:cstheme="minorHAnsi"/>
                <w:sz w:val="21"/>
                <w:szCs w:val="21"/>
              </w:rPr>
              <w:t xml:space="preserve">The scope of implied consent depends on the context of the situation, but does not extend to the sole </w:t>
            </w:r>
            <w:r w:rsidR="00C95016" w:rsidRPr="008C56D6">
              <w:rPr>
                <w:rFonts w:cstheme="minorHAnsi"/>
                <w:sz w:val="21"/>
                <w:szCs w:val="21"/>
              </w:rPr>
              <w:t>existence</w:t>
            </w:r>
            <w:r w:rsidRPr="008C56D6">
              <w:rPr>
                <w:rFonts w:cstheme="minorHAnsi"/>
                <w:sz w:val="21"/>
                <w:szCs w:val="21"/>
              </w:rPr>
              <w:t xml:space="preserve"> of a published phone or fax number online. It is also expected that inferred consent is only given for a limited period. These consent exemptions may be withdrawn at any time by the individual or business and the telemarketer must cease contact immediately. </w:t>
            </w:r>
          </w:p>
          <w:p w14:paraId="60A399F7" w14:textId="77777777" w:rsidR="00D32E3C" w:rsidRPr="008C56D6" w:rsidRDefault="00D32E3C" w:rsidP="00D32E3C">
            <w:pPr>
              <w:spacing w:after="160" w:line="259" w:lineRule="auto"/>
              <w:rPr>
                <w:rFonts w:cstheme="minorHAnsi"/>
                <w:sz w:val="21"/>
                <w:szCs w:val="21"/>
              </w:rPr>
            </w:pPr>
            <w:r w:rsidRPr="008C56D6">
              <w:rPr>
                <w:rFonts w:cstheme="minorHAnsi"/>
                <w:sz w:val="21"/>
                <w:szCs w:val="21"/>
              </w:rPr>
              <w:t xml:space="preserve">Statutory exemptions exist for public interest groups or for constitutional purposes. Schedule 1 of the act sets out that charities, not-for-profits, religious organisations, educational institutions, government bodies and political parties (members of parliament and candidates) all are exempt from abiding by the DNCR. These exemptions exist as it is expected that these groups have no commercial purpose or are in the public interest. This works to balance individual privacy with the need for public service communications. </w:t>
            </w:r>
          </w:p>
          <w:p w14:paraId="7F568021" w14:textId="77777777" w:rsidR="00D32E3C" w:rsidRPr="008C56D6" w:rsidRDefault="00D32E3C" w:rsidP="00D32E3C">
            <w:pPr>
              <w:spacing w:after="160" w:line="259" w:lineRule="auto"/>
              <w:rPr>
                <w:rFonts w:cstheme="minorHAnsi"/>
                <w:sz w:val="21"/>
                <w:szCs w:val="21"/>
              </w:rPr>
            </w:pPr>
            <w:r w:rsidRPr="008C56D6">
              <w:rPr>
                <w:rFonts w:cstheme="minorHAnsi"/>
                <w:sz w:val="21"/>
                <w:szCs w:val="21"/>
              </w:rPr>
              <w:t xml:space="preserve">Enforcement and remedies </w:t>
            </w:r>
          </w:p>
          <w:p w14:paraId="347E654E" w14:textId="77777777" w:rsidR="00D32E3C" w:rsidRPr="008C56D6" w:rsidRDefault="00D32E3C" w:rsidP="00D32E3C">
            <w:pPr>
              <w:spacing w:after="160" w:line="259" w:lineRule="auto"/>
              <w:rPr>
                <w:rFonts w:cstheme="minorHAnsi"/>
                <w:sz w:val="21"/>
                <w:szCs w:val="21"/>
              </w:rPr>
            </w:pPr>
            <w:r w:rsidRPr="008C56D6">
              <w:rPr>
                <w:rFonts w:cstheme="minorHAnsi"/>
                <w:sz w:val="21"/>
                <w:szCs w:val="21"/>
              </w:rPr>
              <w:t xml:space="preserve">Part 4 of the act outlies the powers the ACMA has to enforce the DNCR Act. These enforcement powers include conduct investigations, formal warnings, enforceable undertakings and initiate civil proceedings. Civil penalties of 5,000 penalty units ($1.56 million) for a body corporates per day and up to 10,000 penalty units ($3.13 million) for repeated contraventions are </w:t>
            </w:r>
            <w:r w:rsidRPr="008C56D6">
              <w:rPr>
                <w:rFonts w:cstheme="minorHAnsi"/>
                <w:sz w:val="21"/>
                <w:szCs w:val="21"/>
              </w:rPr>
              <w:lastRenderedPageBreak/>
              <w:t xml:space="preserve">also available. These range of enforcements and remedies deter illegal behaviour, encourage compliance and allow the ACMA to respond to unlawful behaviour with an appropriate remedy. </w:t>
            </w:r>
          </w:p>
          <w:p w14:paraId="700129CA" w14:textId="77777777" w:rsidR="00D32E3C" w:rsidRPr="008C56D6" w:rsidRDefault="00D32E3C" w:rsidP="00D32E3C">
            <w:pPr>
              <w:spacing w:after="160" w:line="259" w:lineRule="auto"/>
              <w:rPr>
                <w:rFonts w:cstheme="minorHAnsi"/>
                <w:sz w:val="21"/>
                <w:szCs w:val="21"/>
              </w:rPr>
            </w:pPr>
          </w:p>
          <w:p w14:paraId="77AD1D05" w14:textId="77777777" w:rsidR="00D32E3C" w:rsidRPr="008C56D6" w:rsidRDefault="00D32E3C" w:rsidP="00D32E3C">
            <w:pPr>
              <w:spacing w:after="160" w:line="259" w:lineRule="auto"/>
              <w:rPr>
                <w:rFonts w:cstheme="minorHAnsi"/>
                <w:sz w:val="21"/>
                <w:szCs w:val="21"/>
              </w:rPr>
            </w:pPr>
            <w:r w:rsidRPr="008C56D6">
              <w:rPr>
                <w:rFonts w:cstheme="minorHAnsi"/>
                <w:sz w:val="21"/>
                <w:szCs w:val="21"/>
              </w:rPr>
              <w:t>Do Not Call Register Regulations 2017</w:t>
            </w:r>
          </w:p>
          <w:p w14:paraId="473F4592" w14:textId="54C41665" w:rsidR="00D32E3C" w:rsidRPr="008C56D6" w:rsidRDefault="00D32E3C" w:rsidP="00D32E3C">
            <w:pPr>
              <w:spacing w:after="160" w:line="259" w:lineRule="auto"/>
              <w:rPr>
                <w:rFonts w:cstheme="minorHAnsi"/>
                <w:sz w:val="21"/>
                <w:szCs w:val="21"/>
              </w:rPr>
            </w:pPr>
            <w:r w:rsidRPr="008C56D6">
              <w:rPr>
                <w:rFonts w:cstheme="minorHAnsi"/>
                <w:sz w:val="21"/>
                <w:szCs w:val="21"/>
              </w:rPr>
              <w:t xml:space="preserve">DNCR Act sets out that the DNCR Regulations 2017 creates specific exemptions to the act, this is important to ensure the act is fit for purpose as there is a need to allow important safety information to </w:t>
            </w:r>
            <w:r w:rsidR="003B7947">
              <w:rPr>
                <w:rFonts w:cstheme="minorHAnsi"/>
                <w:sz w:val="21"/>
                <w:szCs w:val="21"/>
              </w:rPr>
              <w:t xml:space="preserve">be </w:t>
            </w:r>
            <w:r w:rsidRPr="008C56D6">
              <w:rPr>
                <w:rFonts w:cstheme="minorHAnsi"/>
                <w:sz w:val="21"/>
                <w:szCs w:val="21"/>
              </w:rPr>
              <w:t>communicated qui</w:t>
            </w:r>
            <w:r w:rsidR="003B7947">
              <w:rPr>
                <w:rFonts w:cstheme="minorHAnsi"/>
                <w:sz w:val="21"/>
                <w:szCs w:val="21"/>
              </w:rPr>
              <w:t>ckly</w:t>
            </w:r>
            <w:r w:rsidRPr="008C56D6">
              <w:rPr>
                <w:rFonts w:cstheme="minorHAnsi"/>
                <w:sz w:val="21"/>
                <w:szCs w:val="21"/>
              </w:rPr>
              <w:t xml:space="preserve">. These elements have been incorporated as a separate regulation to reduce the number of times the DNCR Act needs to be amended. </w:t>
            </w:r>
          </w:p>
          <w:p w14:paraId="615CDC83" w14:textId="586D9DFD" w:rsidR="00D32E3C" w:rsidRPr="008C56D6" w:rsidRDefault="00D32E3C" w:rsidP="00D32E3C">
            <w:pPr>
              <w:spacing w:after="160" w:line="259" w:lineRule="auto"/>
              <w:rPr>
                <w:rFonts w:cstheme="minorHAnsi"/>
                <w:sz w:val="21"/>
                <w:szCs w:val="21"/>
              </w:rPr>
            </w:pPr>
            <w:r w:rsidRPr="008C56D6">
              <w:rPr>
                <w:rFonts w:cstheme="minorHAnsi"/>
                <w:sz w:val="21"/>
                <w:szCs w:val="21"/>
              </w:rPr>
              <w:t>Subsection 5(7) of the DNCR Act allows for the regulation to declare specified ki</w:t>
            </w:r>
            <w:r w:rsidR="003B7947">
              <w:rPr>
                <w:rFonts w:cstheme="minorHAnsi"/>
                <w:sz w:val="21"/>
                <w:szCs w:val="21"/>
              </w:rPr>
              <w:t>nds</w:t>
            </w:r>
            <w:r w:rsidRPr="008C56D6">
              <w:rPr>
                <w:rFonts w:cstheme="minorHAnsi"/>
                <w:sz w:val="21"/>
                <w:szCs w:val="21"/>
              </w:rPr>
              <w:t xml:space="preserve"> of voice calls as non-telemarketing calls. Section 6 of the DNCR Regulations 2017 sets out these exemptions as being situations of Product recalls, fault rectifications, appointment rescheduling and reminders, payment calls, solicited calls and calls not answered by the person to whom the call is made. These exemptions are important to clarify as calls to inform customers of these situations may need to be made regardless of or without prior consent, this helps to prioritise the safety and effectiveness of the legislation.</w:t>
            </w:r>
          </w:p>
          <w:p w14:paraId="42846BB3" w14:textId="77777777" w:rsidR="00D32E3C" w:rsidRPr="008C56D6" w:rsidRDefault="00D32E3C" w:rsidP="00D32E3C">
            <w:pPr>
              <w:spacing w:after="160" w:line="259" w:lineRule="auto"/>
              <w:rPr>
                <w:rFonts w:cstheme="minorHAnsi"/>
                <w:sz w:val="21"/>
                <w:szCs w:val="21"/>
              </w:rPr>
            </w:pPr>
            <w:r w:rsidRPr="008C56D6">
              <w:rPr>
                <w:rFonts w:cstheme="minorHAnsi"/>
                <w:sz w:val="21"/>
                <w:szCs w:val="21"/>
              </w:rPr>
              <w:t xml:space="preserve">Subsection 39(4) of the DNCR Act allows for the DNCR Regulations to specify when an individual may be deemed a nominee. The explanatory memorandum highlights the need for an individual to be deemed a nominee for the purpose of consenting to a telemarketing call. This creates exemptions when multiple people may share a single telephone number but are not all listed as account holders, such as in a family household or share-house. </w:t>
            </w:r>
          </w:p>
          <w:p w14:paraId="6D249142" w14:textId="77777777" w:rsidR="00D32E3C" w:rsidRPr="008C56D6" w:rsidRDefault="00D32E3C" w:rsidP="00D32E3C">
            <w:pPr>
              <w:spacing w:after="160" w:line="259" w:lineRule="auto"/>
              <w:rPr>
                <w:rFonts w:cstheme="minorHAnsi"/>
                <w:sz w:val="21"/>
                <w:szCs w:val="21"/>
              </w:rPr>
            </w:pPr>
            <w:r w:rsidRPr="008C56D6">
              <w:rPr>
                <w:rFonts w:cstheme="minorHAnsi"/>
                <w:sz w:val="21"/>
                <w:szCs w:val="21"/>
              </w:rPr>
              <w:t>Do Not call Register (Telemarketing and Research Calls) Industry Standards 2017</w:t>
            </w:r>
          </w:p>
          <w:p w14:paraId="2EE58C03" w14:textId="69C7D74D" w:rsidR="00D32E3C" w:rsidRPr="008C56D6" w:rsidRDefault="00D32E3C" w:rsidP="00D32E3C">
            <w:pPr>
              <w:spacing w:after="160" w:line="259" w:lineRule="auto"/>
              <w:rPr>
                <w:rFonts w:cstheme="minorHAnsi"/>
                <w:sz w:val="21"/>
                <w:szCs w:val="21"/>
              </w:rPr>
            </w:pPr>
            <w:r w:rsidRPr="008C56D6">
              <w:rPr>
                <w:rFonts w:cstheme="minorHAnsi"/>
                <w:sz w:val="21"/>
                <w:szCs w:val="21"/>
              </w:rPr>
              <w:t>The Telemarketing and Research Calls Industry Standards is a legislative instrument made under the DNCR Act 2006. It sets out rules and standards that apply to all telemarketing and research calls in Australia which apply regardless of if a recipients number is on the DNCR. The standards limit the calling hours of telemarketing calls to 9:00am-8:00pm on weekdays, 9:00am-5:00pm on Saturdays and prohibits calls on Sundays and Public holidays. Callers must also state their name, company, purpose of the call and provide contact details in order for recipients to verify or follow up the call. Callers must always ensure their return telephone number is displayed when making calls and that a recipient can use that number to return calls during business hours. Telemarketers and researchers should not conduct calls in a manner that is unreasonable, disruptive or inconvenient, these in</w:t>
            </w:r>
            <w:r w:rsidR="007960F3">
              <w:rPr>
                <w:rFonts w:cstheme="minorHAnsi"/>
                <w:sz w:val="21"/>
                <w:szCs w:val="21"/>
              </w:rPr>
              <w:t>cludes</w:t>
            </w:r>
            <w:r w:rsidRPr="008C56D6">
              <w:rPr>
                <w:rFonts w:cstheme="minorHAnsi"/>
                <w:sz w:val="21"/>
                <w:szCs w:val="21"/>
              </w:rPr>
              <w:t xml:space="preserve"> repeated calls in a short time. These restrictions and behavioural rules aim to reduce the disruption and inconvenience of telemarketing and research calls to the general public. </w:t>
            </w:r>
          </w:p>
          <w:p w14:paraId="244F0582" w14:textId="77777777" w:rsidR="00D32E3C" w:rsidRPr="00414D98" w:rsidRDefault="00D32E3C" w:rsidP="002606AA">
            <w:pPr>
              <w:rPr>
                <w:rFonts w:cstheme="minorHAnsi"/>
                <w:lang w:val="en-US"/>
              </w:rPr>
            </w:pPr>
          </w:p>
        </w:tc>
      </w:tr>
    </w:tbl>
    <w:p w14:paraId="01E6EF86" w14:textId="77777777" w:rsidR="00973E56" w:rsidRDefault="00973E56">
      <w:pPr>
        <w:rPr>
          <w:lang w:val="en-US"/>
        </w:rPr>
      </w:pPr>
    </w:p>
    <w:sectPr w:rsidR="00973E5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CB0C66"/>
    <w:multiLevelType w:val="hybridMultilevel"/>
    <w:tmpl w:val="2D3CA398"/>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 w15:restartNumberingAfterBreak="0">
    <w:nsid w:val="295A1F0A"/>
    <w:multiLevelType w:val="hybridMultilevel"/>
    <w:tmpl w:val="DEBC4FB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35401C76"/>
    <w:multiLevelType w:val="hybridMultilevel"/>
    <w:tmpl w:val="AAA86C4E"/>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 w15:restartNumberingAfterBreak="0">
    <w:nsid w:val="37F32809"/>
    <w:multiLevelType w:val="hybridMultilevel"/>
    <w:tmpl w:val="4566AE5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3D884F4C"/>
    <w:multiLevelType w:val="hybridMultilevel"/>
    <w:tmpl w:val="959AB586"/>
    <w:lvl w:ilvl="0" w:tplc="E8EE7B20">
      <w:start w:val="1"/>
      <w:numFmt w:val="bullet"/>
      <w:lvlText w:val="•"/>
      <w:lvlJc w:val="left"/>
      <w:pPr>
        <w:ind w:left="720" w:hanging="360"/>
      </w:pPr>
      <w:rPr>
        <w:rFonts w:ascii="Symbol" w:eastAsia="Symbol" w:hAnsi="Symbol" w:hint="default"/>
        <w:sz w:val="24"/>
        <w:szCs w:val="24"/>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16cid:durableId="466894186">
    <w:abstractNumId w:val="2"/>
  </w:num>
  <w:num w:numId="2" w16cid:durableId="2056612081">
    <w:abstractNumId w:val="4"/>
  </w:num>
  <w:num w:numId="3" w16cid:durableId="813346">
    <w:abstractNumId w:val="0"/>
  </w:num>
  <w:num w:numId="4" w16cid:durableId="1002657815">
    <w:abstractNumId w:val="1"/>
  </w:num>
  <w:num w:numId="5" w16cid:durableId="39250398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06AA"/>
    <w:rsid w:val="000004BB"/>
    <w:rsid w:val="00001EF1"/>
    <w:rsid w:val="0000202C"/>
    <w:rsid w:val="00006E47"/>
    <w:rsid w:val="00012E86"/>
    <w:rsid w:val="000209E0"/>
    <w:rsid w:val="0002467D"/>
    <w:rsid w:val="00026834"/>
    <w:rsid w:val="0003576D"/>
    <w:rsid w:val="000454BF"/>
    <w:rsid w:val="00046C35"/>
    <w:rsid w:val="00054772"/>
    <w:rsid w:val="000549E1"/>
    <w:rsid w:val="0005660B"/>
    <w:rsid w:val="0006180D"/>
    <w:rsid w:val="000704E1"/>
    <w:rsid w:val="0007496F"/>
    <w:rsid w:val="00081822"/>
    <w:rsid w:val="0008305D"/>
    <w:rsid w:val="00087728"/>
    <w:rsid w:val="00090461"/>
    <w:rsid w:val="00091996"/>
    <w:rsid w:val="000961C3"/>
    <w:rsid w:val="000A760A"/>
    <w:rsid w:val="000C3F80"/>
    <w:rsid w:val="000C42B1"/>
    <w:rsid w:val="000E7B7E"/>
    <w:rsid w:val="000F02B0"/>
    <w:rsid w:val="000F244F"/>
    <w:rsid w:val="000F279D"/>
    <w:rsid w:val="000F2C34"/>
    <w:rsid w:val="000F33F6"/>
    <w:rsid w:val="000F350E"/>
    <w:rsid w:val="00101A03"/>
    <w:rsid w:val="001206A7"/>
    <w:rsid w:val="001214CF"/>
    <w:rsid w:val="0012441E"/>
    <w:rsid w:val="001244C1"/>
    <w:rsid w:val="001256B6"/>
    <w:rsid w:val="00142984"/>
    <w:rsid w:val="00154E93"/>
    <w:rsid w:val="001569B1"/>
    <w:rsid w:val="00164E51"/>
    <w:rsid w:val="00171500"/>
    <w:rsid w:val="001771BA"/>
    <w:rsid w:val="00182BD3"/>
    <w:rsid w:val="001852F0"/>
    <w:rsid w:val="001903D6"/>
    <w:rsid w:val="001A23E4"/>
    <w:rsid w:val="001B3316"/>
    <w:rsid w:val="001B5741"/>
    <w:rsid w:val="001B7796"/>
    <w:rsid w:val="001C4CCD"/>
    <w:rsid w:val="001D424C"/>
    <w:rsid w:val="001F6E73"/>
    <w:rsid w:val="00200374"/>
    <w:rsid w:val="002015AA"/>
    <w:rsid w:val="00203F0E"/>
    <w:rsid w:val="002104FB"/>
    <w:rsid w:val="0022044F"/>
    <w:rsid w:val="0022560B"/>
    <w:rsid w:val="002402AD"/>
    <w:rsid w:val="00254556"/>
    <w:rsid w:val="00257D78"/>
    <w:rsid w:val="002606AA"/>
    <w:rsid w:val="002612C6"/>
    <w:rsid w:val="00265507"/>
    <w:rsid w:val="00271091"/>
    <w:rsid w:val="002815B2"/>
    <w:rsid w:val="00290361"/>
    <w:rsid w:val="00296D56"/>
    <w:rsid w:val="002A5FD9"/>
    <w:rsid w:val="002B2DB5"/>
    <w:rsid w:val="002B59ED"/>
    <w:rsid w:val="002B6A5E"/>
    <w:rsid w:val="002C1F99"/>
    <w:rsid w:val="002D095C"/>
    <w:rsid w:val="002D4836"/>
    <w:rsid w:val="002D6B80"/>
    <w:rsid w:val="002D7BAD"/>
    <w:rsid w:val="002F1EBE"/>
    <w:rsid w:val="00337259"/>
    <w:rsid w:val="00341830"/>
    <w:rsid w:val="00342D25"/>
    <w:rsid w:val="003442DA"/>
    <w:rsid w:val="00344443"/>
    <w:rsid w:val="0035058B"/>
    <w:rsid w:val="00351451"/>
    <w:rsid w:val="00351912"/>
    <w:rsid w:val="00360FEC"/>
    <w:rsid w:val="00371BDD"/>
    <w:rsid w:val="00373937"/>
    <w:rsid w:val="003924B5"/>
    <w:rsid w:val="003973DA"/>
    <w:rsid w:val="003A39D0"/>
    <w:rsid w:val="003A4564"/>
    <w:rsid w:val="003A52EB"/>
    <w:rsid w:val="003B41D2"/>
    <w:rsid w:val="003B6208"/>
    <w:rsid w:val="003B7947"/>
    <w:rsid w:val="003C3011"/>
    <w:rsid w:val="003D10DD"/>
    <w:rsid w:val="003D38B9"/>
    <w:rsid w:val="003E5C98"/>
    <w:rsid w:val="003F3D3E"/>
    <w:rsid w:val="003F5B5D"/>
    <w:rsid w:val="003F5FD7"/>
    <w:rsid w:val="003F655C"/>
    <w:rsid w:val="00406DE8"/>
    <w:rsid w:val="00413CF6"/>
    <w:rsid w:val="00414D98"/>
    <w:rsid w:val="00416018"/>
    <w:rsid w:val="004372F0"/>
    <w:rsid w:val="00441E8A"/>
    <w:rsid w:val="00444FD7"/>
    <w:rsid w:val="004531BA"/>
    <w:rsid w:val="00455178"/>
    <w:rsid w:val="00467250"/>
    <w:rsid w:val="004806DC"/>
    <w:rsid w:val="00482B0E"/>
    <w:rsid w:val="00483455"/>
    <w:rsid w:val="00484DE3"/>
    <w:rsid w:val="00485C5B"/>
    <w:rsid w:val="004905BB"/>
    <w:rsid w:val="004A7B15"/>
    <w:rsid w:val="004D1227"/>
    <w:rsid w:val="004D1CF6"/>
    <w:rsid w:val="004D3752"/>
    <w:rsid w:val="004D39E9"/>
    <w:rsid w:val="004E1012"/>
    <w:rsid w:val="004E39B3"/>
    <w:rsid w:val="004E5113"/>
    <w:rsid w:val="004F6D89"/>
    <w:rsid w:val="00500E29"/>
    <w:rsid w:val="00506895"/>
    <w:rsid w:val="0051352C"/>
    <w:rsid w:val="00524000"/>
    <w:rsid w:val="00530B52"/>
    <w:rsid w:val="00544890"/>
    <w:rsid w:val="0054708B"/>
    <w:rsid w:val="00547345"/>
    <w:rsid w:val="0055143B"/>
    <w:rsid w:val="00577FAF"/>
    <w:rsid w:val="005825BE"/>
    <w:rsid w:val="0058516C"/>
    <w:rsid w:val="00591706"/>
    <w:rsid w:val="005A1D34"/>
    <w:rsid w:val="005A21CE"/>
    <w:rsid w:val="005C0565"/>
    <w:rsid w:val="005C2C8E"/>
    <w:rsid w:val="005C390E"/>
    <w:rsid w:val="005C7556"/>
    <w:rsid w:val="005D1E1A"/>
    <w:rsid w:val="005D22F2"/>
    <w:rsid w:val="005D3988"/>
    <w:rsid w:val="005D6E0D"/>
    <w:rsid w:val="005E765E"/>
    <w:rsid w:val="005F2E7B"/>
    <w:rsid w:val="005F5DF1"/>
    <w:rsid w:val="005F6D80"/>
    <w:rsid w:val="00600452"/>
    <w:rsid w:val="006005A7"/>
    <w:rsid w:val="00602A3C"/>
    <w:rsid w:val="00603EBC"/>
    <w:rsid w:val="0061596F"/>
    <w:rsid w:val="00623842"/>
    <w:rsid w:val="00623DA3"/>
    <w:rsid w:val="006248EB"/>
    <w:rsid w:val="00640EF1"/>
    <w:rsid w:val="0064283B"/>
    <w:rsid w:val="00643F15"/>
    <w:rsid w:val="006441AF"/>
    <w:rsid w:val="00646802"/>
    <w:rsid w:val="00650977"/>
    <w:rsid w:val="00652C74"/>
    <w:rsid w:val="00664C0A"/>
    <w:rsid w:val="00680582"/>
    <w:rsid w:val="00686ACC"/>
    <w:rsid w:val="006A7E26"/>
    <w:rsid w:val="006C28A3"/>
    <w:rsid w:val="006C6CF4"/>
    <w:rsid w:val="006C7AE1"/>
    <w:rsid w:val="006D0B9E"/>
    <w:rsid w:val="006D1089"/>
    <w:rsid w:val="006E53AD"/>
    <w:rsid w:val="006F581B"/>
    <w:rsid w:val="006F6FDC"/>
    <w:rsid w:val="0070333B"/>
    <w:rsid w:val="00707EE1"/>
    <w:rsid w:val="00714136"/>
    <w:rsid w:val="00714E70"/>
    <w:rsid w:val="00714FFC"/>
    <w:rsid w:val="00742802"/>
    <w:rsid w:val="00750BBE"/>
    <w:rsid w:val="00750D01"/>
    <w:rsid w:val="007522BA"/>
    <w:rsid w:val="007574C4"/>
    <w:rsid w:val="0078128B"/>
    <w:rsid w:val="00786EA6"/>
    <w:rsid w:val="007960F3"/>
    <w:rsid w:val="007A4BFE"/>
    <w:rsid w:val="007B068A"/>
    <w:rsid w:val="007C39D4"/>
    <w:rsid w:val="007D7C71"/>
    <w:rsid w:val="00804097"/>
    <w:rsid w:val="00816CF6"/>
    <w:rsid w:val="0082015F"/>
    <w:rsid w:val="008328AD"/>
    <w:rsid w:val="00840B58"/>
    <w:rsid w:val="0085127A"/>
    <w:rsid w:val="008540F0"/>
    <w:rsid w:val="00860BD7"/>
    <w:rsid w:val="00860D25"/>
    <w:rsid w:val="0086371D"/>
    <w:rsid w:val="00870C89"/>
    <w:rsid w:val="00876298"/>
    <w:rsid w:val="00877130"/>
    <w:rsid w:val="00877792"/>
    <w:rsid w:val="00891C80"/>
    <w:rsid w:val="008A55EC"/>
    <w:rsid w:val="008A66AC"/>
    <w:rsid w:val="008B2904"/>
    <w:rsid w:val="008B7B47"/>
    <w:rsid w:val="008C382E"/>
    <w:rsid w:val="008C56D6"/>
    <w:rsid w:val="008D0F4B"/>
    <w:rsid w:val="008D69B5"/>
    <w:rsid w:val="008E29C5"/>
    <w:rsid w:val="008E321D"/>
    <w:rsid w:val="008F22E2"/>
    <w:rsid w:val="008F79DC"/>
    <w:rsid w:val="00915308"/>
    <w:rsid w:val="009354FD"/>
    <w:rsid w:val="009529C6"/>
    <w:rsid w:val="0095503B"/>
    <w:rsid w:val="00955EC2"/>
    <w:rsid w:val="009603E9"/>
    <w:rsid w:val="0096536C"/>
    <w:rsid w:val="009730E8"/>
    <w:rsid w:val="00973E56"/>
    <w:rsid w:val="0097608C"/>
    <w:rsid w:val="0098029F"/>
    <w:rsid w:val="0098139A"/>
    <w:rsid w:val="00981C53"/>
    <w:rsid w:val="00983B66"/>
    <w:rsid w:val="009879CF"/>
    <w:rsid w:val="009B5E6A"/>
    <w:rsid w:val="009B65EE"/>
    <w:rsid w:val="009C0047"/>
    <w:rsid w:val="009C7DA2"/>
    <w:rsid w:val="009D069C"/>
    <w:rsid w:val="009D16AE"/>
    <w:rsid w:val="009D6153"/>
    <w:rsid w:val="009E2182"/>
    <w:rsid w:val="009E5D69"/>
    <w:rsid w:val="009E7FCF"/>
    <w:rsid w:val="009F3727"/>
    <w:rsid w:val="00A05FF6"/>
    <w:rsid w:val="00A073A1"/>
    <w:rsid w:val="00A10A87"/>
    <w:rsid w:val="00A14E5E"/>
    <w:rsid w:val="00A151EC"/>
    <w:rsid w:val="00A15B5A"/>
    <w:rsid w:val="00A22DDC"/>
    <w:rsid w:val="00A2393B"/>
    <w:rsid w:val="00A2794D"/>
    <w:rsid w:val="00A27A12"/>
    <w:rsid w:val="00A4195F"/>
    <w:rsid w:val="00A52867"/>
    <w:rsid w:val="00A5646B"/>
    <w:rsid w:val="00A627BE"/>
    <w:rsid w:val="00A66A37"/>
    <w:rsid w:val="00A67DEA"/>
    <w:rsid w:val="00A71B97"/>
    <w:rsid w:val="00A81A86"/>
    <w:rsid w:val="00A97AEB"/>
    <w:rsid w:val="00AA1135"/>
    <w:rsid w:val="00AA1F68"/>
    <w:rsid w:val="00AA2236"/>
    <w:rsid w:val="00AA33A4"/>
    <w:rsid w:val="00AA4740"/>
    <w:rsid w:val="00AB011A"/>
    <w:rsid w:val="00AC1AB9"/>
    <w:rsid w:val="00AC4B7D"/>
    <w:rsid w:val="00AC5FC6"/>
    <w:rsid w:val="00AD2D5E"/>
    <w:rsid w:val="00AD7AD7"/>
    <w:rsid w:val="00AE2307"/>
    <w:rsid w:val="00AE56AC"/>
    <w:rsid w:val="00AF0B60"/>
    <w:rsid w:val="00B12979"/>
    <w:rsid w:val="00B20C5A"/>
    <w:rsid w:val="00B3177A"/>
    <w:rsid w:val="00B40EA6"/>
    <w:rsid w:val="00B44F83"/>
    <w:rsid w:val="00B7518D"/>
    <w:rsid w:val="00B85639"/>
    <w:rsid w:val="00B914E0"/>
    <w:rsid w:val="00B92F31"/>
    <w:rsid w:val="00B95927"/>
    <w:rsid w:val="00BD7526"/>
    <w:rsid w:val="00BE1E3B"/>
    <w:rsid w:val="00BE4344"/>
    <w:rsid w:val="00BF245B"/>
    <w:rsid w:val="00BF2814"/>
    <w:rsid w:val="00BF3E37"/>
    <w:rsid w:val="00BF5C6E"/>
    <w:rsid w:val="00BF7195"/>
    <w:rsid w:val="00C01E01"/>
    <w:rsid w:val="00C12B1B"/>
    <w:rsid w:val="00C12DF6"/>
    <w:rsid w:val="00C30F9D"/>
    <w:rsid w:val="00C42C46"/>
    <w:rsid w:val="00C44B7F"/>
    <w:rsid w:val="00C62D9C"/>
    <w:rsid w:val="00C65529"/>
    <w:rsid w:val="00C774D2"/>
    <w:rsid w:val="00C83F29"/>
    <w:rsid w:val="00C93AE9"/>
    <w:rsid w:val="00C95016"/>
    <w:rsid w:val="00C971CC"/>
    <w:rsid w:val="00CA654C"/>
    <w:rsid w:val="00CB1DE1"/>
    <w:rsid w:val="00CC07AD"/>
    <w:rsid w:val="00CD22AB"/>
    <w:rsid w:val="00CD61E9"/>
    <w:rsid w:val="00CD6873"/>
    <w:rsid w:val="00CD688F"/>
    <w:rsid w:val="00CE0D7F"/>
    <w:rsid w:val="00CE1ECE"/>
    <w:rsid w:val="00CE2DEE"/>
    <w:rsid w:val="00CE32A3"/>
    <w:rsid w:val="00CF222D"/>
    <w:rsid w:val="00D0476E"/>
    <w:rsid w:val="00D1154A"/>
    <w:rsid w:val="00D163FB"/>
    <w:rsid w:val="00D21C13"/>
    <w:rsid w:val="00D22D32"/>
    <w:rsid w:val="00D32273"/>
    <w:rsid w:val="00D32E3C"/>
    <w:rsid w:val="00D40453"/>
    <w:rsid w:val="00D46FE3"/>
    <w:rsid w:val="00D53797"/>
    <w:rsid w:val="00D560E9"/>
    <w:rsid w:val="00D6208E"/>
    <w:rsid w:val="00D652D6"/>
    <w:rsid w:val="00D77679"/>
    <w:rsid w:val="00D82617"/>
    <w:rsid w:val="00D914B0"/>
    <w:rsid w:val="00D941D5"/>
    <w:rsid w:val="00DA2272"/>
    <w:rsid w:val="00DA3CEF"/>
    <w:rsid w:val="00DA5124"/>
    <w:rsid w:val="00DA5E94"/>
    <w:rsid w:val="00DC01B1"/>
    <w:rsid w:val="00DC313C"/>
    <w:rsid w:val="00DC783C"/>
    <w:rsid w:val="00DE2C1F"/>
    <w:rsid w:val="00DF3813"/>
    <w:rsid w:val="00E14E3E"/>
    <w:rsid w:val="00E3397A"/>
    <w:rsid w:val="00E36DFE"/>
    <w:rsid w:val="00E45256"/>
    <w:rsid w:val="00E521E3"/>
    <w:rsid w:val="00E53584"/>
    <w:rsid w:val="00E60119"/>
    <w:rsid w:val="00E650CC"/>
    <w:rsid w:val="00E6615A"/>
    <w:rsid w:val="00E84852"/>
    <w:rsid w:val="00E86A3E"/>
    <w:rsid w:val="00E91A13"/>
    <w:rsid w:val="00E955BA"/>
    <w:rsid w:val="00E96793"/>
    <w:rsid w:val="00EA19CC"/>
    <w:rsid w:val="00EB3ED7"/>
    <w:rsid w:val="00EC06B5"/>
    <w:rsid w:val="00ED1739"/>
    <w:rsid w:val="00ED2618"/>
    <w:rsid w:val="00ED5597"/>
    <w:rsid w:val="00EE5688"/>
    <w:rsid w:val="00F130F5"/>
    <w:rsid w:val="00F275BD"/>
    <w:rsid w:val="00F35B5D"/>
    <w:rsid w:val="00F50208"/>
    <w:rsid w:val="00F5101C"/>
    <w:rsid w:val="00F5443B"/>
    <w:rsid w:val="00F571F0"/>
    <w:rsid w:val="00F605D2"/>
    <w:rsid w:val="00F610CE"/>
    <w:rsid w:val="00F64DD0"/>
    <w:rsid w:val="00F64E29"/>
    <w:rsid w:val="00F7348A"/>
    <w:rsid w:val="00F76DCF"/>
    <w:rsid w:val="00F81FCA"/>
    <w:rsid w:val="00F91050"/>
    <w:rsid w:val="00F94C5B"/>
    <w:rsid w:val="00FA4207"/>
    <w:rsid w:val="00FB772B"/>
    <w:rsid w:val="00FC2C82"/>
    <w:rsid w:val="00FC5D1E"/>
    <w:rsid w:val="00FE2F66"/>
    <w:rsid w:val="00FE5C1F"/>
    <w:rsid w:val="00FE699E"/>
    <w:rsid w:val="00FF3B05"/>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CB6BF3"/>
  <w15:chartTrackingRefBased/>
  <w15:docId w15:val="{BB2352BF-DEAE-489F-88C9-2FB895C983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A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606A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2606A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606A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606A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606A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606A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606A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606A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606A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606A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2606A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606A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606A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606A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606A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606A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606A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606AA"/>
    <w:rPr>
      <w:rFonts w:eastAsiaTheme="majorEastAsia" w:cstheme="majorBidi"/>
      <w:color w:val="272727" w:themeColor="text1" w:themeTint="D8"/>
    </w:rPr>
  </w:style>
  <w:style w:type="paragraph" w:styleId="Title">
    <w:name w:val="Title"/>
    <w:basedOn w:val="Normal"/>
    <w:next w:val="Normal"/>
    <w:link w:val="TitleChar"/>
    <w:uiPriority w:val="10"/>
    <w:qFormat/>
    <w:rsid w:val="002606A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606A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606A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606A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606AA"/>
    <w:pPr>
      <w:spacing w:before="160"/>
      <w:jc w:val="center"/>
    </w:pPr>
    <w:rPr>
      <w:i/>
      <w:iCs/>
      <w:color w:val="404040" w:themeColor="text1" w:themeTint="BF"/>
    </w:rPr>
  </w:style>
  <w:style w:type="character" w:customStyle="1" w:styleId="QuoteChar">
    <w:name w:val="Quote Char"/>
    <w:basedOn w:val="DefaultParagraphFont"/>
    <w:link w:val="Quote"/>
    <w:uiPriority w:val="29"/>
    <w:rsid w:val="002606AA"/>
    <w:rPr>
      <w:i/>
      <w:iCs/>
      <w:color w:val="404040" w:themeColor="text1" w:themeTint="BF"/>
    </w:rPr>
  </w:style>
  <w:style w:type="paragraph" w:styleId="ListParagraph">
    <w:name w:val="List Paragraph"/>
    <w:basedOn w:val="Normal"/>
    <w:uiPriority w:val="34"/>
    <w:qFormat/>
    <w:rsid w:val="002606AA"/>
    <w:pPr>
      <w:ind w:left="720"/>
      <w:contextualSpacing/>
    </w:pPr>
  </w:style>
  <w:style w:type="character" w:styleId="IntenseEmphasis">
    <w:name w:val="Intense Emphasis"/>
    <w:basedOn w:val="DefaultParagraphFont"/>
    <w:uiPriority w:val="21"/>
    <w:qFormat/>
    <w:rsid w:val="002606AA"/>
    <w:rPr>
      <w:i/>
      <w:iCs/>
      <w:color w:val="2F5496" w:themeColor="accent1" w:themeShade="BF"/>
    </w:rPr>
  </w:style>
  <w:style w:type="paragraph" w:styleId="IntenseQuote">
    <w:name w:val="Intense Quote"/>
    <w:basedOn w:val="Normal"/>
    <w:next w:val="Normal"/>
    <w:link w:val="IntenseQuoteChar"/>
    <w:uiPriority w:val="30"/>
    <w:qFormat/>
    <w:rsid w:val="002606A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606AA"/>
    <w:rPr>
      <w:i/>
      <w:iCs/>
      <w:color w:val="2F5496" w:themeColor="accent1" w:themeShade="BF"/>
    </w:rPr>
  </w:style>
  <w:style w:type="character" w:styleId="IntenseReference">
    <w:name w:val="Intense Reference"/>
    <w:basedOn w:val="DefaultParagraphFont"/>
    <w:uiPriority w:val="32"/>
    <w:qFormat/>
    <w:rsid w:val="002606AA"/>
    <w:rPr>
      <w:b/>
      <w:bCs/>
      <w:smallCaps/>
      <w:color w:val="2F5496" w:themeColor="accent1" w:themeShade="BF"/>
      <w:spacing w:val="5"/>
    </w:rPr>
  </w:style>
  <w:style w:type="table" w:styleId="TableGrid">
    <w:name w:val="Table Grid"/>
    <w:basedOn w:val="TableNormal"/>
    <w:uiPriority w:val="39"/>
    <w:rsid w:val="002606A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5D3988"/>
    <w:rPr>
      <w:color w:val="0563C1" w:themeColor="hyperlink"/>
      <w:u w:val="single"/>
    </w:rPr>
  </w:style>
  <w:style w:type="character" w:styleId="UnresolvedMention">
    <w:name w:val="Unresolved Mention"/>
    <w:basedOn w:val="DefaultParagraphFont"/>
    <w:uiPriority w:val="99"/>
    <w:semiHidden/>
    <w:unhideWhenUsed/>
    <w:rsid w:val="005D3988"/>
    <w:rPr>
      <w:color w:val="605E5C"/>
      <w:shd w:val="clear" w:color="auto" w:fill="E1DFDD"/>
    </w:rPr>
  </w:style>
  <w:style w:type="character" w:styleId="FollowedHyperlink">
    <w:name w:val="FollowedHyperlink"/>
    <w:basedOn w:val="DefaultParagraphFont"/>
    <w:uiPriority w:val="99"/>
    <w:semiHidden/>
    <w:unhideWhenUsed/>
    <w:rsid w:val="000209E0"/>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6511589">
      <w:bodyDiv w:val="1"/>
      <w:marLeft w:val="0"/>
      <w:marRight w:val="0"/>
      <w:marTop w:val="0"/>
      <w:marBottom w:val="0"/>
      <w:divBdr>
        <w:top w:val="none" w:sz="0" w:space="0" w:color="auto"/>
        <w:left w:val="none" w:sz="0" w:space="0" w:color="auto"/>
        <w:bottom w:val="none" w:sz="0" w:space="0" w:color="auto"/>
        <w:right w:val="none" w:sz="0" w:space="0" w:color="auto"/>
      </w:divBdr>
    </w:div>
    <w:div w:id="1436901116">
      <w:bodyDiv w:val="1"/>
      <w:marLeft w:val="0"/>
      <w:marRight w:val="0"/>
      <w:marTop w:val="0"/>
      <w:marBottom w:val="0"/>
      <w:divBdr>
        <w:top w:val="none" w:sz="0" w:space="0" w:color="auto"/>
        <w:left w:val="none" w:sz="0" w:space="0" w:color="auto"/>
        <w:bottom w:val="none" w:sz="0" w:space="0" w:color="auto"/>
        <w:right w:val="none" w:sz="0" w:space="0" w:color="auto"/>
      </w:divBdr>
    </w:div>
    <w:div w:id="1686402217">
      <w:bodyDiv w:val="1"/>
      <w:marLeft w:val="0"/>
      <w:marRight w:val="0"/>
      <w:marTop w:val="0"/>
      <w:marBottom w:val="0"/>
      <w:divBdr>
        <w:top w:val="none" w:sz="0" w:space="0" w:color="auto"/>
        <w:left w:val="none" w:sz="0" w:space="0" w:color="auto"/>
        <w:bottom w:val="none" w:sz="0" w:space="0" w:color="auto"/>
        <w:right w:val="none" w:sz="0" w:space="0" w:color="auto"/>
      </w:divBdr>
    </w:div>
    <w:div w:id="19192441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1100</Words>
  <Characters>6272</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Marie Hadley</dc:creator>
  <cp:keywords/>
  <dc:description/>
  <cp:lastModifiedBy>Marie Hadley</cp:lastModifiedBy>
  <cp:revision>3</cp:revision>
  <dcterms:created xsi:type="dcterms:W3CDTF">2026-08-17T09:26:00Z</dcterms:created>
  <dcterms:modified xsi:type="dcterms:W3CDTF">2026-08-17T09:27:00Z</dcterms:modified>
</cp:coreProperties>
</file>