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A2B7" w14:textId="77777777" w:rsidR="00F27DAC" w:rsidRDefault="00F27DAC" w:rsidP="00F27DAC">
      <w:pPr>
        <w:rPr>
          <w:lang w:val="en-US"/>
        </w:rPr>
      </w:pPr>
    </w:p>
    <w:p w14:paraId="2C12FFA7" w14:textId="77777777" w:rsidR="00F27DAC" w:rsidRPr="00DF13E5" w:rsidRDefault="00F27DAC" w:rsidP="00F27DAC">
      <w:pPr>
        <w:pStyle w:val="Heading1"/>
        <w:pBdr>
          <w:bottom w:val="single" w:sz="4" w:space="1" w:color="auto"/>
        </w:pBdr>
        <w:rPr>
          <w:rFonts w:cs="Times New Roman"/>
          <w:b w:val="0"/>
          <w:bCs/>
          <w:sz w:val="32"/>
        </w:rPr>
      </w:pPr>
      <w:r w:rsidRPr="00DF13E5">
        <w:rPr>
          <w:rFonts w:cs="Times New Roman"/>
          <w:bCs/>
          <w:sz w:val="32"/>
        </w:rPr>
        <w:t>THE HIGH COURT’S REJECTION OF ‘INSTRUMENTAL’ PUBLICATION: THE POST-DEFTEROS ERA</w:t>
      </w:r>
    </w:p>
    <w:p w14:paraId="6FE673D8" w14:textId="77777777" w:rsidR="00F27DAC" w:rsidRPr="00DF13E5" w:rsidRDefault="00F27DAC" w:rsidP="00F27DAC">
      <w:pPr>
        <w:rPr>
          <w:rFonts w:ascii="Times New Roman" w:hAnsi="Times New Roman" w:cs="Times New Roman"/>
          <w:b/>
          <w:bCs/>
        </w:rPr>
      </w:pPr>
      <w:r w:rsidRPr="00DF13E5">
        <w:rPr>
          <w:rFonts w:ascii="Times New Roman" w:hAnsi="Times New Roman" w:cs="Times New Roman"/>
          <w:b/>
          <w:bCs/>
        </w:rPr>
        <w:t xml:space="preserve">Introduction </w:t>
      </w:r>
    </w:p>
    <w:p w14:paraId="76F71EED"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The High Court of Australia’s decision in the case of </w:t>
      </w:r>
      <w:r w:rsidRPr="00DF13E5">
        <w:rPr>
          <w:rFonts w:ascii="Times New Roman" w:hAnsi="Times New Roman" w:cs="Times New Roman"/>
          <w:i/>
          <w:iCs/>
        </w:rPr>
        <w:t xml:space="preserve">Google LLC v Defteros </w:t>
      </w:r>
      <w:r w:rsidRPr="00DF13E5">
        <w:rPr>
          <w:rFonts w:ascii="Times New Roman" w:hAnsi="Times New Roman" w:cs="Times New Roman"/>
        </w:rPr>
        <w:t xml:space="preserve">[2022] HCA 27 is a pivotal moment in the governance of online speech in Australia, specifically concerning the doctrine of publication in relation to search engines. The High Court, in a 5-2 majority, overturned the previous rulings from the Supreme Court of Victoria and determined that Google was not a “publisher” of a defamatory article to which its search results linked to. This judgement represents a significant shift in relation to legal interpretation, moving from a broad “instrumentalist” approach towards a narrower and limited “apathetic conception” of their role. </w:t>
      </w:r>
    </w:p>
    <w:p w14:paraId="016A54E0"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This decision made by the High Court demonstrates stark contrast to the court’s decision in </w:t>
      </w:r>
      <w:r w:rsidRPr="00DF13E5">
        <w:rPr>
          <w:rFonts w:ascii="Times New Roman" w:hAnsi="Times New Roman" w:cs="Times New Roman"/>
          <w:i/>
          <w:iCs/>
        </w:rPr>
        <w:t xml:space="preserve">Fairfax Media Publications Pty Ltd v Voller </w:t>
      </w:r>
      <w:r w:rsidRPr="00DF13E5">
        <w:rPr>
          <w:rFonts w:ascii="Times New Roman" w:hAnsi="Times New Roman" w:cs="Times New Roman"/>
        </w:rPr>
        <w:t xml:space="preserve">[2021] HCA 27, in which the media companies were found to be publishers of third-party comments on their Facebook pages because they were seen as “facilitating, encouraging, and assisting” the publication of that content. In the case of </w:t>
      </w:r>
      <w:r w:rsidRPr="00DF13E5">
        <w:rPr>
          <w:rFonts w:ascii="Times New Roman" w:hAnsi="Times New Roman" w:cs="Times New Roman"/>
          <w:i/>
          <w:iCs/>
        </w:rPr>
        <w:t xml:space="preserve">Defteros, </w:t>
      </w:r>
      <w:r w:rsidRPr="00DF13E5">
        <w:rPr>
          <w:rFonts w:ascii="Times New Roman" w:hAnsi="Times New Roman" w:cs="Times New Roman"/>
        </w:rPr>
        <w:t xml:space="preserve">the High Court decided that the holding that a search results has is merely a “facilitating tool” that provides access to information, instead of a direct participation in its publication. </w:t>
      </w:r>
    </w:p>
    <w:p w14:paraId="6746C2B4"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While the decision provides necessary clarity for digital platform, it also raised questions regarding the existing common law of defamation and its adequacy to address unique forms of harm developing in the digital environment. </w:t>
      </w:r>
    </w:p>
    <w:p w14:paraId="20A86F7A" w14:textId="77777777" w:rsidR="00F27DAC" w:rsidRPr="00DF13E5" w:rsidRDefault="00F27DAC" w:rsidP="00F27DAC">
      <w:pPr>
        <w:rPr>
          <w:rFonts w:ascii="Times New Roman" w:hAnsi="Times New Roman" w:cs="Times New Roman"/>
        </w:rPr>
      </w:pPr>
    </w:p>
    <w:p w14:paraId="78C95277" w14:textId="77777777" w:rsidR="00F27DAC" w:rsidRPr="00DF13E5" w:rsidRDefault="00F27DAC" w:rsidP="00F27DAC">
      <w:pPr>
        <w:rPr>
          <w:rFonts w:ascii="Times New Roman" w:hAnsi="Times New Roman" w:cs="Times New Roman"/>
          <w:b/>
          <w:bCs/>
        </w:rPr>
      </w:pPr>
      <w:r w:rsidRPr="00DF13E5">
        <w:rPr>
          <w:rFonts w:ascii="Times New Roman" w:hAnsi="Times New Roman" w:cs="Times New Roman"/>
          <w:b/>
          <w:bCs/>
        </w:rPr>
        <w:t>The doctrine of publication, it’s re-evaluation</w:t>
      </w:r>
    </w:p>
    <w:p w14:paraId="5E6D9371"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The common law tort of defamation requires the plaintiff to prove three elements: </w:t>
      </w:r>
    </w:p>
    <w:p w14:paraId="2CBE4BC4" w14:textId="77777777" w:rsidR="00F27DAC" w:rsidRPr="00DF13E5" w:rsidRDefault="00F27DAC" w:rsidP="00F27DAC">
      <w:pPr>
        <w:pStyle w:val="ListParagraph"/>
        <w:numPr>
          <w:ilvl w:val="0"/>
          <w:numId w:val="1"/>
        </w:numPr>
        <w:rPr>
          <w:rFonts w:cs="Times New Roman"/>
        </w:rPr>
      </w:pPr>
      <w:r w:rsidRPr="00DF13E5">
        <w:rPr>
          <w:rFonts w:cs="Times New Roman"/>
        </w:rPr>
        <w:t>The material must be defamatory;</w:t>
      </w:r>
    </w:p>
    <w:p w14:paraId="1B6D5F65" w14:textId="77777777" w:rsidR="00F27DAC" w:rsidRPr="00DF13E5" w:rsidRDefault="00F27DAC" w:rsidP="00F27DAC">
      <w:pPr>
        <w:pStyle w:val="ListParagraph"/>
        <w:numPr>
          <w:ilvl w:val="0"/>
          <w:numId w:val="1"/>
        </w:numPr>
        <w:rPr>
          <w:rFonts w:cs="Times New Roman"/>
        </w:rPr>
      </w:pPr>
      <w:r w:rsidRPr="00DF13E5">
        <w:rPr>
          <w:rFonts w:cs="Times New Roman"/>
        </w:rPr>
        <w:t xml:space="preserve">The plaintiff must be identified; and </w:t>
      </w:r>
    </w:p>
    <w:p w14:paraId="4DF15A37" w14:textId="77777777" w:rsidR="00F27DAC" w:rsidRPr="00960CDD" w:rsidRDefault="00F27DAC" w:rsidP="00F27DAC">
      <w:pPr>
        <w:pStyle w:val="ListParagraph"/>
        <w:numPr>
          <w:ilvl w:val="0"/>
          <w:numId w:val="1"/>
        </w:numPr>
        <w:rPr>
          <w:rFonts w:cs="Times New Roman"/>
        </w:rPr>
      </w:pPr>
      <w:r w:rsidRPr="00DF13E5">
        <w:rPr>
          <w:rFonts w:cs="Times New Roman"/>
        </w:rPr>
        <w:t>It must be published.</w:t>
      </w:r>
    </w:p>
    <w:p w14:paraId="3F1ED67C" w14:textId="77777777" w:rsidR="00F27DAC" w:rsidRPr="00DF13E5" w:rsidRDefault="00F27DAC" w:rsidP="00F27DAC">
      <w:pPr>
        <w:spacing w:before="240"/>
        <w:rPr>
          <w:rFonts w:ascii="Times New Roman" w:hAnsi="Times New Roman" w:cs="Times New Roman"/>
        </w:rPr>
      </w:pPr>
      <w:r w:rsidRPr="00DF13E5">
        <w:rPr>
          <w:rFonts w:ascii="Times New Roman" w:hAnsi="Times New Roman" w:cs="Times New Roman"/>
        </w:rPr>
        <w:t xml:space="preserve">The decision in </w:t>
      </w:r>
      <w:r w:rsidRPr="00DF13E5">
        <w:rPr>
          <w:rFonts w:ascii="Times New Roman" w:hAnsi="Times New Roman" w:cs="Times New Roman"/>
          <w:i/>
          <w:iCs/>
        </w:rPr>
        <w:t xml:space="preserve">Defteros </w:t>
      </w:r>
      <w:r w:rsidRPr="00DF13E5">
        <w:rPr>
          <w:rFonts w:ascii="Times New Roman" w:hAnsi="Times New Roman" w:cs="Times New Roman"/>
        </w:rPr>
        <w:t xml:space="preserve">centred on the element of ‘publication’, finding that Google’s conduct did not constitute the act of publication. </w:t>
      </w:r>
    </w:p>
    <w:p w14:paraId="1D17191B"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While the Victorian Court of Appeal had adopted a broad, “instrumentalist” view – holding that the provision of a hyperlink was an act that “lent assistance to the publication” of the underlying article – the High Court rejected this reasoning. The majority, in a series of judgments, concluded that the act of providing a hyperlink is a fundamentally different function from the act of publishing content. As Chief Justice Kiefel and Justice Gleeson articulated, a hyperlink is merely a </w:t>
      </w:r>
      <w:r w:rsidRPr="00DF13E5">
        <w:rPr>
          <w:rFonts w:ascii="Times New Roman" w:hAnsi="Times New Roman" w:cs="Times New Roman"/>
          <w:i/>
          <w:iCs/>
        </w:rPr>
        <w:t>“content-neutral”</w:t>
      </w:r>
      <w:r w:rsidRPr="00DF13E5">
        <w:rPr>
          <w:rFonts w:ascii="Times New Roman" w:hAnsi="Times New Roman" w:cs="Times New Roman"/>
        </w:rPr>
        <w:t xml:space="preserve"> reference that directs a user to a separate webpage.</w:t>
      </w:r>
      <w:r w:rsidRPr="00DF13E5">
        <w:rPr>
          <w:rStyle w:val="FootnoteReference"/>
          <w:rFonts w:ascii="Times New Roman" w:hAnsi="Times New Roman" w:cs="Times New Roman"/>
        </w:rPr>
        <w:footnoteReference w:id="1"/>
      </w:r>
    </w:p>
    <w:p w14:paraId="1A2AF448"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The High Court demonstrated a legal distinction between participating in a defamatory communication and a merely facilitating access to it. The majority held that Google was a passive tool, not an active participant in the bilateral process of communication. The search engine’s algorithms simply identified and ranked content that had already existed on the internet in response to the user’s query. The act was analogous to a librarian giving a list of books on a particular topic – the librarian is not responsible for the contents of the books, nor do they “publish” the books by providing </w:t>
      </w:r>
      <w:r w:rsidRPr="00DF13E5">
        <w:rPr>
          <w:rFonts w:ascii="Times New Roman" w:hAnsi="Times New Roman" w:cs="Times New Roman"/>
        </w:rPr>
        <w:lastRenderedPageBreak/>
        <w:t xml:space="preserve">the list. The responsibility remains with the original author and primary publisher. The defamatory content was not made available for comprehension by Google’s act alone; it required the subsequent and independent action of a user clicking the link to access the material. The legal reasoning was fortified by the Canadian Supreme Court’s decision in </w:t>
      </w:r>
      <w:r w:rsidRPr="00DF13E5">
        <w:rPr>
          <w:rFonts w:ascii="Times New Roman" w:hAnsi="Times New Roman" w:cs="Times New Roman"/>
          <w:i/>
          <w:iCs/>
        </w:rPr>
        <w:t xml:space="preserve">Crookes v Newton </w:t>
      </w:r>
      <w:r w:rsidRPr="00DF13E5">
        <w:rPr>
          <w:rFonts w:ascii="Times New Roman" w:hAnsi="Times New Roman" w:cs="Times New Roman"/>
        </w:rPr>
        <w:t>[2011] 3 SCR 269. It held that a hyperlink does not, in itself, constitutes publication.</w:t>
      </w:r>
      <w:r w:rsidRPr="00DF13E5">
        <w:rPr>
          <w:rStyle w:val="FootnoteReference"/>
          <w:rFonts w:ascii="Times New Roman" w:hAnsi="Times New Roman" w:cs="Times New Roman"/>
        </w:rPr>
        <w:footnoteReference w:id="2"/>
      </w:r>
    </w:p>
    <w:p w14:paraId="7CEA2EF7" w14:textId="77777777" w:rsidR="00F27DAC" w:rsidRPr="00DF13E5" w:rsidRDefault="00F27DAC" w:rsidP="00F27DAC">
      <w:pPr>
        <w:rPr>
          <w:rFonts w:ascii="Times New Roman" w:hAnsi="Times New Roman" w:cs="Times New Roman"/>
          <w:b/>
          <w:bCs/>
        </w:rPr>
      </w:pPr>
    </w:p>
    <w:p w14:paraId="3F18BE81" w14:textId="77777777" w:rsidR="00F27DAC" w:rsidRPr="00DF13E5" w:rsidRDefault="00F27DAC" w:rsidP="00F27DAC">
      <w:pPr>
        <w:rPr>
          <w:rFonts w:ascii="Times New Roman" w:hAnsi="Times New Roman" w:cs="Times New Roman"/>
          <w:i/>
          <w:iCs/>
        </w:rPr>
      </w:pPr>
      <w:r w:rsidRPr="00DF13E5">
        <w:rPr>
          <w:rFonts w:ascii="Times New Roman" w:hAnsi="Times New Roman" w:cs="Times New Roman"/>
          <w:b/>
          <w:bCs/>
        </w:rPr>
        <w:t xml:space="preserve">Distinguishing </w:t>
      </w:r>
      <w:r w:rsidRPr="00DF13E5">
        <w:rPr>
          <w:rFonts w:ascii="Times New Roman" w:hAnsi="Times New Roman" w:cs="Times New Roman"/>
          <w:b/>
          <w:bCs/>
          <w:i/>
          <w:iCs/>
        </w:rPr>
        <w:t xml:space="preserve">Defteros </w:t>
      </w:r>
      <w:r w:rsidRPr="00DF13E5">
        <w:rPr>
          <w:rFonts w:ascii="Times New Roman" w:hAnsi="Times New Roman" w:cs="Times New Roman"/>
          <w:b/>
          <w:bCs/>
        </w:rPr>
        <w:t xml:space="preserve">from </w:t>
      </w:r>
      <w:r w:rsidRPr="00DF13E5">
        <w:rPr>
          <w:rFonts w:ascii="Times New Roman" w:hAnsi="Times New Roman" w:cs="Times New Roman"/>
          <w:b/>
          <w:bCs/>
          <w:i/>
          <w:iCs/>
        </w:rPr>
        <w:t xml:space="preserve">Voller </w:t>
      </w:r>
    </w:p>
    <w:p w14:paraId="33512F9C"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High Court’s decision in </w:t>
      </w:r>
      <w:r w:rsidRPr="00482A16">
        <w:rPr>
          <w:rFonts w:ascii="Times New Roman" w:hAnsi="Times New Roman" w:cs="Times New Roman"/>
          <w:i/>
          <w:iCs/>
        </w:rPr>
        <w:t>Google v Defteros</w:t>
      </w:r>
      <w:r w:rsidRPr="00DF13E5">
        <w:rPr>
          <w:rFonts w:ascii="Times New Roman" w:hAnsi="Times New Roman" w:cs="Times New Roman"/>
          <w:b/>
          <w:bCs/>
          <w:i/>
          <w:iCs/>
        </w:rPr>
        <w:t xml:space="preserve"> </w:t>
      </w:r>
      <w:r w:rsidRPr="00DF13E5">
        <w:rPr>
          <w:rFonts w:ascii="Times New Roman" w:hAnsi="Times New Roman" w:cs="Times New Roman"/>
        </w:rPr>
        <w:t xml:space="preserve">is best understood in light of its preceding judgement in </w:t>
      </w:r>
      <w:r w:rsidRPr="00482A16">
        <w:rPr>
          <w:rFonts w:ascii="Times New Roman" w:hAnsi="Times New Roman" w:cs="Times New Roman"/>
          <w:i/>
          <w:iCs/>
        </w:rPr>
        <w:t xml:space="preserve">Fairfax Media Publications Pty Ltd v Voller </w:t>
      </w:r>
      <w:r w:rsidRPr="00482A16">
        <w:rPr>
          <w:rFonts w:ascii="Times New Roman" w:hAnsi="Times New Roman" w:cs="Times New Roman"/>
        </w:rPr>
        <w:t>[2021] HCA 27.</w:t>
      </w:r>
      <w:r w:rsidRPr="00DF13E5">
        <w:rPr>
          <w:rFonts w:ascii="Times New Roman" w:hAnsi="Times New Roman" w:cs="Times New Roman"/>
          <w:b/>
          <w:bCs/>
        </w:rPr>
        <w:t xml:space="preserve"> </w:t>
      </w:r>
      <w:r w:rsidRPr="00DF13E5">
        <w:rPr>
          <w:rFonts w:ascii="Times New Roman" w:hAnsi="Times New Roman" w:cs="Times New Roman"/>
        </w:rPr>
        <w:t xml:space="preserve">It is important to distinguish between the two cases and their legal precedents. </w:t>
      </w:r>
    </w:p>
    <w:p w14:paraId="4C9C37DB"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In </w:t>
      </w:r>
      <w:r w:rsidRPr="00DF13E5">
        <w:rPr>
          <w:rFonts w:ascii="Times New Roman" w:hAnsi="Times New Roman" w:cs="Times New Roman"/>
          <w:i/>
          <w:iCs/>
        </w:rPr>
        <w:t xml:space="preserve">Voller, </w:t>
      </w:r>
      <w:r w:rsidRPr="00DF13E5">
        <w:rPr>
          <w:rFonts w:ascii="Times New Roman" w:hAnsi="Times New Roman" w:cs="Times New Roman"/>
        </w:rPr>
        <w:t>the High Court found that media companies were “publishers” of defamatory third-party comments on their Facebook pages and profiles. The court’s reasoning was that creating and maintaining a public forum for discussion and encouraging comments, the media companies have “</w:t>
      </w:r>
      <w:r w:rsidRPr="00DF13E5">
        <w:rPr>
          <w:rFonts w:ascii="Times New Roman" w:hAnsi="Times New Roman" w:cs="Times New Roman"/>
          <w:i/>
          <w:iCs/>
        </w:rPr>
        <w:t>facilitated, encourages, and thereby assisted”</w:t>
      </w:r>
      <w:r w:rsidRPr="00DF13E5">
        <w:rPr>
          <w:rStyle w:val="FootnoteReference"/>
          <w:rFonts w:ascii="Times New Roman" w:hAnsi="Times New Roman" w:cs="Times New Roman"/>
          <w:i/>
          <w:iCs/>
        </w:rPr>
        <w:footnoteReference w:id="3"/>
      </w:r>
      <w:r w:rsidRPr="00DF13E5">
        <w:rPr>
          <w:rFonts w:ascii="Times New Roman" w:hAnsi="Times New Roman" w:cs="Times New Roman"/>
        </w:rPr>
        <w:t xml:space="preserve"> the publication of the comments.</w:t>
      </w:r>
      <w:r w:rsidRPr="00DF13E5">
        <w:rPr>
          <w:rFonts w:ascii="Times New Roman" w:hAnsi="Times New Roman" w:cs="Times New Roman"/>
          <w:b/>
          <w:bCs/>
          <w:i/>
          <w:iCs/>
        </w:rPr>
        <w:t xml:space="preserve"> </w:t>
      </w:r>
      <w:r w:rsidRPr="00DF13E5">
        <w:rPr>
          <w:rFonts w:ascii="Times New Roman" w:hAnsi="Times New Roman" w:cs="Times New Roman"/>
        </w:rPr>
        <w:t xml:space="preserve">This was determined to be a voluntary act of participation in the communication of defamatory material. </w:t>
      </w:r>
    </w:p>
    <w:p w14:paraId="2017B1A4"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In </w:t>
      </w:r>
      <w:r w:rsidRPr="00DF13E5">
        <w:rPr>
          <w:rFonts w:ascii="Times New Roman" w:hAnsi="Times New Roman" w:cs="Times New Roman"/>
          <w:i/>
          <w:iCs/>
        </w:rPr>
        <w:t xml:space="preserve">Defteros, </w:t>
      </w:r>
      <w:r w:rsidRPr="00DF13E5">
        <w:rPr>
          <w:rFonts w:ascii="Times New Roman" w:hAnsi="Times New Roman" w:cs="Times New Roman"/>
        </w:rPr>
        <w:t xml:space="preserve">Google’s search engine was an automated system designed to index the entire web. Its function was to provide a list of search results in response to a user-initiated query. The Court found that it was not a deliberate act of encouragement or enticement of any specific defamatory content. </w:t>
      </w:r>
    </w:p>
    <w:p w14:paraId="48069554"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The juxtaposition clarifies the High Court’s approach in which the key lies in the level of control and intentionality. In the case of </w:t>
      </w:r>
      <w:r w:rsidRPr="00DF13E5">
        <w:rPr>
          <w:rFonts w:ascii="Times New Roman" w:hAnsi="Times New Roman" w:cs="Times New Roman"/>
          <w:i/>
          <w:iCs/>
        </w:rPr>
        <w:t xml:space="preserve">Voller </w:t>
      </w:r>
      <w:r w:rsidRPr="00DF13E5">
        <w:rPr>
          <w:rFonts w:ascii="Times New Roman" w:hAnsi="Times New Roman" w:cs="Times New Roman"/>
        </w:rPr>
        <w:t xml:space="preserve">the act of setting up and operating the Facebook page was direct and intentional acts to facilitate communication. Whereas in </w:t>
      </w:r>
      <w:r w:rsidRPr="00DF13E5">
        <w:rPr>
          <w:rFonts w:ascii="Times New Roman" w:hAnsi="Times New Roman" w:cs="Times New Roman"/>
          <w:i/>
          <w:iCs/>
        </w:rPr>
        <w:t xml:space="preserve">Defteros </w:t>
      </w:r>
      <w:r w:rsidRPr="00DF13E5">
        <w:rPr>
          <w:rFonts w:ascii="Times New Roman" w:hAnsi="Times New Roman" w:cs="Times New Roman"/>
        </w:rPr>
        <w:t xml:space="preserve">providing a hyperlink was viewed as a passive and automated process that merely provides information about the existence and location on content, published elsewhere on the internet. </w:t>
      </w:r>
    </w:p>
    <w:p w14:paraId="3F9B8C8F"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The High Court concluded that where an entity creates a platform for user-generated content and exercises some form of control over it, they are more likely to be considered a publisher. Where the entity's role is merely to provide a reference or a tool to locate pre-existing content, liability for publication is unlikely to attach.</w:t>
      </w:r>
      <w:r w:rsidRPr="00DF13E5">
        <w:rPr>
          <w:rStyle w:val="FootnoteReference"/>
          <w:rFonts w:ascii="Times New Roman" w:hAnsi="Times New Roman" w:cs="Times New Roman"/>
        </w:rPr>
        <w:footnoteReference w:id="4"/>
      </w:r>
    </w:p>
    <w:p w14:paraId="4D6C2A02" w14:textId="77777777" w:rsidR="00F27DAC" w:rsidRPr="00DF13E5" w:rsidRDefault="00F27DAC" w:rsidP="00F27DAC">
      <w:pPr>
        <w:rPr>
          <w:rFonts w:ascii="Times New Roman" w:hAnsi="Times New Roman" w:cs="Times New Roman"/>
          <w:b/>
          <w:bCs/>
        </w:rPr>
      </w:pPr>
    </w:p>
    <w:p w14:paraId="49946352" w14:textId="77777777" w:rsidR="00F27DAC" w:rsidRPr="00DF13E5" w:rsidRDefault="00F27DAC" w:rsidP="00F27DAC">
      <w:pPr>
        <w:rPr>
          <w:rFonts w:ascii="Times New Roman" w:hAnsi="Times New Roman" w:cs="Times New Roman"/>
          <w:b/>
          <w:bCs/>
        </w:rPr>
      </w:pPr>
      <w:r w:rsidRPr="00DF13E5">
        <w:rPr>
          <w:rFonts w:ascii="Times New Roman" w:hAnsi="Times New Roman" w:cs="Times New Roman"/>
          <w:b/>
          <w:bCs/>
        </w:rPr>
        <w:t xml:space="preserve">Ongoing Implications </w:t>
      </w:r>
    </w:p>
    <w:p w14:paraId="5CB31D66"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The decision in </w:t>
      </w:r>
      <w:r w:rsidRPr="00DF13E5">
        <w:rPr>
          <w:rFonts w:ascii="Times New Roman" w:hAnsi="Times New Roman" w:cs="Times New Roman"/>
          <w:i/>
          <w:iCs/>
        </w:rPr>
        <w:t xml:space="preserve">Defteros </w:t>
      </w:r>
      <w:r w:rsidRPr="00DF13E5">
        <w:rPr>
          <w:rFonts w:ascii="Times New Roman" w:hAnsi="Times New Roman" w:cs="Times New Roman"/>
        </w:rPr>
        <w:t>applies specifically to “organic” search and does not provide a definitive answer on liability for other forms of content such as defamatory snippets that appear directly in search results or sponsored links.</w:t>
      </w:r>
      <w:r w:rsidRPr="00DF13E5">
        <w:rPr>
          <w:rStyle w:val="FootnoteReference"/>
          <w:rFonts w:ascii="Times New Roman" w:hAnsi="Times New Roman" w:cs="Times New Roman"/>
        </w:rPr>
        <w:footnoteReference w:id="5"/>
      </w:r>
      <w:r w:rsidRPr="00DF13E5">
        <w:rPr>
          <w:rFonts w:ascii="Times New Roman" w:hAnsi="Times New Roman" w:cs="Times New Roman"/>
        </w:rPr>
        <w:t xml:space="preserve"> Commentators have noted, the context and nature of a search result could still be critical.</w:t>
      </w:r>
      <w:r w:rsidRPr="00DF13E5">
        <w:rPr>
          <w:rStyle w:val="FootnoteReference"/>
          <w:rFonts w:ascii="Times New Roman" w:hAnsi="Times New Roman" w:cs="Times New Roman"/>
        </w:rPr>
        <w:footnoteReference w:id="6"/>
      </w:r>
      <w:r w:rsidRPr="00DF13E5">
        <w:rPr>
          <w:rFonts w:ascii="Times New Roman" w:hAnsi="Times New Roman" w:cs="Times New Roman"/>
        </w:rPr>
        <w:t xml:space="preserve"> </w:t>
      </w:r>
    </w:p>
    <w:p w14:paraId="5E7BBF60"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Moreover, the judgement provided, reinforces the strict liability nature of defamation law and redirects the burden of proof back to the plaintiffs to pursue the original publisher of the content, </w:t>
      </w:r>
      <w:r w:rsidRPr="00DF13E5">
        <w:rPr>
          <w:rFonts w:ascii="Times New Roman" w:hAnsi="Times New Roman" w:cs="Times New Roman"/>
        </w:rPr>
        <w:lastRenderedPageBreak/>
        <w:t>which can particularly challenging when the original creator is anonymous or located in foreign jurisdiction.</w:t>
      </w:r>
      <w:r w:rsidRPr="00DF13E5">
        <w:rPr>
          <w:rStyle w:val="FootnoteReference"/>
          <w:rFonts w:ascii="Times New Roman" w:hAnsi="Times New Roman" w:cs="Times New Roman"/>
        </w:rPr>
        <w:footnoteReference w:id="7"/>
      </w:r>
    </w:p>
    <w:p w14:paraId="4C69A03D" w14:textId="77777777" w:rsidR="00F27DAC" w:rsidRPr="00DF13E5" w:rsidRDefault="00F27DAC" w:rsidP="00F27DAC">
      <w:pPr>
        <w:rPr>
          <w:rFonts w:ascii="Times New Roman" w:hAnsi="Times New Roman" w:cs="Times New Roman"/>
          <w:b/>
          <w:bCs/>
        </w:rPr>
      </w:pPr>
    </w:p>
    <w:p w14:paraId="0B352040" w14:textId="77777777" w:rsidR="00F27DAC" w:rsidRPr="00DF13E5" w:rsidRDefault="00F27DAC" w:rsidP="00F27DAC">
      <w:pPr>
        <w:rPr>
          <w:rFonts w:ascii="Times New Roman" w:hAnsi="Times New Roman" w:cs="Times New Roman"/>
          <w:b/>
          <w:bCs/>
        </w:rPr>
      </w:pPr>
      <w:r w:rsidRPr="00DF13E5">
        <w:rPr>
          <w:rFonts w:ascii="Times New Roman" w:hAnsi="Times New Roman" w:cs="Times New Roman"/>
          <w:b/>
          <w:bCs/>
        </w:rPr>
        <w:t xml:space="preserve">Conclusion </w:t>
      </w:r>
    </w:p>
    <w:p w14:paraId="1022F3CC"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The High Court’s ruling represents a significant jurisprudential development which offers a constrained and precise application of law of defamation to the complexities of the digital environment. The judgement clarifies the provision of a hyperlink, in and of itself, is not an act of publication, which also aligns Australian jurisprudence with international precedent, especially the Canadian Supreme Court’s reasoning in </w:t>
      </w:r>
      <w:r w:rsidRPr="00DF13E5">
        <w:rPr>
          <w:rFonts w:ascii="Times New Roman" w:hAnsi="Times New Roman" w:cs="Times New Roman"/>
          <w:i/>
          <w:iCs/>
        </w:rPr>
        <w:t xml:space="preserve">Crookes v Newton. </w:t>
      </w:r>
    </w:p>
    <w:p w14:paraId="27EF8398" w14:textId="77777777" w:rsidR="00F27DAC" w:rsidRPr="00DF13E5" w:rsidRDefault="00F27DAC" w:rsidP="00F27DAC">
      <w:pPr>
        <w:rPr>
          <w:rFonts w:ascii="Times New Roman" w:hAnsi="Times New Roman" w:cs="Times New Roman"/>
        </w:rPr>
      </w:pPr>
      <w:r w:rsidRPr="00DF13E5">
        <w:rPr>
          <w:rFonts w:ascii="Times New Roman" w:hAnsi="Times New Roman" w:cs="Times New Roman"/>
        </w:rPr>
        <w:t xml:space="preserve">However, the ruling is not without its critics. It has been argued that while it resolves the narrow issue of hyperlinks, it leaves broader questions unresolved, such as liability for defamatory snippets or sponsored links. Furthermore, by absolving search engines of responsibility, the decision places the considerable burden of litigation on the defamed party, who must often pursue the original content creator, a task fraught with practical and jurisdictional difficulties. Ultimately, while the Defteros case offers a measure of certainty for a specific category of online intermediaries, it simultaneously highlights the challenges of applying traditional common law to the complexities of digital communication. </w:t>
      </w:r>
    </w:p>
    <w:p w14:paraId="2A9837AF" w14:textId="77777777" w:rsidR="00F27DAC" w:rsidRPr="00DF13E5" w:rsidRDefault="00F27DAC" w:rsidP="00F27DAC">
      <w:pPr>
        <w:rPr>
          <w:rFonts w:ascii="Times New Roman" w:hAnsi="Times New Roman" w:cs="Times New Roman"/>
        </w:rPr>
      </w:pPr>
    </w:p>
    <w:p w14:paraId="2C9D09C5" w14:textId="77777777" w:rsidR="00F27DAC" w:rsidRDefault="00F27DAC" w:rsidP="00F27DAC">
      <w:pPr>
        <w:rPr>
          <w:rFonts w:ascii="Times New Roman" w:hAnsi="Times New Roman" w:cs="Times New Roman"/>
          <w:lang w:val="en-US"/>
        </w:rPr>
      </w:pPr>
    </w:p>
    <w:p w14:paraId="1F8C9233" w14:textId="77777777" w:rsidR="00F27DAC" w:rsidRDefault="00F27DAC" w:rsidP="00F27DAC">
      <w:pPr>
        <w:rPr>
          <w:rFonts w:ascii="Times New Roman" w:hAnsi="Times New Roman" w:cs="Times New Roman"/>
          <w:lang w:val="en-US"/>
        </w:rPr>
      </w:pPr>
    </w:p>
    <w:p w14:paraId="6ED17AE0" w14:textId="77777777" w:rsidR="00F27DAC" w:rsidRDefault="00F27DAC" w:rsidP="00F27DAC">
      <w:pPr>
        <w:rPr>
          <w:rFonts w:ascii="Times New Roman" w:hAnsi="Times New Roman" w:cs="Times New Roman"/>
          <w:lang w:val="en-US"/>
        </w:rPr>
      </w:pPr>
    </w:p>
    <w:p w14:paraId="7563E719" w14:textId="77777777" w:rsidR="00F27DAC" w:rsidRDefault="00F27DAC" w:rsidP="00F27DAC">
      <w:pPr>
        <w:rPr>
          <w:rFonts w:ascii="Times New Roman" w:hAnsi="Times New Roman" w:cs="Times New Roman"/>
          <w:lang w:val="en-US"/>
        </w:rPr>
      </w:pPr>
    </w:p>
    <w:p w14:paraId="14A5905D" w14:textId="77777777" w:rsidR="00F27DAC" w:rsidRDefault="00F27DAC" w:rsidP="00F27DAC">
      <w:pPr>
        <w:rPr>
          <w:rFonts w:ascii="Times New Roman" w:hAnsi="Times New Roman" w:cs="Times New Roman"/>
          <w:lang w:val="en-US"/>
        </w:rPr>
      </w:pPr>
    </w:p>
    <w:p w14:paraId="2E9FF104" w14:textId="77777777" w:rsidR="00F27DAC" w:rsidRDefault="00F27DAC" w:rsidP="00F27DAC">
      <w:pPr>
        <w:rPr>
          <w:rFonts w:ascii="Times New Roman" w:hAnsi="Times New Roman" w:cs="Times New Roman"/>
          <w:lang w:val="en-US"/>
        </w:rPr>
      </w:pPr>
    </w:p>
    <w:p w14:paraId="48EDE6E4" w14:textId="77777777" w:rsidR="00F27DAC" w:rsidRDefault="00F27DAC" w:rsidP="00F27DAC">
      <w:pPr>
        <w:rPr>
          <w:rFonts w:ascii="Times New Roman" w:hAnsi="Times New Roman" w:cs="Times New Roman"/>
          <w:lang w:val="en-US"/>
        </w:rPr>
      </w:pPr>
    </w:p>
    <w:p w14:paraId="69BF9AC2" w14:textId="77777777" w:rsidR="00F27DAC" w:rsidRDefault="00F27DAC" w:rsidP="00F27DAC">
      <w:pPr>
        <w:rPr>
          <w:rFonts w:ascii="Times New Roman" w:hAnsi="Times New Roman" w:cs="Times New Roman"/>
          <w:lang w:val="en-US"/>
        </w:rPr>
      </w:pPr>
    </w:p>
    <w:p w14:paraId="76A0EDD3" w14:textId="77777777" w:rsidR="00F27DAC" w:rsidRDefault="00F27DAC" w:rsidP="00F27DAC">
      <w:pPr>
        <w:rPr>
          <w:rFonts w:ascii="Times New Roman" w:hAnsi="Times New Roman" w:cs="Times New Roman"/>
          <w:lang w:val="en-US"/>
        </w:rPr>
      </w:pPr>
    </w:p>
    <w:p w14:paraId="7FC7FB98" w14:textId="77777777" w:rsidR="00290156" w:rsidRPr="00F27DAC" w:rsidRDefault="00290156" w:rsidP="00F27DAC"/>
    <w:sectPr w:rsidR="00290156" w:rsidRPr="00F27DAC" w:rsidSect="00BA256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63E26" w14:textId="77777777" w:rsidR="00DD2B3F" w:rsidRDefault="00DD2B3F" w:rsidP="00412129">
      <w:r>
        <w:separator/>
      </w:r>
    </w:p>
  </w:endnote>
  <w:endnote w:type="continuationSeparator" w:id="0">
    <w:p w14:paraId="297DDEE5" w14:textId="77777777" w:rsidR="00DD2B3F" w:rsidRDefault="00DD2B3F" w:rsidP="00412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2FFE9" w14:textId="77777777" w:rsidR="00DD2B3F" w:rsidRDefault="00DD2B3F" w:rsidP="00412129">
      <w:r>
        <w:separator/>
      </w:r>
    </w:p>
  </w:footnote>
  <w:footnote w:type="continuationSeparator" w:id="0">
    <w:p w14:paraId="13D067F7" w14:textId="77777777" w:rsidR="00DD2B3F" w:rsidRDefault="00DD2B3F" w:rsidP="00412129">
      <w:r>
        <w:continuationSeparator/>
      </w:r>
    </w:p>
  </w:footnote>
  <w:footnote w:id="1">
    <w:p w14:paraId="6ADF2AD8" w14:textId="77777777" w:rsidR="00F27DAC" w:rsidRPr="00D74BD2" w:rsidRDefault="00F27DAC" w:rsidP="00F27DAC">
      <w:pPr>
        <w:pStyle w:val="FootnoteText"/>
        <w:rPr>
          <w:sz w:val="16"/>
          <w:szCs w:val="16"/>
        </w:rPr>
      </w:pPr>
      <w:r w:rsidRPr="00D74BD2">
        <w:rPr>
          <w:rStyle w:val="FootnoteReference"/>
          <w:sz w:val="16"/>
          <w:szCs w:val="16"/>
        </w:rPr>
        <w:footnoteRef/>
      </w:r>
      <w:r w:rsidRPr="00D74BD2">
        <w:rPr>
          <w:sz w:val="16"/>
          <w:szCs w:val="16"/>
        </w:rPr>
        <w:t xml:space="preserve"> </w:t>
      </w:r>
      <w:r w:rsidRPr="00D74BD2">
        <w:rPr>
          <w:i/>
          <w:iCs/>
          <w:sz w:val="16"/>
          <w:szCs w:val="16"/>
        </w:rPr>
        <w:t xml:space="preserve">Google LLC v </w:t>
      </w:r>
      <w:proofErr w:type="spellStart"/>
      <w:r w:rsidRPr="00D74BD2">
        <w:rPr>
          <w:i/>
          <w:iCs/>
          <w:sz w:val="16"/>
          <w:szCs w:val="16"/>
        </w:rPr>
        <w:t>Defteros</w:t>
      </w:r>
      <w:proofErr w:type="spellEnd"/>
      <w:r w:rsidRPr="00D74BD2">
        <w:rPr>
          <w:sz w:val="16"/>
          <w:szCs w:val="16"/>
        </w:rPr>
        <w:t xml:space="preserve"> [2022] HCA 27, 15.</w:t>
      </w:r>
    </w:p>
  </w:footnote>
  <w:footnote w:id="2">
    <w:p w14:paraId="0E7B9356" w14:textId="77777777" w:rsidR="00F27DAC" w:rsidRPr="00384914" w:rsidRDefault="00F27DAC" w:rsidP="00F27DAC">
      <w:pPr>
        <w:pStyle w:val="FootnoteText"/>
        <w:rPr>
          <w:sz w:val="16"/>
          <w:szCs w:val="16"/>
        </w:rPr>
      </w:pPr>
      <w:r w:rsidRPr="00384914">
        <w:rPr>
          <w:rStyle w:val="FootnoteReference"/>
          <w:sz w:val="16"/>
          <w:szCs w:val="16"/>
        </w:rPr>
        <w:footnoteRef/>
      </w:r>
      <w:r w:rsidRPr="00384914">
        <w:rPr>
          <w:sz w:val="16"/>
          <w:szCs w:val="16"/>
        </w:rPr>
        <w:t xml:space="preserve"> Tom Alchin, </w:t>
      </w:r>
      <w:r w:rsidRPr="00384914">
        <w:rPr>
          <w:i/>
          <w:iCs/>
          <w:sz w:val="16"/>
          <w:szCs w:val="16"/>
        </w:rPr>
        <w:t xml:space="preserve">"Google </w:t>
      </w:r>
      <w:proofErr w:type="spellStart"/>
      <w:r w:rsidRPr="00384914">
        <w:rPr>
          <w:i/>
          <w:iCs/>
          <w:sz w:val="16"/>
          <w:szCs w:val="16"/>
        </w:rPr>
        <w:t>Llc</w:t>
      </w:r>
      <w:proofErr w:type="spellEnd"/>
      <w:r w:rsidRPr="00384914">
        <w:rPr>
          <w:i/>
          <w:iCs/>
          <w:sz w:val="16"/>
          <w:szCs w:val="16"/>
        </w:rPr>
        <w:t xml:space="preserve"> v </w:t>
      </w:r>
      <w:proofErr w:type="spellStart"/>
      <w:r w:rsidRPr="00384914">
        <w:rPr>
          <w:i/>
          <w:iCs/>
          <w:sz w:val="16"/>
          <w:szCs w:val="16"/>
        </w:rPr>
        <w:t>Defteros</w:t>
      </w:r>
      <w:proofErr w:type="spellEnd"/>
      <w:r w:rsidRPr="00384914">
        <w:rPr>
          <w:i/>
          <w:iCs/>
          <w:sz w:val="16"/>
          <w:szCs w:val="16"/>
        </w:rPr>
        <w:t>: Defamation, Publication and Hyperlinked Search Results"</w:t>
      </w:r>
      <w:r w:rsidRPr="00384914">
        <w:rPr>
          <w:sz w:val="16"/>
          <w:szCs w:val="16"/>
        </w:rPr>
        <w:t xml:space="preserve"> [2023] </w:t>
      </w:r>
      <w:proofErr w:type="spellStart"/>
      <w:r w:rsidRPr="00384914">
        <w:rPr>
          <w:sz w:val="16"/>
          <w:szCs w:val="16"/>
        </w:rPr>
        <w:t>SydLawRw</w:t>
      </w:r>
      <w:proofErr w:type="spellEnd"/>
      <w:r w:rsidRPr="00384914">
        <w:rPr>
          <w:sz w:val="16"/>
          <w:szCs w:val="16"/>
        </w:rPr>
        <w:t xml:space="preserve"> 6; (2023) 45(1) Sydney Law Review 141. </w:t>
      </w:r>
    </w:p>
  </w:footnote>
  <w:footnote w:id="3">
    <w:p w14:paraId="35D00F41" w14:textId="77777777" w:rsidR="00F27DAC" w:rsidRPr="00384914" w:rsidRDefault="00F27DAC" w:rsidP="00F27DAC">
      <w:pPr>
        <w:pStyle w:val="FootnoteText"/>
        <w:rPr>
          <w:sz w:val="16"/>
          <w:szCs w:val="16"/>
        </w:rPr>
      </w:pPr>
      <w:r w:rsidRPr="00384914">
        <w:rPr>
          <w:rStyle w:val="FootnoteReference"/>
          <w:sz w:val="16"/>
          <w:szCs w:val="16"/>
        </w:rPr>
        <w:footnoteRef/>
      </w:r>
      <w:r w:rsidRPr="00384914">
        <w:rPr>
          <w:sz w:val="16"/>
          <w:szCs w:val="16"/>
        </w:rPr>
        <w:t xml:space="preserve"> </w:t>
      </w:r>
      <w:r w:rsidRPr="00384914">
        <w:rPr>
          <w:i/>
          <w:iCs/>
          <w:sz w:val="16"/>
          <w:szCs w:val="16"/>
        </w:rPr>
        <w:t>Fairfax Media Publications Pty Ltd v Voller</w:t>
      </w:r>
      <w:r w:rsidRPr="00384914">
        <w:rPr>
          <w:sz w:val="16"/>
          <w:szCs w:val="16"/>
        </w:rPr>
        <w:t xml:space="preserve"> [2021] HCA 27, 15. </w:t>
      </w:r>
    </w:p>
  </w:footnote>
  <w:footnote w:id="4">
    <w:p w14:paraId="09E5EF42" w14:textId="77777777" w:rsidR="00F27DAC" w:rsidRPr="00384914" w:rsidRDefault="00F27DAC" w:rsidP="00F27DAC">
      <w:pPr>
        <w:pStyle w:val="FootnoteText"/>
        <w:rPr>
          <w:sz w:val="16"/>
          <w:szCs w:val="16"/>
        </w:rPr>
      </w:pPr>
      <w:r w:rsidRPr="00384914">
        <w:rPr>
          <w:rStyle w:val="FootnoteReference"/>
          <w:sz w:val="16"/>
          <w:szCs w:val="16"/>
        </w:rPr>
        <w:footnoteRef/>
      </w:r>
      <w:r w:rsidRPr="00384914">
        <w:rPr>
          <w:sz w:val="16"/>
          <w:szCs w:val="16"/>
        </w:rPr>
        <w:t xml:space="preserve"> </w:t>
      </w:r>
      <w:r w:rsidRPr="00384914">
        <w:rPr>
          <w:i/>
          <w:iCs/>
          <w:sz w:val="16"/>
          <w:szCs w:val="16"/>
        </w:rPr>
        <w:t xml:space="preserve">Google LLC v </w:t>
      </w:r>
      <w:proofErr w:type="spellStart"/>
      <w:r w:rsidRPr="00384914">
        <w:rPr>
          <w:i/>
          <w:iCs/>
          <w:sz w:val="16"/>
          <w:szCs w:val="16"/>
        </w:rPr>
        <w:t>Defteros</w:t>
      </w:r>
      <w:proofErr w:type="spellEnd"/>
      <w:r w:rsidRPr="00384914">
        <w:rPr>
          <w:sz w:val="16"/>
          <w:szCs w:val="16"/>
        </w:rPr>
        <w:t xml:space="preserve"> [2022] HCA 27, 75. </w:t>
      </w:r>
    </w:p>
  </w:footnote>
  <w:footnote w:id="5">
    <w:p w14:paraId="551864C2" w14:textId="77777777" w:rsidR="00F27DAC" w:rsidRPr="00384914" w:rsidRDefault="00F27DAC" w:rsidP="00F27DAC">
      <w:pPr>
        <w:pStyle w:val="FootnoteText"/>
        <w:rPr>
          <w:sz w:val="16"/>
          <w:szCs w:val="16"/>
        </w:rPr>
      </w:pPr>
      <w:r w:rsidRPr="00384914">
        <w:rPr>
          <w:rStyle w:val="FootnoteReference"/>
          <w:sz w:val="16"/>
          <w:szCs w:val="16"/>
        </w:rPr>
        <w:footnoteRef/>
      </w:r>
      <w:r w:rsidRPr="00384914">
        <w:rPr>
          <w:sz w:val="16"/>
          <w:szCs w:val="16"/>
        </w:rPr>
        <w:t xml:space="preserve"> Caitlin O'Brien and Andrew Saker, 'Google v </w:t>
      </w:r>
      <w:proofErr w:type="spellStart"/>
      <w:r w:rsidRPr="00384914">
        <w:rPr>
          <w:sz w:val="16"/>
          <w:szCs w:val="16"/>
        </w:rPr>
        <w:t>Defteros</w:t>
      </w:r>
      <w:proofErr w:type="spellEnd"/>
      <w:r w:rsidRPr="00384914">
        <w:rPr>
          <w:sz w:val="16"/>
          <w:szCs w:val="16"/>
        </w:rPr>
        <w:t>: Defamation Liability of Search Engines' (Blog Post, University of Technology Sydney, 13 September 2022) https://www.uts.edu.au/news/2022/09/google-v-defteros-defamation-liability-search-engines.</w:t>
      </w:r>
    </w:p>
  </w:footnote>
  <w:footnote w:id="6">
    <w:p w14:paraId="23DE3FA5" w14:textId="77777777" w:rsidR="00F27DAC" w:rsidRPr="00384914" w:rsidRDefault="00F27DAC" w:rsidP="00F27DAC">
      <w:pPr>
        <w:rPr>
          <w:rFonts w:ascii="Times New Roman" w:hAnsi="Times New Roman"/>
          <w:color w:val="000000" w:themeColor="text1"/>
          <w:sz w:val="16"/>
          <w:szCs w:val="16"/>
        </w:rPr>
      </w:pPr>
      <w:r w:rsidRPr="00384914">
        <w:rPr>
          <w:rStyle w:val="FootnoteReference"/>
          <w:sz w:val="16"/>
          <w:szCs w:val="16"/>
        </w:rPr>
        <w:footnoteRef/>
      </w:r>
      <w:r w:rsidRPr="00384914">
        <w:rPr>
          <w:sz w:val="16"/>
          <w:szCs w:val="16"/>
        </w:rPr>
        <w:t xml:space="preserve"> </w:t>
      </w:r>
      <w:r w:rsidRPr="00384914">
        <w:rPr>
          <w:rFonts w:ascii="Times New Roman" w:hAnsi="Times New Roman"/>
          <w:color w:val="000000" w:themeColor="text1"/>
          <w:sz w:val="16"/>
          <w:szCs w:val="16"/>
        </w:rPr>
        <w:t>King &amp; Wood Mallesons, 'Only the link: Google not liable for defamation' (Legal Briefing, 18 August 2022) https://www.kwm.com/au/en/insights/latest-thinking/google-not-liable-for-defamation.html.</w:t>
      </w:r>
    </w:p>
    <w:p w14:paraId="203C5644" w14:textId="77777777" w:rsidR="00F27DAC" w:rsidRDefault="00F27DAC" w:rsidP="00F27DAC">
      <w:pPr>
        <w:pStyle w:val="FootnoteText"/>
      </w:pPr>
    </w:p>
  </w:footnote>
  <w:footnote w:id="7">
    <w:p w14:paraId="45C62075" w14:textId="77777777" w:rsidR="00F27DAC" w:rsidRPr="00D74BD2" w:rsidRDefault="00F27DAC" w:rsidP="00F27DAC">
      <w:pPr>
        <w:rPr>
          <w:rFonts w:ascii="Times New Roman" w:hAnsi="Times New Roman"/>
          <w:color w:val="000000" w:themeColor="text1"/>
          <w:sz w:val="16"/>
          <w:szCs w:val="16"/>
        </w:rPr>
      </w:pPr>
      <w:r w:rsidRPr="00D74BD2">
        <w:rPr>
          <w:rStyle w:val="FootnoteReference"/>
          <w:sz w:val="16"/>
          <w:szCs w:val="16"/>
        </w:rPr>
        <w:footnoteRef/>
      </w:r>
      <w:r w:rsidRPr="00D74BD2">
        <w:rPr>
          <w:sz w:val="16"/>
          <w:szCs w:val="16"/>
        </w:rPr>
        <w:t xml:space="preserve"> </w:t>
      </w:r>
      <w:r w:rsidRPr="00D74BD2">
        <w:rPr>
          <w:rFonts w:ascii="Times New Roman" w:hAnsi="Times New Roman"/>
          <w:color w:val="000000" w:themeColor="text1"/>
          <w:sz w:val="16"/>
          <w:szCs w:val="16"/>
        </w:rPr>
        <w:t xml:space="preserve">Matthew Lewis, 'What Google v </w:t>
      </w:r>
      <w:proofErr w:type="spellStart"/>
      <w:r w:rsidRPr="00D74BD2">
        <w:rPr>
          <w:rFonts w:ascii="Times New Roman" w:hAnsi="Times New Roman"/>
          <w:color w:val="000000" w:themeColor="text1"/>
          <w:sz w:val="16"/>
          <w:szCs w:val="16"/>
        </w:rPr>
        <w:t>Defteros</w:t>
      </w:r>
      <w:proofErr w:type="spellEnd"/>
      <w:r w:rsidRPr="00D74BD2">
        <w:rPr>
          <w:rFonts w:ascii="Times New Roman" w:hAnsi="Times New Roman"/>
          <w:color w:val="000000" w:themeColor="text1"/>
          <w:sz w:val="16"/>
          <w:szCs w:val="16"/>
        </w:rPr>
        <w:t xml:space="preserve"> means for defamation law' (Blog Post, </w:t>
      </w:r>
      <w:proofErr w:type="spellStart"/>
      <w:r w:rsidRPr="00D74BD2">
        <w:rPr>
          <w:rFonts w:ascii="Times New Roman" w:hAnsi="Times New Roman"/>
          <w:color w:val="000000" w:themeColor="text1"/>
          <w:sz w:val="16"/>
          <w:szCs w:val="16"/>
        </w:rPr>
        <w:t>Bartier</w:t>
      </w:r>
      <w:proofErr w:type="spellEnd"/>
      <w:r w:rsidRPr="00D74BD2">
        <w:rPr>
          <w:rFonts w:ascii="Times New Roman" w:hAnsi="Times New Roman"/>
          <w:color w:val="000000" w:themeColor="text1"/>
          <w:sz w:val="16"/>
          <w:szCs w:val="16"/>
        </w:rPr>
        <w:t xml:space="preserve"> Perry Lawyers, 18 August 2022) https://www.bartier.com.au/insights/in-the-media/what-google-v-defteros-means-for-defamation-law.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82152"/>
    <w:multiLevelType w:val="hybridMultilevel"/>
    <w:tmpl w:val="6E504F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840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3F9"/>
    <w:rsid w:val="000057F2"/>
    <w:rsid w:val="00066C54"/>
    <w:rsid w:val="000706C8"/>
    <w:rsid w:val="000902F7"/>
    <w:rsid w:val="000A6FC7"/>
    <w:rsid w:val="000C0185"/>
    <w:rsid w:val="001012A2"/>
    <w:rsid w:val="00135D98"/>
    <w:rsid w:val="00173858"/>
    <w:rsid w:val="0018247A"/>
    <w:rsid w:val="00182BD3"/>
    <w:rsid w:val="00197008"/>
    <w:rsid w:val="001A69CF"/>
    <w:rsid w:val="001B5557"/>
    <w:rsid w:val="001C62ED"/>
    <w:rsid w:val="001D35CB"/>
    <w:rsid w:val="001E2260"/>
    <w:rsid w:val="002215B5"/>
    <w:rsid w:val="00222F33"/>
    <w:rsid w:val="002423F9"/>
    <w:rsid w:val="00255124"/>
    <w:rsid w:val="0026717E"/>
    <w:rsid w:val="00282447"/>
    <w:rsid w:val="00290156"/>
    <w:rsid w:val="002D7247"/>
    <w:rsid w:val="00307CDF"/>
    <w:rsid w:val="00316F83"/>
    <w:rsid w:val="00332834"/>
    <w:rsid w:val="00357459"/>
    <w:rsid w:val="003D0785"/>
    <w:rsid w:val="003D1F71"/>
    <w:rsid w:val="003E0EBD"/>
    <w:rsid w:val="003F7864"/>
    <w:rsid w:val="00402A7A"/>
    <w:rsid w:val="00410550"/>
    <w:rsid w:val="00412129"/>
    <w:rsid w:val="00452B62"/>
    <w:rsid w:val="00487CFB"/>
    <w:rsid w:val="004A305A"/>
    <w:rsid w:val="004C4139"/>
    <w:rsid w:val="004C77EA"/>
    <w:rsid w:val="004D44BA"/>
    <w:rsid w:val="004E389A"/>
    <w:rsid w:val="004E3B5A"/>
    <w:rsid w:val="005604C8"/>
    <w:rsid w:val="005832F1"/>
    <w:rsid w:val="0058632D"/>
    <w:rsid w:val="005A4658"/>
    <w:rsid w:val="005D043C"/>
    <w:rsid w:val="005D364A"/>
    <w:rsid w:val="005E1E2B"/>
    <w:rsid w:val="00621E12"/>
    <w:rsid w:val="00626715"/>
    <w:rsid w:val="0063564C"/>
    <w:rsid w:val="00642F97"/>
    <w:rsid w:val="00677BBF"/>
    <w:rsid w:val="006B0278"/>
    <w:rsid w:val="006C5BB3"/>
    <w:rsid w:val="006D4392"/>
    <w:rsid w:val="006D6923"/>
    <w:rsid w:val="006E42AD"/>
    <w:rsid w:val="00723686"/>
    <w:rsid w:val="00757CFA"/>
    <w:rsid w:val="007A31CA"/>
    <w:rsid w:val="007B69AA"/>
    <w:rsid w:val="007D162E"/>
    <w:rsid w:val="008432B8"/>
    <w:rsid w:val="00851457"/>
    <w:rsid w:val="00886D76"/>
    <w:rsid w:val="008B3FA5"/>
    <w:rsid w:val="008C1115"/>
    <w:rsid w:val="008E7149"/>
    <w:rsid w:val="008F0721"/>
    <w:rsid w:val="0090295D"/>
    <w:rsid w:val="00906780"/>
    <w:rsid w:val="00955C7E"/>
    <w:rsid w:val="00966DD3"/>
    <w:rsid w:val="009679D4"/>
    <w:rsid w:val="009716E5"/>
    <w:rsid w:val="00972A20"/>
    <w:rsid w:val="00983285"/>
    <w:rsid w:val="00993EE0"/>
    <w:rsid w:val="009B58F1"/>
    <w:rsid w:val="009F3A39"/>
    <w:rsid w:val="009F3B1E"/>
    <w:rsid w:val="00A8697E"/>
    <w:rsid w:val="00AF1233"/>
    <w:rsid w:val="00B213A3"/>
    <w:rsid w:val="00BA2568"/>
    <w:rsid w:val="00BF3C05"/>
    <w:rsid w:val="00C007EC"/>
    <w:rsid w:val="00C01D72"/>
    <w:rsid w:val="00C17A4B"/>
    <w:rsid w:val="00C64324"/>
    <w:rsid w:val="00CE302F"/>
    <w:rsid w:val="00CF3290"/>
    <w:rsid w:val="00D17F2F"/>
    <w:rsid w:val="00D24651"/>
    <w:rsid w:val="00D27080"/>
    <w:rsid w:val="00D36CF2"/>
    <w:rsid w:val="00D47BDA"/>
    <w:rsid w:val="00D70A57"/>
    <w:rsid w:val="00D766FC"/>
    <w:rsid w:val="00DA4437"/>
    <w:rsid w:val="00DD2B3F"/>
    <w:rsid w:val="00DD58AA"/>
    <w:rsid w:val="00DE35A3"/>
    <w:rsid w:val="00E35689"/>
    <w:rsid w:val="00E476A4"/>
    <w:rsid w:val="00E6443D"/>
    <w:rsid w:val="00E67B45"/>
    <w:rsid w:val="00E72CBD"/>
    <w:rsid w:val="00EA77B8"/>
    <w:rsid w:val="00ED2D1B"/>
    <w:rsid w:val="00ED67A8"/>
    <w:rsid w:val="00EF0A6E"/>
    <w:rsid w:val="00F13FB2"/>
    <w:rsid w:val="00F27DAC"/>
    <w:rsid w:val="00F33502"/>
    <w:rsid w:val="00F60331"/>
    <w:rsid w:val="00F8197D"/>
    <w:rsid w:val="00FA6D5A"/>
    <w:rsid w:val="00FD5CD7"/>
    <w:rsid w:val="00FF67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0E15"/>
  <w15:chartTrackingRefBased/>
  <w15:docId w15:val="{DC6E78CF-968B-F247-AA09-2C91A797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DAC"/>
    <w:pPr>
      <w:spacing w:before="0" w:after="160" w:line="259" w:lineRule="auto"/>
    </w:pPr>
    <w:rPr>
      <w:sz w:val="22"/>
      <w:szCs w:val="22"/>
    </w:rPr>
  </w:style>
  <w:style w:type="paragraph" w:styleId="Heading1">
    <w:name w:val="heading 1"/>
    <w:basedOn w:val="Normal"/>
    <w:next w:val="Normal"/>
    <w:link w:val="Heading1Char"/>
    <w:autoRedefine/>
    <w:uiPriority w:val="9"/>
    <w:qFormat/>
    <w:rsid w:val="00D766FC"/>
    <w:pPr>
      <w:keepNext/>
      <w:keepLines/>
      <w:spacing w:before="120" w:after="120" w:line="240" w:lineRule="auto"/>
      <w:jc w:val="center"/>
      <w:outlineLvl w:val="0"/>
    </w:pPr>
    <w:rPr>
      <w:rFonts w:ascii="Times New Roman" w:eastAsiaTheme="majorEastAsia" w:hAnsi="Times New Roman" w:cstheme="majorBidi"/>
      <w:b/>
      <w:i/>
      <w:color w:val="000000" w:themeColor="text1"/>
      <w:sz w:val="24"/>
      <w:szCs w:val="32"/>
    </w:rPr>
  </w:style>
  <w:style w:type="paragraph" w:styleId="Heading2">
    <w:name w:val="heading 2"/>
    <w:basedOn w:val="Normal"/>
    <w:next w:val="Normal"/>
    <w:link w:val="Heading2Char"/>
    <w:autoRedefine/>
    <w:uiPriority w:val="9"/>
    <w:unhideWhenUsed/>
    <w:qFormat/>
    <w:rsid w:val="007D162E"/>
    <w:pPr>
      <w:keepNext/>
      <w:keepLines/>
      <w:spacing w:before="120" w:after="0" w:line="240" w:lineRule="auto"/>
      <w:outlineLvl w:val="1"/>
    </w:pPr>
    <w:rPr>
      <w:rFonts w:ascii="Times New Roman" w:eastAsiaTheme="majorEastAsia" w:hAnsi="Times New Roman" w:cstheme="majorBidi"/>
      <w:i/>
      <w:color w:val="000000" w:themeColor="text1"/>
      <w:sz w:val="24"/>
      <w:szCs w:val="26"/>
      <w:u w:val="single"/>
    </w:rPr>
  </w:style>
  <w:style w:type="paragraph" w:styleId="Heading3">
    <w:name w:val="heading 3"/>
    <w:basedOn w:val="Normal"/>
    <w:next w:val="Normal"/>
    <w:link w:val="Heading3Char"/>
    <w:uiPriority w:val="9"/>
    <w:semiHidden/>
    <w:unhideWhenUsed/>
    <w:qFormat/>
    <w:rsid w:val="00D47BDA"/>
    <w:pPr>
      <w:keepNext/>
      <w:keepLines/>
      <w:spacing w:before="40" w:after="0" w:line="240" w:lineRule="auto"/>
      <w:outlineLvl w:val="2"/>
    </w:pPr>
    <w:rPr>
      <w:rFonts w:ascii="Times New Roman" w:eastAsiaTheme="majorEastAsia" w:hAnsi="Times New Roman" w:cstheme="majorBidi"/>
      <w:b/>
      <w:i/>
      <w:color w:val="0A2F40" w:themeColor="accent1" w:themeShade="7F"/>
      <w:sz w:val="24"/>
      <w:szCs w:val="24"/>
    </w:rPr>
  </w:style>
  <w:style w:type="paragraph" w:styleId="Heading4">
    <w:name w:val="heading 4"/>
    <w:basedOn w:val="Normal"/>
    <w:next w:val="Normal"/>
    <w:link w:val="Heading4Char"/>
    <w:uiPriority w:val="9"/>
    <w:semiHidden/>
    <w:unhideWhenUsed/>
    <w:qFormat/>
    <w:rsid w:val="00242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3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3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3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3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8E7149"/>
    <w:pPr>
      <w:spacing w:before="120" w:after="120" w:line="240" w:lineRule="auto"/>
      <w:contextualSpacing/>
      <w:jc w:val="center"/>
    </w:pPr>
    <w:rPr>
      <w:rFonts w:ascii="Times New Roman" w:eastAsiaTheme="majorEastAsia" w:hAnsi="Times New Roman" w:cstheme="majorBidi"/>
      <w:color w:val="000000" w:themeColor="text1"/>
      <w:spacing w:val="-10"/>
      <w:kern w:val="28"/>
      <w:sz w:val="40"/>
      <w:szCs w:val="56"/>
      <w:u w:val="single"/>
    </w:rPr>
  </w:style>
  <w:style w:type="character" w:customStyle="1" w:styleId="TitleChar">
    <w:name w:val="Title Char"/>
    <w:basedOn w:val="DefaultParagraphFont"/>
    <w:link w:val="Title"/>
    <w:uiPriority w:val="10"/>
    <w:rsid w:val="008E7149"/>
    <w:rPr>
      <w:rFonts w:ascii="Times New Roman" w:eastAsiaTheme="majorEastAsia" w:hAnsi="Times New Roman" w:cstheme="majorBidi"/>
      <w:color w:val="000000" w:themeColor="text1"/>
      <w:spacing w:val="-10"/>
      <w:kern w:val="28"/>
      <w:sz w:val="40"/>
      <w:szCs w:val="56"/>
      <w:u w:val="single"/>
    </w:rPr>
  </w:style>
  <w:style w:type="character" w:customStyle="1" w:styleId="Heading1Char">
    <w:name w:val="Heading 1 Char"/>
    <w:basedOn w:val="DefaultParagraphFont"/>
    <w:link w:val="Heading1"/>
    <w:uiPriority w:val="9"/>
    <w:rsid w:val="00D766FC"/>
    <w:rPr>
      <w:rFonts w:ascii="Times New Roman" w:eastAsiaTheme="majorEastAsia" w:hAnsi="Times New Roman" w:cstheme="majorBidi"/>
      <w:b/>
      <w:i/>
      <w:color w:val="000000" w:themeColor="text1"/>
      <w:szCs w:val="32"/>
    </w:rPr>
  </w:style>
  <w:style w:type="character" w:customStyle="1" w:styleId="Heading2Char">
    <w:name w:val="Heading 2 Char"/>
    <w:basedOn w:val="DefaultParagraphFont"/>
    <w:link w:val="Heading2"/>
    <w:uiPriority w:val="9"/>
    <w:rsid w:val="007D162E"/>
    <w:rPr>
      <w:rFonts w:ascii="Times New Roman" w:eastAsiaTheme="majorEastAsia" w:hAnsi="Times New Roman" w:cstheme="majorBidi"/>
      <w:i/>
      <w:color w:val="000000" w:themeColor="text1"/>
      <w:szCs w:val="26"/>
      <w:u w:val="single"/>
    </w:rPr>
  </w:style>
  <w:style w:type="character" w:customStyle="1" w:styleId="Heading3Char">
    <w:name w:val="Heading 3 Char"/>
    <w:basedOn w:val="DefaultParagraphFont"/>
    <w:link w:val="Heading3"/>
    <w:uiPriority w:val="9"/>
    <w:semiHidden/>
    <w:rsid w:val="00D47BDA"/>
    <w:rPr>
      <w:rFonts w:ascii="Times New Roman" w:eastAsiaTheme="majorEastAsia" w:hAnsi="Times New Roman" w:cstheme="majorBidi"/>
      <w:b/>
      <w:i/>
      <w:color w:val="0A2F40" w:themeColor="accent1" w:themeShade="7F"/>
    </w:rPr>
  </w:style>
  <w:style w:type="character" w:customStyle="1" w:styleId="Heading4Char">
    <w:name w:val="Heading 4 Char"/>
    <w:basedOn w:val="DefaultParagraphFont"/>
    <w:link w:val="Heading4"/>
    <w:uiPriority w:val="9"/>
    <w:semiHidden/>
    <w:rsid w:val="00242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3F9"/>
    <w:rPr>
      <w:rFonts w:eastAsiaTheme="majorEastAsia" w:cstheme="majorBidi"/>
      <w:color w:val="272727" w:themeColor="text1" w:themeTint="D8"/>
    </w:rPr>
  </w:style>
  <w:style w:type="paragraph" w:styleId="Subtitle">
    <w:name w:val="Subtitle"/>
    <w:basedOn w:val="Normal"/>
    <w:next w:val="Normal"/>
    <w:link w:val="SubtitleChar"/>
    <w:uiPriority w:val="11"/>
    <w:qFormat/>
    <w:rsid w:val="002423F9"/>
    <w:pPr>
      <w:numPr>
        <w:ilvl w:val="1"/>
      </w:numPr>
      <w:spacing w:before="120"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3F9"/>
    <w:pPr>
      <w:spacing w:before="160" w:line="240" w:lineRule="auto"/>
      <w:jc w:val="center"/>
    </w:pPr>
    <w:rPr>
      <w:rFonts w:ascii="Times New Roman" w:hAnsi="Times New Roman"/>
      <w:i/>
      <w:iCs/>
      <w:color w:val="404040" w:themeColor="text1" w:themeTint="BF"/>
      <w:sz w:val="24"/>
      <w:szCs w:val="24"/>
    </w:rPr>
  </w:style>
  <w:style w:type="character" w:customStyle="1" w:styleId="QuoteChar">
    <w:name w:val="Quote Char"/>
    <w:basedOn w:val="DefaultParagraphFont"/>
    <w:link w:val="Quote"/>
    <w:uiPriority w:val="29"/>
    <w:rsid w:val="002423F9"/>
    <w:rPr>
      <w:rFonts w:ascii="Times New Roman" w:hAnsi="Times New Roman"/>
      <w:i/>
      <w:iCs/>
      <w:color w:val="404040" w:themeColor="text1" w:themeTint="BF"/>
    </w:rPr>
  </w:style>
  <w:style w:type="paragraph" w:styleId="ListParagraph">
    <w:name w:val="List Paragraph"/>
    <w:basedOn w:val="Normal"/>
    <w:uiPriority w:val="34"/>
    <w:qFormat/>
    <w:rsid w:val="002423F9"/>
    <w:pPr>
      <w:spacing w:before="120" w:after="0" w:line="240" w:lineRule="auto"/>
      <w:ind w:left="720"/>
      <w:contextualSpacing/>
    </w:pPr>
    <w:rPr>
      <w:rFonts w:ascii="Times New Roman" w:hAnsi="Times New Roman"/>
      <w:color w:val="000000" w:themeColor="text1"/>
      <w:sz w:val="24"/>
      <w:szCs w:val="24"/>
    </w:rPr>
  </w:style>
  <w:style w:type="character" w:styleId="IntenseEmphasis">
    <w:name w:val="Intense Emphasis"/>
    <w:basedOn w:val="DefaultParagraphFont"/>
    <w:uiPriority w:val="21"/>
    <w:qFormat/>
    <w:rsid w:val="002423F9"/>
    <w:rPr>
      <w:i/>
      <w:iCs/>
      <w:color w:val="0F4761" w:themeColor="accent1" w:themeShade="BF"/>
    </w:rPr>
  </w:style>
  <w:style w:type="paragraph" w:styleId="IntenseQuote">
    <w:name w:val="Intense Quote"/>
    <w:basedOn w:val="Normal"/>
    <w:next w:val="Normal"/>
    <w:link w:val="IntenseQuoteChar"/>
    <w:uiPriority w:val="30"/>
    <w:qFormat/>
    <w:rsid w:val="002423F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imes New Roman" w:hAnsi="Times New Roman"/>
      <w:i/>
      <w:iCs/>
      <w:color w:val="0F4761" w:themeColor="accent1" w:themeShade="BF"/>
      <w:sz w:val="24"/>
      <w:szCs w:val="24"/>
    </w:rPr>
  </w:style>
  <w:style w:type="character" w:customStyle="1" w:styleId="IntenseQuoteChar">
    <w:name w:val="Intense Quote Char"/>
    <w:basedOn w:val="DefaultParagraphFont"/>
    <w:link w:val="IntenseQuote"/>
    <w:uiPriority w:val="30"/>
    <w:rsid w:val="002423F9"/>
    <w:rPr>
      <w:rFonts w:ascii="Times New Roman" w:hAnsi="Times New Roman"/>
      <w:i/>
      <w:iCs/>
      <w:color w:val="0F4761" w:themeColor="accent1" w:themeShade="BF"/>
    </w:rPr>
  </w:style>
  <w:style w:type="character" w:styleId="IntenseReference">
    <w:name w:val="Intense Reference"/>
    <w:basedOn w:val="DefaultParagraphFont"/>
    <w:uiPriority w:val="32"/>
    <w:qFormat/>
    <w:rsid w:val="002423F9"/>
    <w:rPr>
      <w:b/>
      <w:bCs/>
      <w:smallCaps/>
      <w:color w:val="0F4761" w:themeColor="accent1" w:themeShade="BF"/>
      <w:spacing w:val="5"/>
    </w:rPr>
  </w:style>
  <w:style w:type="paragraph" w:styleId="NoSpacing">
    <w:name w:val="No Spacing"/>
    <w:link w:val="NoSpacingChar"/>
    <w:uiPriority w:val="1"/>
    <w:qFormat/>
    <w:rsid w:val="00BA2568"/>
    <w:pPr>
      <w:spacing w:before="0"/>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A2568"/>
    <w:rPr>
      <w:rFonts w:eastAsiaTheme="minorEastAsia"/>
      <w:kern w:val="0"/>
      <w:sz w:val="22"/>
      <w:szCs w:val="22"/>
      <w:lang w:val="en-US" w:eastAsia="zh-CN"/>
      <w14:ligatures w14:val="none"/>
    </w:rPr>
  </w:style>
  <w:style w:type="paragraph" w:styleId="NormalWeb">
    <w:name w:val="Normal (Web)"/>
    <w:basedOn w:val="Normal"/>
    <w:uiPriority w:val="99"/>
    <w:semiHidden/>
    <w:unhideWhenUsed/>
    <w:rsid w:val="00290156"/>
    <w:pPr>
      <w:spacing w:before="100" w:beforeAutospacing="1" w:after="100" w:afterAutospacing="1"/>
    </w:pPr>
    <w:rPr>
      <w:rFonts w:eastAsia="Times New Roman" w:cs="Times New Roman"/>
      <w:kern w:val="0"/>
      <w:lang w:eastAsia="en-GB"/>
      <w14:ligatures w14:val="none"/>
    </w:rPr>
  </w:style>
  <w:style w:type="character" w:customStyle="1" w:styleId="citation-5">
    <w:name w:val="citation-5"/>
    <w:basedOn w:val="DefaultParagraphFont"/>
    <w:rsid w:val="00290156"/>
  </w:style>
  <w:style w:type="character" w:customStyle="1" w:styleId="citation-4">
    <w:name w:val="citation-4"/>
    <w:basedOn w:val="DefaultParagraphFont"/>
    <w:rsid w:val="00290156"/>
  </w:style>
  <w:style w:type="character" w:customStyle="1" w:styleId="citation-3">
    <w:name w:val="citation-3"/>
    <w:basedOn w:val="DefaultParagraphFont"/>
    <w:rsid w:val="00290156"/>
  </w:style>
  <w:style w:type="character" w:customStyle="1" w:styleId="mdc-buttonlabel">
    <w:name w:val="mdc-button__label"/>
    <w:basedOn w:val="DefaultParagraphFont"/>
    <w:rsid w:val="00CE302F"/>
  </w:style>
  <w:style w:type="paragraph" w:customStyle="1" w:styleId="gds-label-m-alt">
    <w:name w:val="gds-label-m-alt"/>
    <w:basedOn w:val="Normal"/>
    <w:rsid w:val="00CE302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FootnoteText">
    <w:name w:val="footnote text"/>
    <w:basedOn w:val="Normal"/>
    <w:link w:val="FootnoteTextChar"/>
    <w:uiPriority w:val="99"/>
    <w:semiHidden/>
    <w:unhideWhenUsed/>
    <w:rsid w:val="00412129"/>
    <w:pPr>
      <w:spacing w:after="0" w:line="240" w:lineRule="auto"/>
    </w:pPr>
    <w:rPr>
      <w:rFonts w:ascii="Times New Roman" w:hAnsi="Times New Roman"/>
      <w:color w:val="000000" w:themeColor="text1"/>
      <w:sz w:val="20"/>
      <w:szCs w:val="20"/>
    </w:rPr>
  </w:style>
  <w:style w:type="character" w:customStyle="1" w:styleId="FootnoteTextChar">
    <w:name w:val="Footnote Text Char"/>
    <w:basedOn w:val="DefaultParagraphFont"/>
    <w:link w:val="FootnoteText"/>
    <w:uiPriority w:val="99"/>
    <w:semiHidden/>
    <w:rsid w:val="00412129"/>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412129"/>
    <w:rPr>
      <w:vertAlign w:val="superscript"/>
    </w:rPr>
  </w:style>
  <w:style w:type="table" w:styleId="TableGrid">
    <w:name w:val="Table Grid"/>
    <w:basedOn w:val="TableNormal"/>
    <w:uiPriority w:val="39"/>
    <w:rsid w:val="00F27DAC"/>
    <w:pPr>
      <w:spacing w:before="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7DA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900766">
      <w:bodyDiv w:val="1"/>
      <w:marLeft w:val="0"/>
      <w:marRight w:val="0"/>
      <w:marTop w:val="0"/>
      <w:marBottom w:val="0"/>
      <w:divBdr>
        <w:top w:val="none" w:sz="0" w:space="0" w:color="auto"/>
        <w:left w:val="none" w:sz="0" w:space="0" w:color="auto"/>
        <w:bottom w:val="none" w:sz="0" w:space="0" w:color="auto"/>
        <w:right w:val="none" w:sz="0" w:space="0" w:color="auto"/>
      </w:divBdr>
    </w:div>
    <w:div w:id="1865165628">
      <w:bodyDiv w:val="1"/>
      <w:marLeft w:val="0"/>
      <w:marRight w:val="0"/>
      <w:marTop w:val="0"/>
      <w:marBottom w:val="0"/>
      <w:divBdr>
        <w:top w:val="none" w:sz="0" w:space="0" w:color="auto"/>
        <w:left w:val="none" w:sz="0" w:space="0" w:color="auto"/>
        <w:bottom w:val="none" w:sz="0" w:space="0" w:color="auto"/>
        <w:right w:val="none" w:sz="0" w:space="0" w:color="auto"/>
      </w:divBdr>
      <w:divsChild>
        <w:div w:id="793598785">
          <w:marLeft w:val="0"/>
          <w:marRight w:val="0"/>
          <w:marTop w:val="0"/>
          <w:marBottom w:val="0"/>
          <w:divBdr>
            <w:top w:val="none" w:sz="0" w:space="0" w:color="auto"/>
            <w:left w:val="none" w:sz="0" w:space="0" w:color="auto"/>
            <w:bottom w:val="none" w:sz="0" w:space="0" w:color="auto"/>
            <w:right w:val="none" w:sz="0" w:space="0" w:color="auto"/>
          </w:divBdr>
          <w:divsChild>
            <w:div w:id="366957091">
              <w:marLeft w:val="0"/>
              <w:marRight w:val="0"/>
              <w:marTop w:val="0"/>
              <w:marBottom w:val="0"/>
              <w:divBdr>
                <w:top w:val="none" w:sz="0" w:space="0" w:color="auto"/>
                <w:left w:val="none" w:sz="0" w:space="0" w:color="auto"/>
                <w:bottom w:val="none" w:sz="0" w:space="0" w:color="auto"/>
                <w:right w:val="none" w:sz="0" w:space="0" w:color="auto"/>
              </w:divBdr>
              <w:divsChild>
                <w:div w:id="411394012">
                  <w:marLeft w:val="0"/>
                  <w:marRight w:val="0"/>
                  <w:marTop w:val="0"/>
                  <w:marBottom w:val="0"/>
                  <w:divBdr>
                    <w:top w:val="none" w:sz="0" w:space="0" w:color="auto"/>
                    <w:left w:val="none" w:sz="0" w:space="0" w:color="auto"/>
                    <w:bottom w:val="none" w:sz="0" w:space="0" w:color="auto"/>
                    <w:right w:val="none" w:sz="0" w:space="0" w:color="auto"/>
                  </w:divBdr>
                  <w:divsChild>
                    <w:div w:id="639502974">
                      <w:marLeft w:val="0"/>
                      <w:marRight w:val="0"/>
                      <w:marTop w:val="0"/>
                      <w:marBottom w:val="0"/>
                      <w:divBdr>
                        <w:top w:val="none" w:sz="0" w:space="0" w:color="auto"/>
                        <w:left w:val="none" w:sz="0" w:space="0" w:color="auto"/>
                        <w:bottom w:val="none" w:sz="0" w:space="0" w:color="auto"/>
                        <w:right w:val="none" w:sz="0" w:space="0" w:color="auto"/>
                      </w:divBdr>
                      <w:divsChild>
                        <w:div w:id="2068262833">
                          <w:marLeft w:val="0"/>
                          <w:marRight w:val="0"/>
                          <w:marTop w:val="0"/>
                          <w:marBottom w:val="0"/>
                          <w:divBdr>
                            <w:top w:val="none" w:sz="0" w:space="0" w:color="auto"/>
                            <w:left w:val="none" w:sz="0" w:space="0" w:color="auto"/>
                            <w:bottom w:val="none" w:sz="0" w:space="0" w:color="auto"/>
                            <w:right w:val="none" w:sz="0" w:space="0" w:color="auto"/>
                          </w:divBdr>
                          <w:divsChild>
                            <w:div w:id="1928296913">
                              <w:marLeft w:val="0"/>
                              <w:marRight w:val="0"/>
                              <w:marTop w:val="0"/>
                              <w:marBottom w:val="0"/>
                              <w:divBdr>
                                <w:top w:val="none" w:sz="0" w:space="0" w:color="auto"/>
                                <w:left w:val="none" w:sz="0" w:space="0" w:color="auto"/>
                                <w:bottom w:val="none" w:sz="0" w:space="0" w:color="auto"/>
                                <w:right w:val="none" w:sz="0" w:space="0" w:color="auto"/>
                              </w:divBdr>
                              <w:divsChild>
                                <w:div w:id="1953703578">
                                  <w:marLeft w:val="0"/>
                                  <w:marRight w:val="0"/>
                                  <w:marTop w:val="0"/>
                                  <w:marBottom w:val="0"/>
                                  <w:divBdr>
                                    <w:top w:val="none" w:sz="0" w:space="0" w:color="auto"/>
                                    <w:left w:val="none" w:sz="0" w:space="0" w:color="auto"/>
                                    <w:bottom w:val="none" w:sz="0" w:space="0" w:color="auto"/>
                                    <w:right w:val="none" w:sz="0" w:space="0" w:color="auto"/>
                                  </w:divBdr>
                                  <w:divsChild>
                                    <w:div w:id="13879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9237">
          <w:marLeft w:val="0"/>
          <w:marRight w:val="0"/>
          <w:marTop w:val="0"/>
          <w:marBottom w:val="0"/>
          <w:divBdr>
            <w:top w:val="none" w:sz="0" w:space="0" w:color="auto"/>
            <w:left w:val="none" w:sz="0" w:space="0" w:color="auto"/>
            <w:bottom w:val="none" w:sz="0" w:space="0" w:color="auto"/>
            <w:right w:val="none" w:sz="0" w:space="0" w:color="auto"/>
          </w:divBdr>
        </w:div>
        <w:div w:id="1516532161">
          <w:marLeft w:val="0"/>
          <w:marRight w:val="0"/>
          <w:marTop w:val="0"/>
          <w:marBottom w:val="0"/>
          <w:divBdr>
            <w:top w:val="none" w:sz="0" w:space="0" w:color="auto"/>
            <w:left w:val="none" w:sz="0" w:space="0" w:color="auto"/>
            <w:bottom w:val="none" w:sz="0" w:space="0" w:color="auto"/>
            <w:right w:val="none" w:sz="0" w:space="0" w:color="auto"/>
          </w:divBdr>
          <w:divsChild>
            <w:div w:id="580720080">
              <w:marLeft w:val="0"/>
              <w:marRight w:val="0"/>
              <w:marTop w:val="0"/>
              <w:marBottom w:val="0"/>
              <w:divBdr>
                <w:top w:val="none" w:sz="0" w:space="0" w:color="auto"/>
                <w:left w:val="none" w:sz="0" w:space="0" w:color="auto"/>
                <w:bottom w:val="none" w:sz="0" w:space="0" w:color="auto"/>
                <w:right w:val="none" w:sz="0" w:space="0" w:color="auto"/>
              </w:divBdr>
              <w:divsChild>
                <w:div w:id="703754802">
                  <w:marLeft w:val="0"/>
                  <w:marRight w:val="0"/>
                  <w:marTop w:val="0"/>
                  <w:marBottom w:val="0"/>
                  <w:divBdr>
                    <w:top w:val="none" w:sz="0" w:space="0" w:color="auto"/>
                    <w:left w:val="none" w:sz="0" w:space="0" w:color="auto"/>
                    <w:bottom w:val="none" w:sz="0" w:space="0" w:color="auto"/>
                    <w:right w:val="none" w:sz="0" w:space="0" w:color="auto"/>
                  </w:divBdr>
                  <w:divsChild>
                    <w:div w:id="217480257">
                      <w:marLeft w:val="0"/>
                      <w:marRight w:val="0"/>
                      <w:marTop w:val="0"/>
                      <w:marBottom w:val="0"/>
                      <w:divBdr>
                        <w:top w:val="none" w:sz="0" w:space="0" w:color="auto"/>
                        <w:left w:val="none" w:sz="0" w:space="0" w:color="auto"/>
                        <w:bottom w:val="none" w:sz="0" w:space="0" w:color="auto"/>
                        <w:right w:val="none" w:sz="0" w:space="0" w:color="auto"/>
                      </w:divBdr>
                      <w:divsChild>
                        <w:div w:id="1956063505">
                          <w:marLeft w:val="0"/>
                          <w:marRight w:val="0"/>
                          <w:marTop w:val="0"/>
                          <w:marBottom w:val="0"/>
                          <w:divBdr>
                            <w:top w:val="none" w:sz="0" w:space="0" w:color="auto"/>
                            <w:left w:val="none" w:sz="0" w:space="0" w:color="auto"/>
                            <w:bottom w:val="none" w:sz="0" w:space="0" w:color="auto"/>
                            <w:right w:val="none" w:sz="0" w:space="0" w:color="auto"/>
                          </w:divBdr>
                          <w:divsChild>
                            <w:div w:id="728381684">
                              <w:marLeft w:val="0"/>
                              <w:marRight w:val="0"/>
                              <w:marTop w:val="0"/>
                              <w:marBottom w:val="0"/>
                              <w:divBdr>
                                <w:top w:val="none" w:sz="0" w:space="0" w:color="auto"/>
                                <w:left w:val="none" w:sz="0" w:space="0" w:color="auto"/>
                                <w:bottom w:val="none" w:sz="0" w:space="0" w:color="auto"/>
                                <w:right w:val="none" w:sz="0" w:space="0" w:color="auto"/>
                              </w:divBdr>
                              <w:divsChild>
                                <w:div w:id="16211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84583">
                      <w:marLeft w:val="0"/>
                      <w:marRight w:val="0"/>
                      <w:marTop w:val="0"/>
                      <w:marBottom w:val="0"/>
                      <w:divBdr>
                        <w:top w:val="none" w:sz="0" w:space="0" w:color="auto"/>
                        <w:left w:val="none" w:sz="0" w:space="0" w:color="auto"/>
                        <w:bottom w:val="none" w:sz="0" w:space="0" w:color="auto"/>
                        <w:right w:val="none" w:sz="0" w:space="0" w:color="auto"/>
                      </w:divBdr>
                      <w:divsChild>
                        <w:div w:id="184756590">
                          <w:marLeft w:val="0"/>
                          <w:marRight w:val="0"/>
                          <w:marTop w:val="0"/>
                          <w:marBottom w:val="0"/>
                          <w:divBdr>
                            <w:top w:val="none" w:sz="0" w:space="0" w:color="auto"/>
                            <w:left w:val="none" w:sz="0" w:space="0" w:color="auto"/>
                            <w:bottom w:val="none" w:sz="0" w:space="0" w:color="auto"/>
                            <w:right w:val="none" w:sz="0" w:space="0" w:color="auto"/>
                          </w:divBdr>
                          <w:divsChild>
                            <w:div w:id="17425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809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FC8E9-A50A-454E-9BF5-66CA6302C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1079</Words>
  <Characters>6151</Characters>
  <Application>Microsoft Office Word</Application>
  <DocSecurity>0</DocSecurity>
  <Lines>51</Lines>
  <Paragraphs>14</Paragraphs>
  <ScaleCrop>false</ScaleCrop>
  <Company>Olivia Lao</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LAWS6087 – INTERNET LAW</dc:title>
  <dc:subject>RESEARCH ASSIGNMENT – Wikijuris Textbook Contribution</dc:subject>
  <dc:creator>Olivia Lao</dc:creator>
  <cp:keywords/>
  <dc:description/>
  <cp:lastModifiedBy>Marie Hadley</cp:lastModifiedBy>
  <cp:revision>3</cp:revision>
  <dcterms:created xsi:type="dcterms:W3CDTF">2026-08-17T09:53:00Z</dcterms:created>
  <dcterms:modified xsi:type="dcterms:W3CDTF">2026-08-17T09:53:00Z</dcterms:modified>
  <cp:category>C3369836</cp:category>
</cp:coreProperties>
</file>