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7E555" w14:textId="7E6530CE" w:rsidR="00A45189" w:rsidRDefault="00CA792D" w:rsidP="001D2A23">
      <w:pPr>
        <w:spacing w:line="276" w:lineRule="auto"/>
        <w:rPr>
          <w:b/>
          <w:bCs/>
        </w:rPr>
      </w:pPr>
      <w:r>
        <w:rPr>
          <w:b/>
          <w:bCs/>
        </w:rPr>
        <w:t>Introducing a Statutory Right to Privacy (2025)</w:t>
      </w:r>
    </w:p>
    <w:p w14:paraId="0A71DCAA" w14:textId="77777777" w:rsidR="00CA792D" w:rsidRDefault="00CA792D" w:rsidP="001D2A23">
      <w:pPr>
        <w:spacing w:line="276" w:lineRule="auto"/>
      </w:pPr>
    </w:p>
    <w:p w14:paraId="15FB2419" w14:textId="65E93810" w:rsidR="00CA792D" w:rsidRDefault="00CA792D" w:rsidP="001D2A23">
      <w:pPr>
        <w:pStyle w:val="ListParagraph"/>
        <w:spacing w:line="276" w:lineRule="auto"/>
        <w:ind w:left="360"/>
      </w:pPr>
      <w:r>
        <w:t xml:space="preserve">In June 2025, changes to the </w:t>
      </w:r>
      <w:r>
        <w:rPr>
          <w:i/>
          <w:iCs/>
        </w:rPr>
        <w:t>Privacy Act 1988</w:t>
      </w:r>
      <w:r>
        <w:t xml:space="preserve"> </w:t>
      </w:r>
      <w:r w:rsidR="00794D6F">
        <w:t>(Cth)</w:t>
      </w:r>
      <w:r w:rsidR="00794D6F">
        <w:rPr>
          <w:rStyle w:val="FootnoteReference"/>
        </w:rPr>
        <w:footnoteReference w:id="1"/>
      </w:r>
      <w:r w:rsidR="00794D6F">
        <w:t xml:space="preserve"> </w:t>
      </w:r>
      <w:r>
        <w:t>took effect to introduce a statutory tort for serious invasions of privacy.</w:t>
      </w:r>
      <w:r>
        <w:rPr>
          <w:rStyle w:val="FootnoteReference"/>
        </w:rPr>
        <w:footnoteReference w:id="2"/>
      </w:r>
      <w:r>
        <w:t xml:space="preserve"> This offered individuals a formal statutory right to privacy for the first time in Australia. Critics had argued that the existing Act was</w:t>
      </w:r>
      <w:r w:rsidR="00AD363F">
        <w:t xml:space="preserve"> </w:t>
      </w:r>
      <w:r>
        <w:t>no longer fit for purpose in a digital era, and not capable of responding adequately to threats such as d</w:t>
      </w:r>
      <w:r w:rsidR="00085011">
        <w:t>o</w:t>
      </w:r>
      <w:r>
        <w:t>xing</w:t>
      </w:r>
      <w:r>
        <w:rPr>
          <w:rStyle w:val="FootnoteReference"/>
        </w:rPr>
        <w:footnoteReference w:id="3"/>
      </w:r>
      <w:r>
        <w:t xml:space="preserve"> and large-scale data breaches. This development was many years in the making, and it took </w:t>
      </w:r>
      <w:r w:rsidR="00E813DD">
        <w:t>several</w:t>
      </w:r>
      <w:r>
        <w:t xml:space="preserve"> reviews before the decision was reached. </w:t>
      </w:r>
    </w:p>
    <w:p w14:paraId="5E326E5E" w14:textId="77777777" w:rsidR="00E813DD" w:rsidRDefault="00E813DD" w:rsidP="001D2A23">
      <w:pPr>
        <w:spacing w:line="276" w:lineRule="auto"/>
      </w:pPr>
    </w:p>
    <w:p w14:paraId="737AF379" w14:textId="7E24ED61" w:rsidR="00E813DD" w:rsidRDefault="00E813DD" w:rsidP="001D2A23">
      <w:pPr>
        <w:pStyle w:val="ListParagraph"/>
        <w:numPr>
          <w:ilvl w:val="0"/>
          <w:numId w:val="1"/>
        </w:numPr>
        <w:spacing w:line="276" w:lineRule="auto"/>
        <w:rPr>
          <w:b/>
          <w:bCs/>
        </w:rPr>
      </w:pPr>
      <w:r w:rsidRPr="00E813DD">
        <w:rPr>
          <w:b/>
          <w:bCs/>
        </w:rPr>
        <w:t xml:space="preserve">Background </w:t>
      </w:r>
      <w:r>
        <w:rPr>
          <w:b/>
          <w:bCs/>
        </w:rPr>
        <w:t>and Developments</w:t>
      </w:r>
    </w:p>
    <w:p w14:paraId="042BBD47" w14:textId="77777777" w:rsidR="00E813DD" w:rsidRDefault="00E813DD" w:rsidP="001D2A23">
      <w:pPr>
        <w:pStyle w:val="ListParagraph"/>
        <w:spacing w:line="276" w:lineRule="auto"/>
        <w:rPr>
          <w:b/>
          <w:bCs/>
        </w:rPr>
      </w:pPr>
    </w:p>
    <w:p w14:paraId="7D5C28BC" w14:textId="0C38F9C4" w:rsidR="00E813DD" w:rsidRDefault="00E813DD" w:rsidP="001D2A23">
      <w:pPr>
        <w:pStyle w:val="ListParagraph"/>
        <w:spacing w:line="276" w:lineRule="auto"/>
        <w:ind w:left="360"/>
      </w:pPr>
      <w:r>
        <w:t xml:space="preserve">Until the early 2000s, Australia had been operating </w:t>
      </w:r>
      <w:r w:rsidR="00794D6F">
        <w:t>on</w:t>
      </w:r>
      <w:r>
        <w:t xml:space="preserve"> the assumption that there was no general right to privacy, as famously established in </w:t>
      </w:r>
      <w:r w:rsidRPr="00E813DD">
        <w:rPr>
          <w:i/>
          <w:iCs/>
        </w:rPr>
        <w:t>Victoria Park Racing and Recreation Grounds Co Ltd v Taylor</w:t>
      </w:r>
      <w:r w:rsidRPr="00E813DD">
        <w:t xml:space="preserve"> (1937)</w:t>
      </w:r>
      <w:r>
        <w:t>.</w:t>
      </w:r>
      <w:r>
        <w:rPr>
          <w:rStyle w:val="FootnoteReference"/>
        </w:rPr>
        <w:footnoteReference w:id="4"/>
      </w:r>
      <w:r>
        <w:t xml:space="preserve"> However, in </w:t>
      </w:r>
      <w:r w:rsidRPr="00E813DD">
        <w:rPr>
          <w:i/>
          <w:iCs/>
        </w:rPr>
        <w:t>Australian Broadcasting Corporation v Lenah Game Meats Pty Ltd</w:t>
      </w:r>
      <w:r w:rsidRPr="00E813DD">
        <w:t xml:space="preserve"> (2001)</w:t>
      </w:r>
      <w:r w:rsidR="00794D6F">
        <w:t xml:space="preserve"> the High Court </w:t>
      </w:r>
      <w:r w:rsidR="002A4F24">
        <w:t>departed from this view,</w:t>
      </w:r>
      <w:r>
        <w:t xml:space="preserve"> and Callinan J went so far as to indicate that the </w:t>
      </w:r>
      <w:r>
        <w:rPr>
          <w:i/>
          <w:iCs/>
        </w:rPr>
        <w:t>Victoria Park</w:t>
      </w:r>
      <w:r>
        <w:t xml:space="preserve"> decision was not applicable in a case of invasion of privacy.</w:t>
      </w:r>
      <w:r>
        <w:rPr>
          <w:rStyle w:val="FootnoteReference"/>
        </w:rPr>
        <w:footnoteReference w:id="5"/>
      </w:r>
      <w:r w:rsidR="006F2806">
        <w:t xml:space="preserve"> This was a significant turning point on the matter, with</w:t>
      </w:r>
      <w:r w:rsidR="006F2806">
        <w:rPr>
          <w:i/>
          <w:iCs/>
        </w:rPr>
        <w:t xml:space="preserve"> Victoria Park</w:t>
      </w:r>
      <w:r w:rsidR="006F2806">
        <w:t xml:space="preserve"> being described previously as an ‘obstacle’ to Australia’s development of a tort for invasion of privacy.</w:t>
      </w:r>
      <w:r w:rsidR="006F2806">
        <w:rPr>
          <w:rStyle w:val="FootnoteReference"/>
        </w:rPr>
        <w:footnoteReference w:id="6"/>
      </w:r>
      <w:r w:rsidR="006F2806">
        <w:t xml:space="preserve"> </w:t>
      </w:r>
    </w:p>
    <w:p w14:paraId="598FE418" w14:textId="77777777" w:rsidR="006F2806" w:rsidRDefault="006F2806" w:rsidP="001D2A23">
      <w:pPr>
        <w:pStyle w:val="ListParagraph"/>
        <w:spacing w:line="276" w:lineRule="auto"/>
        <w:ind w:left="360"/>
      </w:pPr>
    </w:p>
    <w:p w14:paraId="0A612D1B" w14:textId="6040C011" w:rsidR="006F2806" w:rsidRDefault="006F2806" w:rsidP="001D2A23">
      <w:pPr>
        <w:pStyle w:val="ListParagraph"/>
        <w:spacing w:line="276" w:lineRule="auto"/>
        <w:ind w:left="360"/>
      </w:pPr>
      <w:r>
        <w:t xml:space="preserve">However, </w:t>
      </w:r>
      <w:r>
        <w:rPr>
          <w:i/>
          <w:iCs/>
        </w:rPr>
        <w:t xml:space="preserve">Lenah Game Meats </w:t>
      </w:r>
      <w:r w:rsidR="002A4F24">
        <w:t xml:space="preserve">stopped short of formally acknowledging such a tort. Subsequent reviews of Australia’s privacy laws </w:t>
      </w:r>
      <w:r w:rsidR="00042C89">
        <w:t>in the years after</w:t>
      </w:r>
      <w:r w:rsidR="002A4F24">
        <w:t xml:space="preserve"> the case </w:t>
      </w:r>
      <w:r>
        <w:t>suggested that statutory reform would</w:t>
      </w:r>
      <w:r w:rsidR="002A4F24">
        <w:t xml:space="preserve"> therefore</w:t>
      </w:r>
      <w:r>
        <w:t xml:space="preserve"> be beneficial in clarifying</w:t>
      </w:r>
      <w:r w:rsidR="004C74AD">
        <w:t xml:space="preserve"> uncertainty in the law</w:t>
      </w:r>
      <w:r>
        <w:t xml:space="preserve">. </w:t>
      </w:r>
    </w:p>
    <w:p w14:paraId="7C2104BF" w14:textId="77777777" w:rsidR="006F2806" w:rsidRDefault="006F2806" w:rsidP="001D2A23">
      <w:pPr>
        <w:pStyle w:val="ListParagraph"/>
        <w:spacing w:line="276" w:lineRule="auto"/>
        <w:ind w:left="360"/>
      </w:pPr>
    </w:p>
    <w:p w14:paraId="75807ED8" w14:textId="2B3AD2AE" w:rsidR="006F2806" w:rsidRDefault="006F2806" w:rsidP="001D2A23">
      <w:pPr>
        <w:pStyle w:val="ListParagraph"/>
        <w:spacing w:line="276" w:lineRule="auto"/>
        <w:ind w:left="360"/>
      </w:pPr>
      <w:r>
        <w:t xml:space="preserve">In its 2008 report, </w:t>
      </w:r>
      <w:r>
        <w:rPr>
          <w:i/>
          <w:iCs/>
        </w:rPr>
        <w:t>For Your Information: Australian Privacy Law and Practice</w:t>
      </w:r>
      <w:r>
        <w:t>, the Australian Law Reform Commission (ALRC) observed that Australia was trailing behind other jurisdictions in developing statutory torts for invasions of privacy.</w:t>
      </w:r>
      <w:r>
        <w:rPr>
          <w:rStyle w:val="FootnoteReference"/>
        </w:rPr>
        <w:footnoteReference w:id="7"/>
      </w:r>
      <w:r>
        <w:t xml:space="preserve"> </w:t>
      </w:r>
      <w:r w:rsidR="00794D6F">
        <w:t>I</w:t>
      </w:r>
      <w:r>
        <w:t>t</w:t>
      </w:r>
      <w:r w:rsidR="00794D6F">
        <w:t xml:space="preserve"> also suggested that overlapping and complex privacy laws across federal, state and territory jurisdictions made enforcement difficult, that privacy principles differed </w:t>
      </w:r>
      <w:r w:rsidR="00794D6F">
        <w:lastRenderedPageBreak/>
        <w:t xml:space="preserve">between the private and public sectors, and that definitions in the </w:t>
      </w:r>
      <w:r w:rsidR="00794D6F">
        <w:rPr>
          <w:i/>
          <w:iCs/>
        </w:rPr>
        <w:t xml:space="preserve">Privacy Act </w:t>
      </w:r>
      <w:r w:rsidR="00794D6F">
        <w:t>were not well suited to emerging technologies.</w:t>
      </w:r>
      <w:r w:rsidR="00794D6F">
        <w:rPr>
          <w:rStyle w:val="FootnoteReference"/>
        </w:rPr>
        <w:footnoteReference w:id="8"/>
      </w:r>
    </w:p>
    <w:p w14:paraId="73528DA3" w14:textId="77777777" w:rsidR="002A4F24" w:rsidRDefault="002A4F24" w:rsidP="001D2A23">
      <w:pPr>
        <w:pStyle w:val="ListParagraph"/>
        <w:spacing w:line="276" w:lineRule="auto"/>
        <w:ind w:left="360"/>
      </w:pPr>
    </w:p>
    <w:p w14:paraId="37DB5C76" w14:textId="7C1DCEEA" w:rsidR="002A4F24" w:rsidRDefault="002A4F24" w:rsidP="001D2A23">
      <w:pPr>
        <w:pStyle w:val="ListParagraph"/>
        <w:spacing w:line="276" w:lineRule="auto"/>
        <w:ind w:left="360"/>
      </w:pPr>
      <w:r>
        <w:t xml:space="preserve">In December 2017, the Australian Competition and Consumer Commission (ACCC) </w:t>
      </w:r>
      <w:r w:rsidR="00AD363F">
        <w:t>conducted an</w:t>
      </w:r>
      <w:r>
        <w:t xml:space="preserve"> inquiry into digital platforms,</w:t>
      </w:r>
      <w:r w:rsidR="00520497">
        <w:rPr>
          <w:rStyle w:val="FootnoteReference"/>
        </w:rPr>
        <w:footnoteReference w:id="9"/>
      </w:r>
      <w:r>
        <w:t xml:space="preserve"> </w:t>
      </w:r>
      <w:r w:rsidR="00AD363F">
        <w:t>resulting in the</w:t>
      </w:r>
      <w:r>
        <w:t xml:space="preserve"> </w:t>
      </w:r>
      <w:r>
        <w:rPr>
          <w:i/>
          <w:iCs/>
        </w:rPr>
        <w:t xml:space="preserve">Digital Platforms Inquiry – Final Report </w:t>
      </w:r>
      <w:r>
        <w:t>in June 2019.</w:t>
      </w:r>
      <w:r>
        <w:rPr>
          <w:rStyle w:val="FootnoteReference"/>
        </w:rPr>
        <w:footnoteReference w:id="10"/>
      </w:r>
      <w:r w:rsidR="004C74AD">
        <w:t xml:space="preserve"> This report </w:t>
      </w:r>
      <w:r w:rsidR="00CE72C2">
        <w:t>highlighted the</w:t>
      </w:r>
      <w:r w:rsidR="004C74AD">
        <w:t xml:space="preserve"> effects that digital platforms have on society and the responsibilities that the platforms hold in facilitating access to digital technologies. An important consideration was how consumer protection and privacy is handled in an ever-changing digital era. With expansive consumer information now circulating online, it advised of necessary reform to the </w:t>
      </w:r>
      <w:r w:rsidR="004C74AD">
        <w:rPr>
          <w:i/>
          <w:iCs/>
        </w:rPr>
        <w:t>Privacy Act</w:t>
      </w:r>
      <w:r w:rsidR="004C74AD">
        <w:t xml:space="preserve"> to protect the privacy of consumers. Specifically, Recommendation 19 was to introduce a statutory tort for serious invasions of privacy.</w:t>
      </w:r>
      <w:r w:rsidR="004C74AD">
        <w:rPr>
          <w:rStyle w:val="FootnoteReference"/>
        </w:rPr>
        <w:footnoteReference w:id="11"/>
      </w:r>
      <w:r w:rsidR="004C74AD">
        <w:t xml:space="preserve"> </w:t>
      </w:r>
    </w:p>
    <w:p w14:paraId="5AFE2A97" w14:textId="77777777" w:rsidR="00C81D32" w:rsidRDefault="00C81D32" w:rsidP="001D2A23">
      <w:pPr>
        <w:pStyle w:val="ListParagraph"/>
        <w:spacing w:line="276" w:lineRule="auto"/>
        <w:ind w:left="360"/>
      </w:pPr>
    </w:p>
    <w:p w14:paraId="2ADF85FF" w14:textId="30CC3704" w:rsidR="00C81D32" w:rsidRDefault="00F301B5" w:rsidP="001D2A23">
      <w:pPr>
        <w:pStyle w:val="ListParagraph"/>
        <w:spacing w:line="276" w:lineRule="auto"/>
        <w:ind w:left="360"/>
      </w:pPr>
      <w:r>
        <w:t>The</w:t>
      </w:r>
      <w:r w:rsidR="00C81D32">
        <w:t xml:space="preserve"> </w:t>
      </w:r>
      <w:r w:rsidR="00C81D32">
        <w:rPr>
          <w:i/>
          <w:iCs/>
        </w:rPr>
        <w:t>Privacy Act Review 202</w:t>
      </w:r>
      <w:r w:rsidR="00526E28">
        <w:rPr>
          <w:i/>
          <w:iCs/>
        </w:rPr>
        <w:t>3</w:t>
      </w:r>
      <w:r>
        <w:rPr>
          <w:i/>
          <w:iCs/>
        </w:rPr>
        <w:t xml:space="preserve"> </w:t>
      </w:r>
      <w:r w:rsidRPr="00F301B5">
        <w:t>subsequently</w:t>
      </w:r>
      <w:r>
        <w:rPr>
          <w:i/>
          <w:iCs/>
        </w:rPr>
        <w:t xml:space="preserve"> </w:t>
      </w:r>
      <w:r w:rsidR="00C81D32" w:rsidRPr="00C81D32">
        <w:t>reinforced the n</w:t>
      </w:r>
      <w:r w:rsidR="00C81D32">
        <w:t>eed for reform as Australians increasingly lived within the online space and faced risks such as data breaches, identity fraud, blackmail and reputational harm.</w:t>
      </w:r>
      <w:r w:rsidR="00C81D32">
        <w:rPr>
          <w:rStyle w:val="FootnoteReference"/>
        </w:rPr>
        <w:footnoteReference w:id="12"/>
      </w:r>
      <w:r w:rsidR="00C81D32">
        <w:t xml:space="preserve"> Lower courts had recognised a tort of invasion of privacy </w:t>
      </w:r>
      <w:r w:rsidR="00C81D32" w:rsidRPr="00C81D32">
        <w:t>(</w:t>
      </w:r>
      <w:r w:rsidR="00C81D32" w:rsidRPr="00C81D32">
        <w:rPr>
          <w:i/>
          <w:iCs/>
        </w:rPr>
        <w:t>Grosse v Purvis</w:t>
      </w:r>
      <w:r w:rsidR="00C81D32" w:rsidRPr="00C81D32">
        <w:t xml:space="preserve">; </w:t>
      </w:r>
      <w:r w:rsidR="00C81D32" w:rsidRPr="00C81D32">
        <w:rPr>
          <w:i/>
          <w:iCs/>
        </w:rPr>
        <w:t>Doe v ABC</w:t>
      </w:r>
      <w:r w:rsidR="00C81D32" w:rsidRPr="00C81D32">
        <w:t>)</w:t>
      </w:r>
      <w:r w:rsidR="00C81D32">
        <w:rPr>
          <w:rStyle w:val="FootnoteReference"/>
        </w:rPr>
        <w:footnoteReference w:id="13"/>
      </w:r>
      <w:r w:rsidR="003C3D7F">
        <w:t xml:space="preserve"> however appellate courts had not, and the High Court in </w:t>
      </w:r>
      <w:r w:rsidR="003C3D7F" w:rsidRPr="003C3D7F">
        <w:rPr>
          <w:i/>
          <w:iCs/>
        </w:rPr>
        <w:t xml:space="preserve">Smethurst v Commissioner of Police </w:t>
      </w:r>
      <w:r w:rsidR="003C3D7F">
        <w:t xml:space="preserve">[2020] acknowledged privacy issues but </w:t>
      </w:r>
      <w:r w:rsidR="00C75C67">
        <w:t xml:space="preserve">still </w:t>
      </w:r>
      <w:r w:rsidR="003C3D7F">
        <w:t>left them unresolved.</w:t>
      </w:r>
      <w:r w:rsidR="003C3D7F" w:rsidRPr="003C3D7F">
        <w:rPr>
          <w:rStyle w:val="FootnoteReference"/>
        </w:rPr>
        <w:t xml:space="preserve"> </w:t>
      </w:r>
      <w:r w:rsidR="003C3D7F">
        <w:rPr>
          <w:rStyle w:val="FootnoteReference"/>
        </w:rPr>
        <w:footnoteReference w:id="14"/>
      </w:r>
      <w:r w:rsidR="003C3D7F">
        <w:t xml:space="preserve"> This reaffirmed that without statutory reform, the matter would likely remain uncertain and jurisdictionally inconsistent. </w:t>
      </w:r>
    </w:p>
    <w:p w14:paraId="6986CFAA" w14:textId="77777777" w:rsidR="003C3D7F" w:rsidRDefault="003C3D7F" w:rsidP="001D2A23">
      <w:pPr>
        <w:pStyle w:val="ListParagraph"/>
        <w:spacing w:line="276" w:lineRule="auto"/>
        <w:ind w:left="360"/>
      </w:pPr>
    </w:p>
    <w:p w14:paraId="7CEA97C8" w14:textId="5C5D1F43" w:rsidR="003C3D7F" w:rsidRPr="003C3D7F" w:rsidRDefault="003C3D7F" w:rsidP="001D2A23">
      <w:pPr>
        <w:pStyle w:val="ListParagraph"/>
        <w:numPr>
          <w:ilvl w:val="0"/>
          <w:numId w:val="1"/>
        </w:numPr>
        <w:spacing w:line="276" w:lineRule="auto"/>
        <w:rPr>
          <w:b/>
          <w:bCs/>
        </w:rPr>
      </w:pPr>
      <w:r w:rsidRPr="003C3D7F">
        <w:rPr>
          <w:b/>
          <w:bCs/>
        </w:rPr>
        <w:t>Statutory Reform</w:t>
      </w:r>
    </w:p>
    <w:p w14:paraId="4043BA14" w14:textId="77777777" w:rsidR="003C3D7F" w:rsidRDefault="003C3D7F" w:rsidP="001D2A23">
      <w:pPr>
        <w:pStyle w:val="ListParagraph"/>
        <w:spacing w:line="276" w:lineRule="auto"/>
        <w:ind w:left="360"/>
      </w:pPr>
    </w:p>
    <w:p w14:paraId="23638CCF" w14:textId="21CF35A5" w:rsidR="003C3D7F" w:rsidRDefault="00A24781" w:rsidP="001D2A23">
      <w:pPr>
        <w:pStyle w:val="ListParagraph"/>
        <w:spacing w:line="276" w:lineRule="auto"/>
        <w:ind w:left="360"/>
      </w:pPr>
      <w:r>
        <w:t xml:space="preserve">The </w:t>
      </w:r>
      <w:r w:rsidRPr="00182888">
        <w:rPr>
          <w:i/>
          <w:iCs/>
        </w:rPr>
        <w:t>Privacy and Other Legislation Amendment Bill 2024</w:t>
      </w:r>
      <w:r>
        <w:t xml:space="preserve"> was introduced to Parliament on </w:t>
      </w:r>
      <w:r w:rsidR="00B93F43">
        <w:t xml:space="preserve">12 September 2024 and </w:t>
      </w:r>
      <w:r w:rsidR="00246BB3">
        <w:t xml:space="preserve">passed by both houses on 10 December 2024. </w:t>
      </w:r>
      <w:r w:rsidR="00B93F43">
        <w:t>In his Explanatory Memorandum,</w:t>
      </w:r>
      <w:r w:rsidR="00BB0FBE">
        <w:rPr>
          <w:rStyle w:val="FootnoteReference"/>
        </w:rPr>
        <w:footnoteReference w:id="15"/>
      </w:r>
      <w:r w:rsidR="00B93F43">
        <w:t xml:space="preserve"> Attorney-General Mark Dreyfus </w:t>
      </w:r>
      <w:r w:rsidR="00864C5E">
        <w:t>addressed</w:t>
      </w:r>
      <w:r w:rsidR="00C53B86">
        <w:t xml:space="preserve"> many of the issues </w:t>
      </w:r>
      <w:r w:rsidR="00864C5E">
        <w:t xml:space="preserve">within the existing </w:t>
      </w:r>
      <w:r w:rsidR="00864C5E">
        <w:rPr>
          <w:i/>
          <w:iCs/>
        </w:rPr>
        <w:t xml:space="preserve">Privacy </w:t>
      </w:r>
      <w:r w:rsidR="00864C5E" w:rsidRPr="00864C5E">
        <w:rPr>
          <w:i/>
          <w:iCs/>
        </w:rPr>
        <w:t>Act</w:t>
      </w:r>
      <w:r w:rsidR="005D1AC4">
        <w:t xml:space="preserve"> which had been highlighted by the preceding reports</w:t>
      </w:r>
      <w:r w:rsidR="00B47A04">
        <w:t>, with several proposals to strengthen the Act</w:t>
      </w:r>
      <w:r w:rsidR="005D1AC4">
        <w:t xml:space="preserve">. </w:t>
      </w:r>
      <w:r w:rsidR="00B47A04">
        <w:t xml:space="preserve">Among these was the introduction of a statutory cause of action in tort for serious invasions of privacy. </w:t>
      </w:r>
    </w:p>
    <w:p w14:paraId="4FAF9039" w14:textId="77777777" w:rsidR="00B97A86" w:rsidRDefault="00B97A86" w:rsidP="001D2A23">
      <w:pPr>
        <w:pStyle w:val="ListParagraph"/>
        <w:spacing w:line="276" w:lineRule="auto"/>
        <w:ind w:left="360"/>
      </w:pPr>
    </w:p>
    <w:p w14:paraId="114CCF56" w14:textId="38B9EDEB" w:rsidR="00085011" w:rsidRPr="00085011" w:rsidRDefault="00B97A86" w:rsidP="001D2A23">
      <w:pPr>
        <w:pStyle w:val="ListParagraph"/>
        <w:spacing w:line="276" w:lineRule="auto"/>
        <w:ind w:left="360"/>
      </w:pPr>
      <w:r>
        <w:lastRenderedPageBreak/>
        <w:t xml:space="preserve">The </w:t>
      </w:r>
      <w:r w:rsidR="00E30CDC">
        <w:t xml:space="preserve">Explanatory </w:t>
      </w:r>
      <w:r>
        <w:t xml:space="preserve">Memorandum </w:t>
      </w:r>
      <w:r w:rsidR="00FF2B02">
        <w:t>outlined</w:t>
      </w:r>
      <w:r w:rsidR="00D749C3">
        <w:t xml:space="preserve"> that </w:t>
      </w:r>
      <w:r>
        <w:t xml:space="preserve">reforms </w:t>
      </w:r>
      <w:r w:rsidR="00D749C3">
        <w:t xml:space="preserve">needed </w:t>
      </w:r>
      <w:r>
        <w:t>to be flexible so it could address ‘current and emerging privacy risks,’</w:t>
      </w:r>
      <w:r w:rsidR="006378DD">
        <w:t xml:space="preserve"> </w:t>
      </w:r>
      <w:r w:rsidR="00594FE4">
        <w:t>and</w:t>
      </w:r>
      <w:r w:rsidR="00E30CDC">
        <w:t xml:space="preserve"> to</w:t>
      </w:r>
      <w:r w:rsidR="00594FE4">
        <w:t xml:space="preserve"> expand the types of s</w:t>
      </w:r>
      <w:r w:rsidR="00FB67BB">
        <w:t xml:space="preserve">erious invasions of privacy, such as physical privacy and misuse of information. </w:t>
      </w:r>
      <w:r w:rsidR="00085011">
        <w:t>It also</w:t>
      </w:r>
      <w:r w:rsidR="00085011" w:rsidRPr="00085011">
        <w:t xml:space="preserve"> pointed to recent technological developments which could impact upon an individual’s right to privacy, including (but not limited to) doxing.  </w:t>
      </w:r>
    </w:p>
    <w:p w14:paraId="79D23BCB" w14:textId="77777777" w:rsidR="00085011" w:rsidRDefault="00085011" w:rsidP="001D2A23">
      <w:pPr>
        <w:spacing w:line="276" w:lineRule="auto"/>
      </w:pPr>
    </w:p>
    <w:p w14:paraId="5F7A04C7" w14:textId="6BD39663" w:rsidR="00AC68E3" w:rsidRDefault="00085011" w:rsidP="001D2A23">
      <w:pPr>
        <w:pStyle w:val="ListParagraph"/>
        <w:spacing w:line="276" w:lineRule="auto"/>
        <w:ind w:left="360"/>
      </w:pPr>
      <w:r>
        <w:t>One particular challenge which had to be dealt with was that, p</w:t>
      </w:r>
      <w:r w:rsidR="007F68CA">
        <w:t xml:space="preserve">rior to the </w:t>
      </w:r>
      <w:r w:rsidR="00557558">
        <w:t xml:space="preserve">reforms, the </w:t>
      </w:r>
      <w:r w:rsidR="00557558" w:rsidRPr="00FB67BB">
        <w:rPr>
          <w:i/>
          <w:iCs/>
        </w:rPr>
        <w:t xml:space="preserve">Privacy Act </w:t>
      </w:r>
      <w:r w:rsidR="00557558">
        <w:t>was</w:t>
      </w:r>
      <w:r w:rsidR="00FB67BB">
        <w:t xml:space="preserve"> </w:t>
      </w:r>
      <w:r w:rsidR="00557558">
        <w:t xml:space="preserve">largely limited to regulating </w:t>
      </w:r>
      <w:r w:rsidR="002D78B4">
        <w:t>APP entities</w:t>
      </w:r>
      <w:r w:rsidR="0061594A">
        <w:t xml:space="preserve"> and didn’t </w:t>
      </w:r>
      <w:r w:rsidR="00B86B93">
        <w:t xml:space="preserve">account for individuals seeking redress in the </w:t>
      </w:r>
      <w:r w:rsidR="006233AA">
        <w:t>c</w:t>
      </w:r>
      <w:r w:rsidR="00B86B93">
        <w:t>ourts</w:t>
      </w:r>
      <w:r w:rsidR="0061594A">
        <w:t xml:space="preserve">. </w:t>
      </w:r>
      <w:r w:rsidR="002D78B4">
        <w:t xml:space="preserve">Specifically, it focused on governing </w:t>
      </w:r>
      <w:r w:rsidR="00B86B93">
        <w:t>i</w:t>
      </w:r>
      <w:r w:rsidR="003B071A">
        <w:t>nformation privacy</w:t>
      </w:r>
      <w:r w:rsidR="00E279A0">
        <w:t xml:space="preserve"> </w:t>
      </w:r>
      <w:r w:rsidR="002D78B4">
        <w:t xml:space="preserve">(or data protection) which </w:t>
      </w:r>
      <w:r w:rsidR="000B008E">
        <w:t xml:space="preserve">refers </w:t>
      </w:r>
      <w:r w:rsidR="00FB67BB">
        <w:t>to</w:t>
      </w:r>
      <w:r w:rsidR="00557558">
        <w:t xml:space="preserve"> the rules governing the collection and handling of personal information by APP entities</w:t>
      </w:r>
      <w:r w:rsidR="00426286">
        <w:t xml:space="preserve"> (organisations </w:t>
      </w:r>
      <w:r w:rsidR="003F12CD">
        <w:t xml:space="preserve">and agencies </w:t>
      </w:r>
      <w:r w:rsidR="006378DD">
        <w:t xml:space="preserve">regulated by the Australian Privacy </w:t>
      </w:r>
      <w:r w:rsidR="00B23969">
        <w:t>P</w:t>
      </w:r>
      <w:r w:rsidR="006378DD">
        <w:t>rinciples)</w:t>
      </w:r>
      <w:r w:rsidR="003F12CD">
        <w:t>.</w:t>
      </w:r>
      <w:r w:rsidR="001B7CF0">
        <w:rPr>
          <w:rStyle w:val="FootnoteReference"/>
        </w:rPr>
        <w:footnoteReference w:id="16"/>
      </w:r>
      <w:r w:rsidR="00B86B93">
        <w:t xml:space="preserve"> </w:t>
      </w:r>
      <w:r w:rsidR="00DE6E58" w:rsidRPr="00DE6E58">
        <w:t xml:space="preserve">Where individuals believed their data </w:t>
      </w:r>
      <w:r w:rsidR="00F442DC">
        <w:t>had been</w:t>
      </w:r>
      <w:r w:rsidR="00DE6E58" w:rsidRPr="00DE6E58">
        <w:t xml:space="preserve"> mishandled, </w:t>
      </w:r>
      <w:r w:rsidR="00DD0871">
        <w:t>they were restricted to making</w:t>
      </w:r>
      <w:r w:rsidR="00DE6E58" w:rsidRPr="00DE6E58">
        <w:t xml:space="preserve"> a complaint</w:t>
      </w:r>
      <w:r w:rsidR="00DD0871">
        <w:t xml:space="preserve"> </w:t>
      </w:r>
      <w:r w:rsidR="00DE6E58" w:rsidRPr="00DE6E58">
        <w:t>through the Office of the Australian Information Commissioner (OAIC</w:t>
      </w:r>
      <w:r w:rsidR="00DD0871">
        <w:t>), with no</w:t>
      </w:r>
      <w:r w:rsidR="00DE6E58" w:rsidRPr="00DE6E58">
        <w:t xml:space="preserve"> specific right of action in </w:t>
      </w:r>
      <w:r w:rsidR="00DD0871">
        <w:t>c</w:t>
      </w:r>
      <w:r w:rsidR="00DE6E58" w:rsidRPr="00DE6E58">
        <w:t>ourt.</w:t>
      </w:r>
    </w:p>
    <w:p w14:paraId="38153778" w14:textId="77777777" w:rsidR="00085011" w:rsidRDefault="00085011" w:rsidP="001D2A23">
      <w:pPr>
        <w:pStyle w:val="ListParagraph"/>
        <w:spacing w:line="276" w:lineRule="auto"/>
        <w:ind w:left="360"/>
      </w:pPr>
    </w:p>
    <w:p w14:paraId="7DD87CAC" w14:textId="10634749" w:rsidR="003D25DF" w:rsidRDefault="00BC4D99" w:rsidP="001D2A23">
      <w:pPr>
        <w:pStyle w:val="ListParagraph"/>
        <w:spacing w:line="276" w:lineRule="auto"/>
        <w:ind w:left="360"/>
        <w:jc w:val="both"/>
      </w:pPr>
      <w:r>
        <w:t>In order to</w:t>
      </w:r>
      <w:r w:rsidR="00AC7FA4">
        <w:t xml:space="preserve"> expand application of the right to privacy to individuals, </w:t>
      </w:r>
      <w:r w:rsidR="00DC47B4">
        <w:t xml:space="preserve">it was proposed that </w:t>
      </w:r>
      <w:r w:rsidR="00526950">
        <w:t>Schedule 2</w:t>
      </w:r>
      <w:r w:rsidR="00DC47B4">
        <w:t xml:space="preserve"> be inserted in</w:t>
      </w:r>
      <w:r w:rsidR="00526950">
        <w:t xml:space="preserve">to the </w:t>
      </w:r>
      <w:r w:rsidR="00526950">
        <w:rPr>
          <w:i/>
          <w:iCs/>
        </w:rPr>
        <w:t>Privacy Act</w:t>
      </w:r>
      <w:r w:rsidR="00905F19">
        <w:t>, to be read separately from the rest of the Act.</w:t>
      </w:r>
      <w:r w:rsidR="00A11B58">
        <w:rPr>
          <w:rStyle w:val="FootnoteReference"/>
        </w:rPr>
        <w:footnoteReference w:id="17"/>
      </w:r>
      <w:r w:rsidR="000E1A91">
        <w:t xml:space="preserve"> </w:t>
      </w:r>
      <w:r w:rsidR="00E56B06">
        <w:t xml:space="preserve">This positioned the tort </w:t>
      </w:r>
      <w:r w:rsidR="00180625">
        <w:t>as distinct from the rest of the</w:t>
      </w:r>
      <w:r w:rsidR="00C74CA0">
        <w:t xml:space="preserve"> </w:t>
      </w:r>
      <w:r w:rsidR="00321B1E">
        <w:rPr>
          <w:i/>
          <w:iCs/>
        </w:rPr>
        <w:t>Privacy Act</w:t>
      </w:r>
      <w:r w:rsidR="00321B1E">
        <w:t xml:space="preserve">, </w:t>
      </w:r>
      <w:r w:rsidR="007F4435">
        <w:t xml:space="preserve">which is </w:t>
      </w:r>
      <w:r w:rsidR="00321B1E">
        <w:t xml:space="preserve">largely focused on regulating the APP entities. </w:t>
      </w:r>
      <w:r w:rsidR="00800570">
        <w:t>Under the reforms, it was proposed that a plaintiff must be an individual</w:t>
      </w:r>
      <w:r w:rsidR="007F4435">
        <w:t xml:space="preserve">. </w:t>
      </w:r>
      <w:r w:rsidR="00800570">
        <w:t xml:space="preserve">This was a statutory formalisation of the High Court’s reasoning in </w:t>
      </w:r>
      <w:r w:rsidR="00800570">
        <w:rPr>
          <w:i/>
          <w:iCs/>
        </w:rPr>
        <w:t>Lenah Game Meats</w:t>
      </w:r>
      <w:r w:rsidR="009E0EA9">
        <w:t>, which held that an invasion of privacy is not something a company can claim.</w:t>
      </w:r>
      <w:r w:rsidR="00CA08CD">
        <w:rPr>
          <w:rStyle w:val="FootnoteReference"/>
        </w:rPr>
        <w:footnoteReference w:id="18"/>
      </w:r>
    </w:p>
    <w:p w14:paraId="1A7979B9" w14:textId="77777777" w:rsidR="003C3D7F" w:rsidRDefault="003C3D7F" w:rsidP="001D2A23">
      <w:pPr>
        <w:pStyle w:val="ListParagraph"/>
        <w:spacing w:line="276" w:lineRule="auto"/>
        <w:ind w:left="360"/>
      </w:pPr>
    </w:p>
    <w:p w14:paraId="11D7B2C7" w14:textId="77777777" w:rsidR="003C3D7F" w:rsidRDefault="003C3D7F" w:rsidP="001D2A23">
      <w:pPr>
        <w:pStyle w:val="ListParagraph"/>
        <w:numPr>
          <w:ilvl w:val="0"/>
          <w:numId w:val="1"/>
        </w:numPr>
        <w:spacing w:line="276" w:lineRule="auto"/>
        <w:rPr>
          <w:b/>
          <w:bCs/>
        </w:rPr>
      </w:pPr>
      <w:r>
        <w:rPr>
          <w:b/>
          <w:bCs/>
        </w:rPr>
        <w:t>Elements of the Tort for Serious Invasions of Privacy</w:t>
      </w:r>
    </w:p>
    <w:p w14:paraId="565C1E8B" w14:textId="77777777" w:rsidR="003C3D7F" w:rsidRDefault="003C3D7F" w:rsidP="001D2A23">
      <w:pPr>
        <w:pStyle w:val="ListParagraph"/>
        <w:spacing w:line="276" w:lineRule="auto"/>
        <w:ind w:left="360"/>
      </w:pPr>
    </w:p>
    <w:p w14:paraId="47E6BC6D" w14:textId="1AF22402" w:rsidR="003C3D7F" w:rsidRDefault="003C3D7F" w:rsidP="001D2A23">
      <w:pPr>
        <w:pStyle w:val="ListParagraph"/>
        <w:spacing w:line="276" w:lineRule="auto"/>
        <w:ind w:left="360"/>
      </w:pPr>
      <w:r w:rsidRPr="003C3D7F">
        <w:t>For an individual (plaintiff) to succeed in an action under the statutory tort for serious invasion of privacy against another person (the defendant), the plaintiff must prove the following elements:</w:t>
      </w:r>
    </w:p>
    <w:p w14:paraId="76801B70" w14:textId="77777777" w:rsidR="003C3D7F" w:rsidRPr="003C3D7F" w:rsidRDefault="003C3D7F" w:rsidP="001D2A23">
      <w:pPr>
        <w:pStyle w:val="ListParagraph"/>
        <w:spacing w:line="276" w:lineRule="auto"/>
        <w:ind w:left="360"/>
        <w:rPr>
          <w:b/>
          <w:bCs/>
        </w:rPr>
      </w:pPr>
    </w:p>
    <w:p w14:paraId="79D7767D" w14:textId="4AB875C7" w:rsidR="003C3D7F" w:rsidRPr="003C3D7F" w:rsidRDefault="003C3D7F" w:rsidP="001D2A23">
      <w:pPr>
        <w:pStyle w:val="ListParagraph"/>
        <w:numPr>
          <w:ilvl w:val="0"/>
          <w:numId w:val="2"/>
        </w:numPr>
        <w:spacing w:line="276" w:lineRule="auto"/>
        <w:rPr>
          <w:b/>
          <w:bCs/>
        </w:rPr>
      </w:pPr>
      <w:r w:rsidRPr="003C3D7F">
        <w:t xml:space="preserve">the defendant invaded the plaintiff’s privacy by intruding upon the plaintiff’s seclusion and/or misusing information that relates to the </w:t>
      </w:r>
      <w:r w:rsidR="00C63565" w:rsidRPr="003C3D7F">
        <w:t>plaintiff</w:t>
      </w:r>
      <w:r w:rsidR="00C63565">
        <w:t>.</w:t>
      </w:r>
    </w:p>
    <w:p w14:paraId="59E991E5" w14:textId="0E25D94F" w:rsidR="003C3D7F" w:rsidRPr="003C3D7F" w:rsidRDefault="003C3D7F" w:rsidP="001D2A23">
      <w:pPr>
        <w:pStyle w:val="ListParagraph"/>
        <w:numPr>
          <w:ilvl w:val="0"/>
          <w:numId w:val="2"/>
        </w:numPr>
        <w:spacing w:line="276" w:lineRule="auto"/>
        <w:rPr>
          <w:b/>
          <w:bCs/>
        </w:rPr>
      </w:pPr>
      <w:r w:rsidRPr="003C3D7F">
        <w:t xml:space="preserve">the plaintiff would have had a reasonable expectation of privacy in the </w:t>
      </w:r>
      <w:r w:rsidR="00C63565" w:rsidRPr="003C3D7F">
        <w:t>circumstances</w:t>
      </w:r>
      <w:r w:rsidR="00C63565">
        <w:t>.</w:t>
      </w:r>
    </w:p>
    <w:p w14:paraId="708EDB06" w14:textId="52E74119" w:rsidR="003C3D7F" w:rsidRPr="003C3D7F" w:rsidRDefault="003C3D7F" w:rsidP="001D2A23">
      <w:pPr>
        <w:pStyle w:val="ListParagraph"/>
        <w:numPr>
          <w:ilvl w:val="0"/>
          <w:numId w:val="2"/>
        </w:numPr>
        <w:spacing w:line="276" w:lineRule="auto"/>
        <w:rPr>
          <w:b/>
          <w:bCs/>
        </w:rPr>
      </w:pPr>
      <w:r w:rsidRPr="003C3D7F">
        <w:t xml:space="preserve">the invasion of privacy was intentional or </w:t>
      </w:r>
      <w:r w:rsidR="00C63565" w:rsidRPr="003C3D7F">
        <w:t>reckless</w:t>
      </w:r>
      <w:r w:rsidR="00C63565">
        <w:t>.</w:t>
      </w:r>
    </w:p>
    <w:p w14:paraId="33757768" w14:textId="61A521B9" w:rsidR="003C3D7F" w:rsidRPr="003C3D7F" w:rsidRDefault="003C3D7F" w:rsidP="001D2A23">
      <w:pPr>
        <w:pStyle w:val="ListParagraph"/>
        <w:numPr>
          <w:ilvl w:val="0"/>
          <w:numId w:val="2"/>
        </w:numPr>
        <w:spacing w:line="276" w:lineRule="auto"/>
        <w:rPr>
          <w:b/>
          <w:bCs/>
        </w:rPr>
      </w:pPr>
      <w:r w:rsidRPr="003C3D7F">
        <w:t>the invasion of privacy was serious</w:t>
      </w:r>
      <w:r>
        <w:t>; a</w:t>
      </w:r>
      <w:r w:rsidRPr="003C3D7F">
        <w:t>nd</w:t>
      </w:r>
      <w:r>
        <w:t>,</w:t>
      </w:r>
    </w:p>
    <w:p w14:paraId="315166AC" w14:textId="77777777" w:rsidR="003C3D7F" w:rsidRPr="003C3D7F" w:rsidRDefault="003C3D7F" w:rsidP="001D2A23">
      <w:pPr>
        <w:pStyle w:val="ListParagraph"/>
        <w:numPr>
          <w:ilvl w:val="0"/>
          <w:numId w:val="2"/>
        </w:numPr>
        <w:spacing w:line="276" w:lineRule="auto"/>
        <w:rPr>
          <w:b/>
          <w:bCs/>
        </w:rPr>
      </w:pPr>
      <w:r w:rsidRPr="003C3D7F">
        <w:t>the public interest in the plaintiff’s privacy outweighed any other countervailing public interest</w:t>
      </w:r>
    </w:p>
    <w:p w14:paraId="0093960E" w14:textId="77777777" w:rsidR="003C3D7F" w:rsidRDefault="003C3D7F" w:rsidP="001D2A23">
      <w:pPr>
        <w:spacing w:line="276" w:lineRule="auto"/>
        <w:ind w:left="360"/>
      </w:pPr>
    </w:p>
    <w:p w14:paraId="31F2FE93" w14:textId="1D7076FC" w:rsidR="00DE2BF1" w:rsidRDefault="003C3D7F" w:rsidP="001D2A23">
      <w:pPr>
        <w:spacing w:line="276" w:lineRule="auto"/>
        <w:ind w:left="360"/>
        <w:rPr>
          <w:b/>
          <w:bCs/>
        </w:rPr>
      </w:pPr>
      <w:r w:rsidRPr="003C3D7F">
        <w:t xml:space="preserve">Additionally, there is no need for the plaintiff to show </w:t>
      </w:r>
      <w:r w:rsidR="006434B5">
        <w:t>they have suffered</w:t>
      </w:r>
      <w:r w:rsidRPr="003C3D7F">
        <w:t xml:space="preserve"> </w:t>
      </w:r>
      <w:r w:rsidR="006434B5">
        <w:t xml:space="preserve">any </w:t>
      </w:r>
      <w:r w:rsidRPr="003C3D7F">
        <w:t>damage</w:t>
      </w:r>
      <w:r w:rsidR="006434B5">
        <w:t xml:space="preserve"> as a result of the </w:t>
      </w:r>
      <w:r w:rsidR="002B7CC6">
        <w:t xml:space="preserve">invasion of privacy. </w:t>
      </w:r>
    </w:p>
    <w:p w14:paraId="3A006060" w14:textId="77777777" w:rsidR="00DE2BF1" w:rsidRDefault="00DE2BF1" w:rsidP="001D2A23">
      <w:pPr>
        <w:spacing w:line="276" w:lineRule="auto"/>
        <w:ind w:left="360"/>
        <w:rPr>
          <w:b/>
          <w:bCs/>
        </w:rPr>
      </w:pPr>
    </w:p>
    <w:p w14:paraId="6CD90FEA" w14:textId="2EC8A365" w:rsidR="00DE2BF1" w:rsidRDefault="00332BFE" w:rsidP="001D2A23">
      <w:pPr>
        <w:pStyle w:val="ListParagraph"/>
        <w:numPr>
          <w:ilvl w:val="0"/>
          <w:numId w:val="1"/>
        </w:numPr>
        <w:spacing w:line="276" w:lineRule="auto"/>
        <w:rPr>
          <w:b/>
          <w:bCs/>
        </w:rPr>
      </w:pPr>
      <w:r>
        <w:rPr>
          <w:b/>
          <w:bCs/>
        </w:rPr>
        <w:t>Defences</w:t>
      </w:r>
      <w:r w:rsidR="008634C0">
        <w:rPr>
          <w:b/>
          <w:bCs/>
        </w:rPr>
        <w:t xml:space="preserve"> to</w:t>
      </w:r>
      <w:r w:rsidR="007E0E9D">
        <w:rPr>
          <w:b/>
          <w:bCs/>
        </w:rPr>
        <w:t xml:space="preserve"> </w:t>
      </w:r>
      <w:r w:rsidR="00757536">
        <w:rPr>
          <w:b/>
          <w:bCs/>
        </w:rPr>
        <w:t>the Tort and Balancing Privacy with Competing Interests</w:t>
      </w:r>
    </w:p>
    <w:p w14:paraId="5CFA2824" w14:textId="77777777" w:rsidR="00486D09" w:rsidRDefault="00486D09" w:rsidP="001D2A23">
      <w:pPr>
        <w:pStyle w:val="ListParagraph"/>
        <w:spacing w:line="276" w:lineRule="auto"/>
        <w:ind w:left="360"/>
      </w:pPr>
    </w:p>
    <w:p w14:paraId="4AA4F148" w14:textId="3DA7D5FA" w:rsidR="00850815" w:rsidRDefault="00646133" w:rsidP="00C77CE6">
      <w:pPr>
        <w:pStyle w:val="ListParagraph"/>
        <w:spacing w:line="276" w:lineRule="auto"/>
        <w:ind w:left="360"/>
      </w:pPr>
      <w:r>
        <w:t xml:space="preserve">In the lead up to the release of the </w:t>
      </w:r>
      <w:r>
        <w:rPr>
          <w:i/>
          <w:iCs/>
        </w:rPr>
        <w:t xml:space="preserve">Serious Invasions of Privacy in the Digital Era </w:t>
      </w:r>
      <w:r>
        <w:t xml:space="preserve">report, </w:t>
      </w:r>
      <w:r w:rsidR="00115905">
        <w:t xml:space="preserve">consultation showed </w:t>
      </w:r>
      <w:r w:rsidR="00DD75FD">
        <w:t>strong</w:t>
      </w:r>
      <w:r w:rsidR="00115905">
        <w:t xml:space="preserve"> support for a statutory </w:t>
      </w:r>
      <w:r w:rsidR="007E5F8B">
        <w:t>tort but</w:t>
      </w:r>
      <w:r w:rsidR="00DD75FD">
        <w:t xml:space="preserve"> also highlighted</w:t>
      </w:r>
      <w:r w:rsidR="00E85EC0">
        <w:t xml:space="preserve"> </w:t>
      </w:r>
      <w:r>
        <w:t>opposition</w:t>
      </w:r>
      <w:r w:rsidR="00C77CE6">
        <w:t xml:space="preserve">. </w:t>
      </w:r>
      <w:r w:rsidR="00486D09">
        <w:t xml:space="preserve">One of the key competing views to allowing </w:t>
      </w:r>
      <w:r w:rsidR="00B13AD5">
        <w:t xml:space="preserve">such </w:t>
      </w:r>
      <w:r w:rsidR="00486D09">
        <w:t xml:space="preserve">a tort was that it </w:t>
      </w:r>
      <w:r w:rsidR="00850815">
        <w:t>could</w:t>
      </w:r>
      <w:r w:rsidR="00486D09">
        <w:t xml:space="preserve"> hinder </w:t>
      </w:r>
      <w:r w:rsidR="00850815">
        <w:t>freedom of speech</w:t>
      </w:r>
      <w:r w:rsidR="00077818">
        <w:t>, the</w:t>
      </w:r>
      <w:r w:rsidR="00850815">
        <w:t xml:space="preserve"> media, public health and safety, and national security.</w:t>
      </w:r>
      <w:r w:rsidR="00BD3E55">
        <w:rPr>
          <w:rStyle w:val="FootnoteReference"/>
        </w:rPr>
        <w:footnoteReference w:id="19"/>
      </w:r>
      <w:r w:rsidR="00850815">
        <w:t xml:space="preserve"> R</w:t>
      </w:r>
      <w:r w:rsidR="00486D09">
        <w:t xml:space="preserve">ecommendations </w:t>
      </w:r>
      <w:r w:rsidR="00850815">
        <w:t xml:space="preserve">therefore </w:t>
      </w:r>
      <w:r w:rsidR="00486D09">
        <w:t xml:space="preserve">flagged </w:t>
      </w:r>
      <w:r w:rsidR="00850815">
        <w:t xml:space="preserve">a </w:t>
      </w:r>
      <w:r w:rsidR="001675EE">
        <w:t>“</w:t>
      </w:r>
      <w:r w:rsidR="00486D09">
        <w:t>crucial balancing exercise</w:t>
      </w:r>
      <w:r w:rsidR="001675EE">
        <w:t xml:space="preserve">” </w:t>
      </w:r>
      <w:r w:rsidR="00850815">
        <w:t>against public interest.</w:t>
      </w:r>
      <w:r w:rsidR="00CE5EA2">
        <w:rPr>
          <w:rStyle w:val="FootnoteReference"/>
        </w:rPr>
        <w:footnoteReference w:id="20"/>
      </w:r>
      <w:r w:rsidR="00850815">
        <w:t xml:space="preserve"> </w:t>
      </w:r>
    </w:p>
    <w:p w14:paraId="5CD3C588" w14:textId="77777777" w:rsidR="00D671BF" w:rsidRDefault="00D671BF" w:rsidP="001D2A23">
      <w:pPr>
        <w:pStyle w:val="ListParagraph"/>
        <w:spacing w:line="276" w:lineRule="auto"/>
        <w:ind w:left="360"/>
      </w:pPr>
    </w:p>
    <w:p w14:paraId="1A50E22F" w14:textId="706C8B03" w:rsidR="00D671BF" w:rsidRDefault="003007C5" w:rsidP="001D2A23">
      <w:pPr>
        <w:pStyle w:val="ListParagraph"/>
        <w:spacing w:line="276" w:lineRule="auto"/>
        <w:ind w:left="360"/>
      </w:pPr>
      <w:r>
        <w:t xml:space="preserve">This </w:t>
      </w:r>
      <w:r w:rsidR="001675EE">
        <w:t xml:space="preserve">concern was incorporated into the legislation through the </w:t>
      </w:r>
      <w:r w:rsidR="00C66216">
        <w:t xml:space="preserve">inclusion of </w:t>
      </w:r>
      <w:r w:rsidR="00C5067E">
        <w:t>a public interest balancing test</w:t>
      </w:r>
      <w:r w:rsidR="00AE5393">
        <w:t>.</w:t>
      </w:r>
      <w:r w:rsidR="00153935">
        <w:rPr>
          <w:rStyle w:val="FootnoteReference"/>
        </w:rPr>
        <w:footnoteReference w:id="21"/>
      </w:r>
      <w:r w:rsidR="00C5067E">
        <w:t xml:space="preserve"> </w:t>
      </w:r>
      <w:r w:rsidR="006D37F9">
        <w:t xml:space="preserve">The final release of the Act now directs courts to consider countervailing public interests, such as freedom of expression and the role of the media and journalism, when determining liability. </w:t>
      </w:r>
      <w:r w:rsidR="009077E9">
        <w:t xml:space="preserve"> </w:t>
      </w:r>
      <w:r w:rsidR="006D37F9">
        <w:t xml:space="preserve">This ensures that the tort cannot be used to suppress matters of legitimate public concern. </w:t>
      </w:r>
    </w:p>
    <w:p w14:paraId="3435A80D" w14:textId="77777777" w:rsidR="004F12A9" w:rsidRDefault="004F12A9" w:rsidP="004F12A9">
      <w:pPr>
        <w:spacing w:line="276" w:lineRule="auto"/>
        <w:ind w:left="360"/>
      </w:pPr>
    </w:p>
    <w:p w14:paraId="18C49D48" w14:textId="210DF84D" w:rsidR="004F12A9" w:rsidRDefault="004F12A9" w:rsidP="004F12A9">
      <w:pPr>
        <w:spacing w:line="276" w:lineRule="auto"/>
        <w:ind w:left="360"/>
      </w:pPr>
      <w:r>
        <w:t>Schedule 2 of the Act also provides</w:t>
      </w:r>
      <w:r w:rsidR="00697E5B">
        <w:t xml:space="preserve"> other</w:t>
      </w:r>
      <w:r>
        <w:t xml:space="preserve"> specific defences and exemptions</w:t>
      </w:r>
      <w:r w:rsidR="006233AA">
        <w:t>, including:</w:t>
      </w:r>
    </w:p>
    <w:p w14:paraId="6F7A4709" w14:textId="2652E323" w:rsidR="00AD3245" w:rsidRDefault="00697E5B" w:rsidP="00C357B3">
      <w:pPr>
        <w:pStyle w:val="ListParagraph"/>
        <w:numPr>
          <w:ilvl w:val="0"/>
          <w:numId w:val="12"/>
        </w:numPr>
        <w:spacing w:line="276" w:lineRule="auto"/>
      </w:pPr>
      <w:r>
        <w:t>Where an invasion of privacy is done under l</w:t>
      </w:r>
      <w:r w:rsidR="00C357B3" w:rsidRPr="006D37F9">
        <w:t xml:space="preserve">awful authority, </w:t>
      </w:r>
      <w:r>
        <w:t xml:space="preserve">with </w:t>
      </w:r>
      <w:r w:rsidR="00C357B3" w:rsidRPr="006D37F9">
        <w:t xml:space="preserve">consent or </w:t>
      </w:r>
      <w:r>
        <w:t xml:space="preserve">out of </w:t>
      </w:r>
      <w:r w:rsidR="00C357B3" w:rsidRPr="006D37F9">
        <w:t>necessity</w:t>
      </w:r>
    </w:p>
    <w:p w14:paraId="5676AED1" w14:textId="78F16569" w:rsidR="00AD3245" w:rsidRDefault="00AD3245" w:rsidP="00C357B3">
      <w:pPr>
        <w:pStyle w:val="ListParagraph"/>
        <w:numPr>
          <w:ilvl w:val="0"/>
          <w:numId w:val="12"/>
        </w:numPr>
        <w:spacing w:line="276" w:lineRule="auto"/>
      </w:pPr>
      <w:r>
        <w:t xml:space="preserve">Publication-related </w:t>
      </w:r>
      <w:r w:rsidR="00225FEF">
        <w:t>matters</w:t>
      </w:r>
    </w:p>
    <w:p w14:paraId="09633A50" w14:textId="783D4E1F" w:rsidR="003C3D7F" w:rsidRDefault="00AD3245" w:rsidP="001D2A23">
      <w:pPr>
        <w:pStyle w:val="ListParagraph"/>
        <w:numPr>
          <w:ilvl w:val="0"/>
          <w:numId w:val="12"/>
        </w:numPr>
        <w:spacing w:line="276" w:lineRule="auto"/>
      </w:pPr>
      <w:r>
        <w:t>Exemptions for agencies, such as intelligence and law enforcement bodies</w:t>
      </w:r>
      <w:r w:rsidR="00C3434E">
        <w:t xml:space="preserve"> (and people disclosing to such bodies)</w:t>
      </w:r>
      <w:r w:rsidR="00C357B3" w:rsidRPr="006D37F9">
        <w:t xml:space="preserve"> </w:t>
      </w:r>
    </w:p>
    <w:p w14:paraId="395333E3" w14:textId="3A65D8C0" w:rsidR="001A10B9" w:rsidRDefault="001A10B9" w:rsidP="001D2A23">
      <w:pPr>
        <w:spacing w:line="276" w:lineRule="auto"/>
      </w:pPr>
    </w:p>
    <w:p w14:paraId="1DE5CB71" w14:textId="73264337" w:rsidR="00892652" w:rsidRDefault="00892652" w:rsidP="00892652">
      <w:pPr>
        <w:pStyle w:val="ListParagraph"/>
        <w:numPr>
          <w:ilvl w:val="0"/>
          <w:numId w:val="1"/>
        </w:numPr>
        <w:spacing w:line="276" w:lineRule="auto"/>
        <w:rPr>
          <w:b/>
          <w:bCs/>
        </w:rPr>
      </w:pPr>
      <w:r>
        <w:rPr>
          <w:b/>
          <w:bCs/>
        </w:rPr>
        <w:t xml:space="preserve">Remedies and Damages </w:t>
      </w:r>
    </w:p>
    <w:p w14:paraId="35DADAE7" w14:textId="77777777" w:rsidR="00EA4BFD" w:rsidRDefault="00EA4BFD" w:rsidP="00EA4BFD">
      <w:pPr>
        <w:pStyle w:val="ListParagraph"/>
        <w:spacing w:line="276" w:lineRule="auto"/>
        <w:ind w:left="360"/>
      </w:pPr>
    </w:p>
    <w:p w14:paraId="22D21D28" w14:textId="7B52D05E" w:rsidR="007D5700" w:rsidRDefault="00EA4BFD" w:rsidP="004E6FD3">
      <w:pPr>
        <w:pStyle w:val="ListParagraph"/>
        <w:spacing w:line="276" w:lineRule="auto"/>
        <w:ind w:left="360"/>
      </w:pPr>
      <w:r>
        <w:t xml:space="preserve">In addition to the </w:t>
      </w:r>
      <w:r w:rsidR="007B2F00">
        <w:t xml:space="preserve">available </w:t>
      </w:r>
      <w:r>
        <w:t xml:space="preserve">defences and exemptions, Schedule 2 also </w:t>
      </w:r>
      <w:r w:rsidR="00781B43">
        <w:t>empowers</w:t>
      </w:r>
      <w:r>
        <w:t xml:space="preserve"> courts to </w:t>
      </w:r>
      <w:r w:rsidR="007B2F00">
        <w:t xml:space="preserve">award damages or grant other remedies where </w:t>
      </w:r>
      <w:r>
        <w:t>a serious invasion of privacy is proven</w:t>
      </w:r>
      <w:r w:rsidR="007A7EE3">
        <w:t>.</w:t>
      </w:r>
      <w:r w:rsidR="007A7EE3">
        <w:rPr>
          <w:rStyle w:val="FootnoteReference"/>
        </w:rPr>
        <w:footnoteReference w:id="22"/>
      </w:r>
      <w:r w:rsidR="007A7EE3">
        <w:t xml:space="preserve"> </w:t>
      </w:r>
      <w:r w:rsidR="004842DB">
        <w:t xml:space="preserve">These </w:t>
      </w:r>
      <w:r w:rsidR="009851CC">
        <w:t>remedies</w:t>
      </w:r>
      <w:r w:rsidR="004842DB">
        <w:t xml:space="preserve"> </w:t>
      </w:r>
      <w:r w:rsidR="009851CC">
        <w:t xml:space="preserve">include </w:t>
      </w:r>
      <w:r w:rsidR="004842DB">
        <w:t>injunctions to restrain further invasions</w:t>
      </w:r>
      <w:r w:rsidR="00974153">
        <w:t xml:space="preserve"> of privacy</w:t>
      </w:r>
      <w:r w:rsidR="004842DB">
        <w:t>,</w:t>
      </w:r>
      <w:r w:rsidR="006B7E67">
        <w:t xml:space="preserve"> declarations and damages. Damages</w:t>
      </w:r>
      <w:r w:rsidR="00964D87">
        <w:t xml:space="preserve"> may cover both economic and non-economic loss, including </w:t>
      </w:r>
      <w:r w:rsidR="00120A70">
        <w:t>compensation for emotional distress</w:t>
      </w:r>
      <w:r w:rsidR="009851CC">
        <w:t>.</w:t>
      </w:r>
      <w:r w:rsidR="009851CC">
        <w:rPr>
          <w:rStyle w:val="FootnoteReference"/>
        </w:rPr>
        <w:footnoteReference w:id="23"/>
      </w:r>
      <w:r w:rsidR="004E6FD3">
        <w:t xml:space="preserve"> </w:t>
      </w:r>
      <w:r w:rsidR="007D5700">
        <w:t xml:space="preserve">The framework </w:t>
      </w:r>
      <w:r w:rsidR="004E6FD3">
        <w:lastRenderedPageBreak/>
        <w:t xml:space="preserve">also </w:t>
      </w:r>
      <w:r w:rsidR="007D5700">
        <w:t xml:space="preserve">places certain limits on damages. Aggravated damages are excluded, but exemplary or punitive damages may be </w:t>
      </w:r>
      <w:r w:rsidR="004E6FD3">
        <w:t>awarded</w:t>
      </w:r>
      <w:r w:rsidR="007D5700">
        <w:t xml:space="preserve"> in exceptional circumstances.</w:t>
      </w:r>
      <w:r w:rsidR="00AA7D88">
        <w:rPr>
          <w:rStyle w:val="FootnoteReference"/>
        </w:rPr>
        <w:footnoteReference w:id="24"/>
      </w:r>
      <w:r w:rsidR="007D5700">
        <w:t xml:space="preserve"> </w:t>
      </w:r>
    </w:p>
    <w:p w14:paraId="3E398111" w14:textId="77777777" w:rsidR="00FB0A87" w:rsidRDefault="00FB0A87" w:rsidP="00EA4BFD">
      <w:pPr>
        <w:pStyle w:val="ListParagraph"/>
        <w:spacing w:line="276" w:lineRule="auto"/>
        <w:ind w:left="360"/>
      </w:pPr>
    </w:p>
    <w:p w14:paraId="468609A0" w14:textId="38AEA07F" w:rsidR="00FB0A87" w:rsidRDefault="00FB0A87" w:rsidP="00712F87">
      <w:pPr>
        <w:pStyle w:val="ListParagraph"/>
        <w:spacing w:line="276" w:lineRule="auto"/>
        <w:ind w:left="360"/>
      </w:pPr>
      <w:r>
        <w:t>When assessing damages, courts may also consider factors such as</w:t>
      </w:r>
      <w:r w:rsidR="00712F87">
        <w:t xml:space="preserve"> </w:t>
      </w:r>
      <w:r>
        <w:t>whether the defendant apologised to the plaintiff, corrected a publication, whether the plaintiff received compensation, whether reasonable st</w:t>
      </w:r>
      <w:r w:rsidR="00712F87">
        <w:t>e</w:t>
      </w:r>
      <w:r>
        <w:t>ps were taken to settle the dispute, and whether the defendant engaged in unreasonable conduct during or after the invasion of privacy.</w:t>
      </w:r>
      <w:r w:rsidR="004E6FD3">
        <w:rPr>
          <w:rStyle w:val="FootnoteReference"/>
        </w:rPr>
        <w:footnoteReference w:id="25"/>
      </w:r>
      <w:r>
        <w:t xml:space="preserve"> </w:t>
      </w:r>
    </w:p>
    <w:p w14:paraId="311CE1E0" w14:textId="77777777" w:rsidR="00892652" w:rsidRDefault="00892652" w:rsidP="001D2A23">
      <w:pPr>
        <w:spacing w:line="276" w:lineRule="auto"/>
      </w:pPr>
    </w:p>
    <w:p w14:paraId="689CD536" w14:textId="7B945C5B" w:rsidR="00E30868" w:rsidRPr="00DC0504" w:rsidRDefault="00DC0504" w:rsidP="00DC0504">
      <w:pPr>
        <w:pStyle w:val="ListParagraph"/>
        <w:numPr>
          <w:ilvl w:val="0"/>
          <w:numId w:val="1"/>
        </w:numPr>
        <w:spacing w:line="276" w:lineRule="auto"/>
        <w:rPr>
          <w:b/>
          <w:bCs/>
        </w:rPr>
      </w:pPr>
      <w:r w:rsidRPr="00DC0504">
        <w:rPr>
          <w:b/>
          <w:bCs/>
        </w:rPr>
        <w:t>Current Status (to August 2025)</w:t>
      </w:r>
    </w:p>
    <w:p w14:paraId="682FCE41" w14:textId="77777777" w:rsidR="00E30868" w:rsidRDefault="00E30868" w:rsidP="001D2A23">
      <w:pPr>
        <w:spacing w:line="276" w:lineRule="auto"/>
      </w:pPr>
    </w:p>
    <w:p w14:paraId="0D088296" w14:textId="1176D159" w:rsidR="00E30868" w:rsidRDefault="00E30868" w:rsidP="001D2A23">
      <w:pPr>
        <w:pStyle w:val="ListParagraph"/>
        <w:spacing w:line="276" w:lineRule="auto"/>
        <w:ind w:left="360"/>
      </w:pPr>
      <w:r>
        <w:t xml:space="preserve">As of August 2025, the statutory tort for serious invasions of privacy is </w:t>
      </w:r>
      <w:r w:rsidR="00480375">
        <w:t>yet</w:t>
      </w:r>
      <w:r>
        <w:t xml:space="preserve"> to be applied in the </w:t>
      </w:r>
      <w:r w:rsidR="00480375">
        <w:t>c</w:t>
      </w:r>
      <w:r>
        <w:t xml:space="preserve">ourts. However, individuals are now provided greater assurance that their statutory right to privacy will be </w:t>
      </w:r>
      <w:r w:rsidR="00323D51">
        <w:t xml:space="preserve">protected, </w:t>
      </w:r>
      <w:r w:rsidR="002E758D">
        <w:t>resolv</w:t>
      </w:r>
      <w:r w:rsidR="00323D51">
        <w:t>ing</w:t>
      </w:r>
      <w:r w:rsidR="002E758D">
        <w:t xml:space="preserve"> a </w:t>
      </w:r>
      <w:r w:rsidR="00DC0504">
        <w:t>long-</w:t>
      </w:r>
      <w:r w:rsidR="002E758D">
        <w:t>standing</w:t>
      </w:r>
      <w:r w:rsidR="00DC0504">
        <w:t xml:space="preserve"> </w:t>
      </w:r>
      <w:r w:rsidR="002E758D">
        <w:t xml:space="preserve">ambiguity </w:t>
      </w:r>
      <w:r w:rsidR="00DC0504">
        <w:t xml:space="preserve">in Australian privacy law. </w:t>
      </w:r>
      <w:r>
        <w:t xml:space="preserve"> </w:t>
      </w:r>
    </w:p>
    <w:p w14:paraId="6552BF86" w14:textId="309E8987" w:rsidR="00B9742B" w:rsidRPr="00CA792D" w:rsidRDefault="00B9742B" w:rsidP="00705504">
      <w:pPr>
        <w:spacing w:line="276" w:lineRule="auto"/>
      </w:pPr>
    </w:p>
    <w:sectPr w:rsidR="00B9742B" w:rsidRPr="00CA792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A0907" w14:textId="77777777" w:rsidR="0043554F" w:rsidRDefault="0043554F" w:rsidP="00CA792D">
      <w:r>
        <w:separator/>
      </w:r>
    </w:p>
  </w:endnote>
  <w:endnote w:type="continuationSeparator" w:id="0">
    <w:p w14:paraId="0058AF2B" w14:textId="77777777" w:rsidR="0043554F" w:rsidRDefault="0043554F" w:rsidP="00CA7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D99A7" w14:textId="77777777" w:rsidR="0043554F" w:rsidRDefault="0043554F" w:rsidP="00CA792D">
      <w:r>
        <w:separator/>
      </w:r>
    </w:p>
  </w:footnote>
  <w:footnote w:type="continuationSeparator" w:id="0">
    <w:p w14:paraId="0FBDA7D4" w14:textId="77777777" w:rsidR="0043554F" w:rsidRDefault="0043554F" w:rsidP="00CA792D">
      <w:r>
        <w:continuationSeparator/>
      </w:r>
    </w:p>
  </w:footnote>
  <w:footnote w:id="1">
    <w:p w14:paraId="35EA6018" w14:textId="3D7EEF34" w:rsidR="00794D6F" w:rsidRPr="00794D6F" w:rsidRDefault="00794D6F">
      <w:pPr>
        <w:pStyle w:val="FootnoteText"/>
      </w:pPr>
      <w:r>
        <w:rPr>
          <w:rStyle w:val="FootnoteReference"/>
        </w:rPr>
        <w:footnoteRef/>
      </w:r>
      <w:r>
        <w:t xml:space="preserve"> </w:t>
      </w:r>
      <w:r>
        <w:rPr>
          <w:i/>
          <w:iCs/>
        </w:rPr>
        <w:t>Privacy Act 1988</w:t>
      </w:r>
      <w:r>
        <w:t xml:space="preserve"> (Cth) (‘</w:t>
      </w:r>
      <w:r>
        <w:rPr>
          <w:i/>
          <w:iCs/>
        </w:rPr>
        <w:t>Privacy Act</w:t>
      </w:r>
      <w:r>
        <w:t>’</w:t>
      </w:r>
      <w:r w:rsidR="002D7236">
        <w:t xml:space="preserve"> or ‘the Act’</w:t>
      </w:r>
      <w:r>
        <w:t xml:space="preserve">). </w:t>
      </w:r>
    </w:p>
  </w:footnote>
  <w:footnote w:id="2">
    <w:p w14:paraId="727C51EB" w14:textId="52A5A78F" w:rsidR="00CA792D" w:rsidRDefault="00CA792D">
      <w:pPr>
        <w:pStyle w:val="FootnoteText"/>
      </w:pPr>
      <w:r>
        <w:rPr>
          <w:rStyle w:val="FootnoteReference"/>
        </w:rPr>
        <w:footnoteRef/>
      </w:r>
      <w:r>
        <w:t xml:space="preserve"> </w:t>
      </w:r>
      <w:r w:rsidRPr="00CA792D">
        <w:rPr>
          <w:i/>
          <w:iCs/>
        </w:rPr>
        <w:t>Privacy and Other Legislation Amendment Act 2024</w:t>
      </w:r>
      <w:r w:rsidRPr="00CA792D">
        <w:t xml:space="preserve"> (Cth).</w:t>
      </w:r>
    </w:p>
  </w:footnote>
  <w:footnote w:id="3">
    <w:p w14:paraId="5EA49EFC" w14:textId="3BD4BE04" w:rsidR="00CA792D" w:rsidRDefault="00CA792D" w:rsidP="00CA792D">
      <w:pPr>
        <w:pStyle w:val="FootnoteText"/>
      </w:pPr>
      <w:r>
        <w:rPr>
          <w:rStyle w:val="FootnoteReference"/>
        </w:rPr>
        <w:footnoteRef/>
      </w:r>
      <w:r>
        <w:t xml:space="preserve"> “Doxing” or “doxxing” refers to intentional online exposure of an individual’s identity, private information or personal details without their consent with the intent of causing harm: </w:t>
      </w:r>
      <w:r w:rsidRPr="00CA792D">
        <w:t xml:space="preserve">see </w:t>
      </w:r>
      <w:proofErr w:type="spellStart"/>
      <w:r w:rsidRPr="00CA792D">
        <w:t>eSafety</w:t>
      </w:r>
      <w:proofErr w:type="spellEnd"/>
      <w:r w:rsidRPr="00CA792D">
        <w:t xml:space="preserve"> Commissioner, </w:t>
      </w:r>
      <w:r w:rsidR="004C74AD">
        <w:t>‘</w:t>
      </w:r>
      <w:r w:rsidRPr="00CA792D">
        <w:rPr>
          <w:i/>
          <w:iCs/>
        </w:rPr>
        <w:t>Doxing</w:t>
      </w:r>
      <w:r w:rsidR="004C74AD">
        <w:rPr>
          <w:i/>
          <w:iCs/>
        </w:rPr>
        <w:t>’</w:t>
      </w:r>
      <w:r w:rsidRPr="00CA792D">
        <w:t xml:space="preserve"> (Web Page, 2024) </w:t>
      </w:r>
      <w:hyperlink r:id="rId1" w:tgtFrame="_new" w:history="1">
        <w:r w:rsidRPr="00CA792D">
          <w:rPr>
            <w:rStyle w:val="Hyperlink"/>
          </w:rPr>
          <w:t>https://www.esafety.gov.au/industry/tech-trends-and-challenges/doxing</w:t>
        </w:r>
      </w:hyperlink>
      <w:r w:rsidR="00E813DD">
        <w:t>.</w:t>
      </w:r>
    </w:p>
  </w:footnote>
  <w:footnote w:id="4">
    <w:p w14:paraId="3609506E" w14:textId="06042AEC" w:rsidR="00E813DD" w:rsidRDefault="00E813DD">
      <w:pPr>
        <w:pStyle w:val="FootnoteText"/>
      </w:pPr>
      <w:r>
        <w:rPr>
          <w:rStyle w:val="FootnoteReference"/>
        </w:rPr>
        <w:footnoteRef/>
      </w:r>
      <w:r>
        <w:t xml:space="preserve"> </w:t>
      </w:r>
      <w:r w:rsidRPr="00E813DD">
        <w:rPr>
          <w:i/>
          <w:iCs/>
        </w:rPr>
        <w:t>Victoria Park Racing and Recreation Grounds Co Ltd v Taylor</w:t>
      </w:r>
      <w:r w:rsidRPr="00E813DD">
        <w:t xml:space="preserve"> (1937) 58 CLR 479</w:t>
      </w:r>
      <w:r w:rsidR="006F2806">
        <w:t xml:space="preserve"> </w:t>
      </w:r>
      <w:r w:rsidR="006F2806" w:rsidRPr="006F2806">
        <w:t>(‘</w:t>
      </w:r>
      <w:r w:rsidR="006F2806" w:rsidRPr="006F2806">
        <w:rPr>
          <w:i/>
          <w:iCs/>
        </w:rPr>
        <w:t>Victoria Park</w:t>
      </w:r>
      <w:r w:rsidR="006F2806" w:rsidRPr="006F2806">
        <w:t>’)</w:t>
      </w:r>
      <w:r w:rsidRPr="00E813DD">
        <w:t>.</w:t>
      </w:r>
    </w:p>
  </w:footnote>
  <w:footnote w:id="5">
    <w:p w14:paraId="3D1685CD" w14:textId="1EBCDF8A" w:rsidR="00E813DD" w:rsidRDefault="00E813DD">
      <w:pPr>
        <w:pStyle w:val="FootnoteText"/>
      </w:pPr>
      <w:r>
        <w:rPr>
          <w:rStyle w:val="FootnoteReference"/>
        </w:rPr>
        <w:footnoteRef/>
      </w:r>
      <w:r>
        <w:t xml:space="preserve"> </w:t>
      </w:r>
      <w:r w:rsidRPr="00E813DD">
        <w:rPr>
          <w:i/>
          <w:iCs/>
        </w:rPr>
        <w:t>Australian Broadcasting Corporation v Lenah Game Meats Pty Ltd</w:t>
      </w:r>
      <w:r w:rsidRPr="00E813DD">
        <w:t xml:space="preserve"> (2001) 208 CLR 199, 326 [335] (Callinan J</w:t>
      </w:r>
      <w:r>
        <w:t xml:space="preserve">) </w:t>
      </w:r>
      <w:r w:rsidRPr="00E813DD">
        <w:t>(‘</w:t>
      </w:r>
      <w:r w:rsidRPr="00E813DD">
        <w:rPr>
          <w:i/>
          <w:iCs/>
        </w:rPr>
        <w:t>Lenah Game Meats</w:t>
      </w:r>
      <w:r w:rsidRPr="00E813DD">
        <w:t>’)</w:t>
      </w:r>
      <w:r>
        <w:t xml:space="preserve">. </w:t>
      </w:r>
    </w:p>
  </w:footnote>
  <w:footnote w:id="6">
    <w:p w14:paraId="27F1EFCA" w14:textId="51BAF950" w:rsidR="006F2806" w:rsidRDefault="006F2806">
      <w:pPr>
        <w:pStyle w:val="FootnoteText"/>
      </w:pPr>
      <w:r>
        <w:rPr>
          <w:rStyle w:val="FootnoteReference"/>
        </w:rPr>
        <w:footnoteRef/>
      </w:r>
      <w:r>
        <w:t xml:space="preserve"> </w:t>
      </w:r>
      <w:r w:rsidRPr="006F2806">
        <w:t xml:space="preserve">Des A Butler, ‘A Tort of Invasion of Privacy in Australia?’ (2005) 29 </w:t>
      </w:r>
      <w:r w:rsidRPr="006F2806">
        <w:rPr>
          <w:i/>
          <w:iCs/>
        </w:rPr>
        <w:t>Melbourne University Law Review</w:t>
      </w:r>
      <w:r w:rsidRPr="006F2806">
        <w:t xml:space="preserve"> 352, 353.</w:t>
      </w:r>
    </w:p>
  </w:footnote>
  <w:footnote w:id="7">
    <w:p w14:paraId="79495883" w14:textId="518F9B24" w:rsidR="006F2806" w:rsidRDefault="006F2806">
      <w:pPr>
        <w:pStyle w:val="FootnoteText"/>
      </w:pPr>
      <w:r>
        <w:rPr>
          <w:rStyle w:val="FootnoteReference"/>
        </w:rPr>
        <w:footnoteRef/>
      </w:r>
      <w:r>
        <w:t xml:space="preserve"> Australian Law Reform Commission, </w:t>
      </w:r>
      <w:r>
        <w:rPr>
          <w:rStyle w:val="Emphasis"/>
        </w:rPr>
        <w:t>For Your Information: Australian Privacy Law and Practice</w:t>
      </w:r>
      <w:r>
        <w:t xml:space="preserve"> (Report No 108, 2008) vol 1, 25–26.</w:t>
      </w:r>
    </w:p>
  </w:footnote>
  <w:footnote w:id="8">
    <w:p w14:paraId="0AB12811" w14:textId="0CEFBA92" w:rsidR="00794D6F" w:rsidRDefault="00794D6F">
      <w:pPr>
        <w:pStyle w:val="FootnoteText"/>
      </w:pPr>
      <w:r>
        <w:rPr>
          <w:rStyle w:val="FootnoteReference"/>
        </w:rPr>
        <w:footnoteRef/>
      </w:r>
      <w:r>
        <w:t xml:space="preserve"> </w:t>
      </w:r>
      <w:r w:rsidR="00754509" w:rsidRPr="00754509">
        <w:t>ALRC, For Your Information (n 8) 112–13</w:t>
      </w:r>
      <w:r w:rsidR="00754509">
        <w:t>.</w:t>
      </w:r>
    </w:p>
  </w:footnote>
  <w:footnote w:id="9">
    <w:p w14:paraId="5D39AC5F" w14:textId="77A85F00" w:rsidR="00520497" w:rsidRDefault="00520497">
      <w:pPr>
        <w:pStyle w:val="FootnoteText"/>
      </w:pPr>
      <w:r>
        <w:rPr>
          <w:rStyle w:val="FootnoteReference"/>
        </w:rPr>
        <w:footnoteRef/>
      </w:r>
      <w:r>
        <w:t xml:space="preserve"> Australian Government, </w:t>
      </w:r>
      <w:r>
        <w:rPr>
          <w:rStyle w:val="Emphasis"/>
        </w:rPr>
        <w:t>Terms of Reference: Digital Platforms Inquiry</w:t>
      </w:r>
      <w:r>
        <w:t xml:space="preserve"> (4 December 2017) </w:t>
      </w:r>
      <w:hyperlink r:id="rId2" w:tgtFrame="_new" w:history="1">
        <w:r>
          <w:rPr>
            <w:rStyle w:val="Hyperlink"/>
          </w:rPr>
          <w:t>https://www.accc.gov.au/by-industry/digital-platforms-and-services/digital-platforms-inquiry-2017-19/terms-of-reference</w:t>
        </w:r>
      </w:hyperlink>
      <w:r>
        <w:t>.</w:t>
      </w:r>
    </w:p>
  </w:footnote>
  <w:footnote w:id="10">
    <w:p w14:paraId="60E3720D" w14:textId="2F341F17" w:rsidR="002A4F24" w:rsidRDefault="002A4F24">
      <w:pPr>
        <w:pStyle w:val="FootnoteText"/>
      </w:pPr>
      <w:r>
        <w:rPr>
          <w:rStyle w:val="FootnoteReference"/>
        </w:rPr>
        <w:footnoteRef/>
      </w:r>
      <w:r>
        <w:t xml:space="preserve"> </w:t>
      </w:r>
      <w:r w:rsidRPr="002A4F24">
        <w:t xml:space="preserve">Australian Competition and Consumer Commission, </w:t>
      </w:r>
      <w:r w:rsidRPr="002A4F24">
        <w:rPr>
          <w:i/>
          <w:iCs/>
        </w:rPr>
        <w:t>Digital Platforms Inquiry – Final Report</w:t>
      </w:r>
      <w:r w:rsidRPr="002A4F24">
        <w:t xml:space="preserve"> (Report, June 2019)</w:t>
      </w:r>
      <w:r w:rsidR="00520497">
        <w:t>.</w:t>
      </w:r>
    </w:p>
  </w:footnote>
  <w:footnote w:id="11">
    <w:p w14:paraId="0A4B7603" w14:textId="5548BCB9" w:rsidR="004C74AD" w:rsidRDefault="004C74AD">
      <w:pPr>
        <w:pStyle w:val="FootnoteText"/>
      </w:pPr>
      <w:r>
        <w:rPr>
          <w:rStyle w:val="FootnoteReference"/>
        </w:rPr>
        <w:footnoteRef/>
      </w:r>
      <w:r>
        <w:t xml:space="preserve"> Ibid, Recommendation 19, 459.</w:t>
      </w:r>
    </w:p>
  </w:footnote>
  <w:footnote w:id="12">
    <w:p w14:paraId="7B7DBEEA" w14:textId="24895C17" w:rsidR="00C81D32" w:rsidRDefault="00C81D32">
      <w:pPr>
        <w:pStyle w:val="FootnoteText"/>
      </w:pPr>
      <w:r>
        <w:rPr>
          <w:rStyle w:val="FootnoteReference"/>
        </w:rPr>
        <w:footnoteRef/>
      </w:r>
      <w:r>
        <w:t xml:space="preserve"> </w:t>
      </w:r>
      <w:r w:rsidRPr="00C81D32">
        <w:t xml:space="preserve">Attorney-General’s Department, </w:t>
      </w:r>
      <w:r w:rsidRPr="00C81D32">
        <w:rPr>
          <w:i/>
          <w:iCs/>
        </w:rPr>
        <w:t>Privacy Act Review Report</w:t>
      </w:r>
      <w:r w:rsidRPr="00C81D32">
        <w:t xml:space="preserve"> (Report, February 2023) 12–13 </w:t>
      </w:r>
      <w:hyperlink r:id="rId3" w:history="1">
        <w:r w:rsidRPr="00F57729">
          <w:rPr>
            <w:rStyle w:val="Hyperlink"/>
          </w:rPr>
          <w:t>https://www.ag.gov.au/rights-and-protections/publications/privacy-act-review-report</w:t>
        </w:r>
      </w:hyperlink>
      <w:r w:rsidRPr="00C81D32">
        <w:t>.</w:t>
      </w:r>
      <w:r>
        <w:t xml:space="preserve"> </w:t>
      </w:r>
    </w:p>
  </w:footnote>
  <w:footnote w:id="13">
    <w:p w14:paraId="4FC1FEDD" w14:textId="59035256" w:rsidR="00C81D32" w:rsidRDefault="00C81D32">
      <w:pPr>
        <w:pStyle w:val="FootnoteText"/>
      </w:pPr>
      <w:r>
        <w:rPr>
          <w:rStyle w:val="FootnoteReference"/>
        </w:rPr>
        <w:footnoteRef/>
      </w:r>
      <w:r>
        <w:t xml:space="preserve"> </w:t>
      </w:r>
      <w:r w:rsidR="003C3D7F" w:rsidRPr="003C3D7F">
        <w:rPr>
          <w:i/>
          <w:iCs/>
        </w:rPr>
        <w:t>Grosse v Purvis</w:t>
      </w:r>
      <w:r w:rsidR="003C3D7F" w:rsidRPr="003C3D7F">
        <w:t xml:space="preserve"> [2003] QDC 151 (16 June 2003); </w:t>
      </w:r>
      <w:r w:rsidR="003C3D7F" w:rsidRPr="003C3D7F">
        <w:rPr>
          <w:i/>
          <w:iCs/>
        </w:rPr>
        <w:t>Doe v Australian Broadcasting Corporation</w:t>
      </w:r>
      <w:r w:rsidR="003C3D7F" w:rsidRPr="003C3D7F">
        <w:t xml:space="preserve"> [2007] VCC 281.</w:t>
      </w:r>
    </w:p>
  </w:footnote>
  <w:footnote w:id="14">
    <w:p w14:paraId="0F7149E2" w14:textId="77777777" w:rsidR="003C3D7F" w:rsidRDefault="003C3D7F" w:rsidP="003C3D7F">
      <w:pPr>
        <w:pStyle w:val="FootnoteText"/>
      </w:pPr>
      <w:r>
        <w:rPr>
          <w:rStyle w:val="FootnoteReference"/>
        </w:rPr>
        <w:footnoteRef/>
      </w:r>
      <w:r>
        <w:t xml:space="preserve"> </w:t>
      </w:r>
      <w:r w:rsidRPr="003C3D7F">
        <w:rPr>
          <w:i/>
          <w:iCs/>
        </w:rPr>
        <w:t>Smethurst v Commissioner of Police</w:t>
      </w:r>
      <w:r w:rsidRPr="003C3D7F">
        <w:t xml:space="preserve"> [2020] HCA 14.</w:t>
      </w:r>
    </w:p>
  </w:footnote>
  <w:footnote w:id="15">
    <w:p w14:paraId="2549CA11" w14:textId="5457324F" w:rsidR="00BB0FBE" w:rsidRDefault="00BB0FBE">
      <w:pPr>
        <w:pStyle w:val="FootnoteText"/>
      </w:pPr>
      <w:r>
        <w:rPr>
          <w:rStyle w:val="FootnoteReference"/>
        </w:rPr>
        <w:footnoteRef/>
      </w:r>
      <w:r>
        <w:t xml:space="preserve"> </w:t>
      </w:r>
      <w:r w:rsidRPr="00BB0FBE">
        <w:rPr>
          <w:i/>
          <w:iCs/>
        </w:rPr>
        <w:t>Privacy and Other Legislation Amendment Bill 2024</w:t>
      </w:r>
      <w:r w:rsidRPr="00BB0FBE">
        <w:t xml:space="preserve"> (Cth), Explanatory Memorandum</w:t>
      </w:r>
      <w:r w:rsidR="00F56E2B">
        <w:t>.</w:t>
      </w:r>
    </w:p>
  </w:footnote>
  <w:footnote w:id="16">
    <w:p w14:paraId="3CABAFEB" w14:textId="7E6EE656" w:rsidR="001B7CF0" w:rsidRDefault="001B7CF0">
      <w:pPr>
        <w:pStyle w:val="FootnoteText"/>
      </w:pPr>
      <w:r>
        <w:rPr>
          <w:rStyle w:val="FootnoteReference"/>
        </w:rPr>
        <w:footnoteRef/>
      </w:r>
      <w:r>
        <w:t xml:space="preserve"> </w:t>
      </w:r>
      <w:r w:rsidR="00FD6437" w:rsidRPr="00754509">
        <w:t xml:space="preserve">ALRC, For Your Information (n 8) </w:t>
      </w:r>
      <w:r w:rsidRPr="001B7CF0">
        <w:t>36–37.</w:t>
      </w:r>
      <w:r>
        <w:t xml:space="preserve"> </w:t>
      </w:r>
    </w:p>
  </w:footnote>
  <w:footnote w:id="17">
    <w:p w14:paraId="6CAE7239" w14:textId="042ADD34" w:rsidR="00A11B58" w:rsidRDefault="00A11B58">
      <w:pPr>
        <w:pStyle w:val="FootnoteText"/>
      </w:pPr>
      <w:r>
        <w:rPr>
          <w:rStyle w:val="FootnoteReference"/>
        </w:rPr>
        <w:footnoteRef/>
      </w:r>
      <w:r>
        <w:t xml:space="preserve"> </w:t>
      </w:r>
      <w:r w:rsidR="00004DF5" w:rsidRPr="00004DF5">
        <w:rPr>
          <w:i/>
          <w:iCs/>
        </w:rPr>
        <w:t>Privacy Act 1988</w:t>
      </w:r>
      <w:r w:rsidR="00004DF5" w:rsidRPr="00004DF5">
        <w:t xml:space="preserve"> (Cth) sch 2 </w:t>
      </w:r>
      <w:r w:rsidR="00E82DE0">
        <w:t>cl</w:t>
      </w:r>
      <w:r w:rsidR="00004DF5" w:rsidRPr="00004DF5">
        <w:t xml:space="preserve"> 1 s 2.</w:t>
      </w:r>
    </w:p>
  </w:footnote>
  <w:footnote w:id="18">
    <w:p w14:paraId="3F8FFFEF" w14:textId="0863CA67" w:rsidR="00CA08CD" w:rsidRPr="00D36D24" w:rsidRDefault="00CA08CD">
      <w:pPr>
        <w:pStyle w:val="FootnoteText"/>
        <w:rPr>
          <w:i/>
          <w:iCs/>
        </w:rPr>
      </w:pPr>
      <w:r>
        <w:rPr>
          <w:rStyle w:val="FootnoteReference"/>
        </w:rPr>
        <w:footnoteRef/>
      </w:r>
      <w:r>
        <w:t xml:space="preserve"> </w:t>
      </w:r>
      <w:r w:rsidR="00635066" w:rsidRPr="00635066">
        <w:rPr>
          <w:i/>
          <w:iCs/>
        </w:rPr>
        <w:t>Lenah Game Meats</w:t>
      </w:r>
      <w:r w:rsidR="00635066" w:rsidRPr="00635066">
        <w:t xml:space="preserve"> (n 5) [126] (Gummow and Hayne JJ).</w:t>
      </w:r>
    </w:p>
  </w:footnote>
  <w:footnote w:id="19">
    <w:p w14:paraId="135D1646" w14:textId="60A8202B" w:rsidR="00BD3E55" w:rsidRDefault="00BD3E55">
      <w:pPr>
        <w:pStyle w:val="FootnoteText"/>
      </w:pPr>
      <w:r>
        <w:rPr>
          <w:rStyle w:val="FootnoteReference"/>
        </w:rPr>
        <w:footnoteRef/>
      </w:r>
      <w:r>
        <w:t xml:space="preserve"> Australian Law Reform Commission, </w:t>
      </w:r>
      <w:r>
        <w:rPr>
          <w:rStyle w:val="Emphasis"/>
        </w:rPr>
        <w:t>Serious Invasions of Privacy in the Digital Era</w:t>
      </w:r>
      <w:r>
        <w:t xml:space="preserve"> (Report No 123, 2014) [</w:t>
      </w:r>
      <w:r w:rsidR="005C1C51">
        <w:t>9.4].</w:t>
      </w:r>
    </w:p>
  </w:footnote>
  <w:footnote w:id="20">
    <w:p w14:paraId="4B2DE169" w14:textId="0E2CAC1B" w:rsidR="00CE5EA2" w:rsidRDefault="00CE5EA2">
      <w:pPr>
        <w:pStyle w:val="FootnoteText"/>
      </w:pPr>
      <w:r>
        <w:rPr>
          <w:rStyle w:val="FootnoteReference"/>
        </w:rPr>
        <w:footnoteRef/>
      </w:r>
      <w:r>
        <w:t xml:space="preserve"> Ibid, Recommendation 9–1, </w:t>
      </w:r>
      <w:r w:rsidR="002E5701">
        <w:t>144.</w:t>
      </w:r>
    </w:p>
  </w:footnote>
  <w:footnote w:id="21">
    <w:p w14:paraId="54144D5B" w14:textId="2D3ADD28" w:rsidR="00153935" w:rsidRDefault="00153935">
      <w:pPr>
        <w:pStyle w:val="FootnoteText"/>
      </w:pPr>
      <w:r>
        <w:rPr>
          <w:rStyle w:val="FootnoteReference"/>
        </w:rPr>
        <w:footnoteRef/>
      </w:r>
      <w:r>
        <w:t xml:space="preserve"> </w:t>
      </w:r>
      <w:r w:rsidR="00F56E2B" w:rsidRPr="00F56E2B">
        <w:rPr>
          <w:i/>
          <w:iCs/>
        </w:rPr>
        <w:t>Privacy and Other Legislation Amendment Bill 2024</w:t>
      </w:r>
      <w:r w:rsidR="00F56E2B" w:rsidRPr="00F56E2B">
        <w:t xml:space="preserve"> (Cth), Explanatory Memorandum, [59].</w:t>
      </w:r>
    </w:p>
  </w:footnote>
  <w:footnote w:id="22">
    <w:p w14:paraId="676F9CB1" w14:textId="64E9E068" w:rsidR="007A7EE3" w:rsidRDefault="007A7EE3">
      <w:pPr>
        <w:pStyle w:val="FootnoteText"/>
      </w:pPr>
      <w:r>
        <w:rPr>
          <w:rStyle w:val="FootnoteReference"/>
        </w:rPr>
        <w:footnoteRef/>
      </w:r>
      <w:r>
        <w:t xml:space="preserve"> </w:t>
      </w:r>
      <w:r w:rsidR="00CD4381">
        <w:rPr>
          <w:rStyle w:val="Emphasis"/>
        </w:rPr>
        <w:t>Privacy Act 1988</w:t>
      </w:r>
      <w:r w:rsidR="00CD4381">
        <w:t xml:space="preserve"> (Cth) sch 2 cl 11(1), </w:t>
      </w:r>
      <w:r w:rsidR="00AA7D88">
        <w:t xml:space="preserve">cl </w:t>
      </w:r>
      <w:r w:rsidR="00CD4381">
        <w:t>12(1).</w:t>
      </w:r>
    </w:p>
  </w:footnote>
  <w:footnote w:id="23">
    <w:p w14:paraId="6286F9DF" w14:textId="4C4095F7" w:rsidR="009851CC" w:rsidRDefault="009851CC">
      <w:pPr>
        <w:pStyle w:val="FootnoteText"/>
      </w:pPr>
      <w:r>
        <w:rPr>
          <w:rStyle w:val="FootnoteReference"/>
        </w:rPr>
        <w:footnoteRef/>
      </w:r>
      <w:r>
        <w:t xml:space="preserve"> Ibid</w:t>
      </w:r>
      <w:r w:rsidR="00AA7D88">
        <w:t xml:space="preserve"> cl 11(3).</w:t>
      </w:r>
    </w:p>
  </w:footnote>
  <w:footnote w:id="24">
    <w:p w14:paraId="33109724" w14:textId="3D35CA3B" w:rsidR="00AA7D88" w:rsidRDefault="00AA7D88">
      <w:pPr>
        <w:pStyle w:val="FootnoteText"/>
      </w:pPr>
      <w:r>
        <w:rPr>
          <w:rStyle w:val="FootnoteReference"/>
        </w:rPr>
        <w:footnoteRef/>
      </w:r>
      <w:r>
        <w:t xml:space="preserve"> Ibid cl </w:t>
      </w:r>
      <w:r w:rsidR="001431A0">
        <w:t xml:space="preserve">11(2), cl 11(4). </w:t>
      </w:r>
    </w:p>
  </w:footnote>
  <w:footnote w:id="25">
    <w:p w14:paraId="1E5006A0" w14:textId="6B6771B8" w:rsidR="004E6FD3" w:rsidRDefault="004E6FD3">
      <w:pPr>
        <w:pStyle w:val="FootnoteText"/>
      </w:pPr>
      <w:r>
        <w:rPr>
          <w:rStyle w:val="FootnoteReference"/>
        </w:rPr>
        <w:footnoteRef/>
      </w:r>
      <w:r>
        <w:t xml:space="preserve"> Ibid </w:t>
      </w:r>
      <w:r w:rsidR="00AA7D88">
        <w:t xml:space="preserve">cl </w:t>
      </w:r>
      <w:r>
        <w:t>11(6).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0E3"/>
    <w:multiLevelType w:val="hybridMultilevel"/>
    <w:tmpl w:val="83E44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9E1F9A"/>
    <w:multiLevelType w:val="hybridMultilevel"/>
    <w:tmpl w:val="41EA25C8"/>
    <w:lvl w:ilvl="0" w:tplc="F1EA4B9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B246BA"/>
    <w:multiLevelType w:val="hybridMultilevel"/>
    <w:tmpl w:val="C2C8F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1841C7"/>
    <w:multiLevelType w:val="hybridMultilevel"/>
    <w:tmpl w:val="5360DFB0"/>
    <w:lvl w:ilvl="0" w:tplc="08090001">
      <w:start w:val="1"/>
      <w:numFmt w:val="bullet"/>
      <w:lvlText w:val=""/>
      <w:lvlJc w:val="left"/>
      <w:pPr>
        <w:ind w:left="1136" w:hanging="360"/>
      </w:pPr>
      <w:rPr>
        <w:rFonts w:ascii="Symbol" w:hAnsi="Symbol" w:hint="default"/>
      </w:rPr>
    </w:lvl>
    <w:lvl w:ilvl="1" w:tplc="08090003" w:tentative="1">
      <w:start w:val="1"/>
      <w:numFmt w:val="bullet"/>
      <w:lvlText w:val="o"/>
      <w:lvlJc w:val="left"/>
      <w:pPr>
        <w:ind w:left="1856" w:hanging="360"/>
      </w:pPr>
      <w:rPr>
        <w:rFonts w:ascii="Courier New" w:hAnsi="Courier New" w:cs="Courier New" w:hint="default"/>
      </w:rPr>
    </w:lvl>
    <w:lvl w:ilvl="2" w:tplc="08090005" w:tentative="1">
      <w:start w:val="1"/>
      <w:numFmt w:val="bullet"/>
      <w:lvlText w:val=""/>
      <w:lvlJc w:val="left"/>
      <w:pPr>
        <w:ind w:left="2576" w:hanging="360"/>
      </w:pPr>
      <w:rPr>
        <w:rFonts w:ascii="Wingdings" w:hAnsi="Wingdings" w:hint="default"/>
      </w:rPr>
    </w:lvl>
    <w:lvl w:ilvl="3" w:tplc="08090001" w:tentative="1">
      <w:start w:val="1"/>
      <w:numFmt w:val="bullet"/>
      <w:lvlText w:val=""/>
      <w:lvlJc w:val="left"/>
      <w:pPr>
        <w:ind w:left="3296" w:hanging="360"/>
      </w:pPr>
      <w:rPr>
        <w:rFonts w:ascii="Symbol" w:hAnsi="Symbol" w:hint="default"/>
      </w:rPr>
    </w:lvl>
    <w:lvl w:ilvl="4" w:tplc="08090003" w:tentative="1">
      <w:start w:val="1"/>
      <w:numFmt w:val="bullet"/>
      <w:lvlText w:val="o"/>
      <w:lvlJc w:val="left"/>
      <w:pPr>
        <w:ind w:left="4016" w:hanging="360"/>
      </w:pPr>
      <w:rPr>
        <w:rFonts w:ascii="Courier New" w:hAnsi="Courier New" w:cs="Courier New" w:hint="default"/>
      </w:rPr>
    </w:lvl>
    <w:lvl w:ilvl="5" w:tplc="08090005" w:tentative="1">
      <w:start w:val="1"/>
      <w:numFmt w:val="bullet"/>
      <w:lvlText w:val=""/>
      <w:lvlJc w:val="left"/>
      <w:pPr>
        <w:ind w:left="4736" w:hanging="360"/>
      </w:pPr>
      <w:rPr>
        <w:rFonts w:ascii="Wingdings" w:hAnsi="Wingdings" w:hint="default"/>
      </w:rPr>
    </w:lvl>
    <w:lvl w:ilvl="6" w:tplc="08090001" w:tentative="1">
      <w:start w:val="1"/>
      <w:numFmt w:val="bullet"/>
      <w:lvlText w:val=""/>
      <w:lvlJc w:val="left"/>
      <w:pPr>
        <w:ind w:left="5456" w:hanging="360"/>
      </w:pPr>
      <w:rPr>
        <w:rFonts w:ascii="Symbol" w:hAnsi="Symbol" w:hint="default"/>
      </w:rPr>
    </w:lvl>
    <w:lvl w:ilvl="7" w:tplc="08090003" w:tentative="1">
      <w:start w:val="1"/>
      <w:numFmt w:val="bullet"/>
      <w:lvlText w:val="o"/>
      <w:lvlJc w:val="left"/>
      <w:pPr>
        <w:ind w:left="6176" w:hanging="360"/>
      </w:pPr>
      <w:rPr>
        <w:rFonts w:ascii="Courier New" w:hAnsi="Courier New" w:cs="Courier New" w:hint="default"/>
      </w:rPr>
    </w:lvl>
    <w:lvl w:ilvl="8" w:tplc="08090005" w:tentative="1">
      <w:start w:val="1"/>
      <w:numFmt w:val="bullet"/>
      <w:lvlText w:val=""/>
      <w:lvlJc w:val="left"/>
      <w:pPr>
        <w:ind w:left="6896" w:hanging="360"/>
      </w:pPr>
      <w:rPr>
        <w:rFonts w:ascii="Wingdings" w:hAnsi="Wingdings" w:hint="default"/>
      </w:rPr>
    </w:lvl>
  </w:abstractNum>
  <w:abstractNum w:abstractNumId="4" w15:restartNumberingAfterBreak="0">
    <w:nsid w:val="16D5196B"/>
    <w:multiLevelType w:val="hybridMultilevel"/>
    <w:tmpl w:val="C89C8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463982"/>
    <w:multiLevelType w:val="hybridMultilevel"/>
    <w:tmpl w:val="D75C7F6E"/>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BEA7720"/>
    <w:multiLevelType w:val="multilevel"/>
    <w:tmpl w:val="D362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C52C9"/>
    <w:multiLevelType w:val="multilevel"/>
    <w:tmpl w:val="863A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0D766C"/>
    <w:multiLevelType w:val="hybridMultilevel"/>
    <w:tmpl w:val="E33AD2E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57FD45F4"/>
    <w:multiLevelType w:val="multilevel"/>
    <w:tmpl w:val="B7C0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F5624F"/>
    <w:multiLevelType w:val="hybridMultilevel"/>
    <w:tmpl w:val="0F3E2AE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7515067"/>
    <w:multiLevelType w:val="multilevel"/>
    <w:tmpl w:val="7060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0079A6"/>
    <w:multiLevelType w:val="multilevel"/>
    <w:tmpl w:val="2C98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621913"/>
    <w:multiLevelType w:val="hybridMultilevel"/>
    <w:tmpl w:val="3F7616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965965195">
    <w:abstractNumId w:val="5"/>
  </w:num>
  <w:num w:numId="2" w16cid:durableId="188178157">
    <w:abstractNumId w:val="13"/>
  </w:num>
  <w:num w:numId="3" w16cid:durableId="2070640871">
    <w:abstractNumId w:val="2"/>
  </w:num>
  <w:num w:numId="4" w16cid:durableId="1937589968">
    <w:abstractNumId w:val="11"/>
  </w:num>
  <w:num w:numId="5" w16cid:durableId="1619526529">
    <w:abstractNumId w:val="12"/>
  </w:num>
  <w:num w:numId="6" w16cid:durableId="316494551">
    <w:abstractNumId w:val="6"/>
  </w:num>
  <w:num w:numId="7" w16cid:durableId="1376152548">
    <w:abstractNumId w:val="9"/>
  </w:num>
  <w:num w:numId="8" w16cid:durableId="1684480181">
    <w:abstractNumId w:val="7"/>
  </w:num>
  <w:num w:numId="9" w16cid:durableId="2010407545">
    <w:abstractNumId w:val="4"/>
  </w:num>
  <w:num w:numId="10" w16cid:durableId="1679886849">
    <w:abstractNumId w:val="10"/>
  </w:num>
  <w:num w:numId="11" w16cid:durableId="460224352">
    <w:abstractNumId w:val="1"/>
  </w:num>
  <w:num w:numId="12" w16cid:durableId="215631031">
    <w:abstractNumId w:val="8"/>
  </w:num>
  <w:num w:numId="13" w16cid:durableId="43607757">
    <w:abstractNumId w:val="3"/>
  </w:num>
  <w:num w:numId="14" w16cid:durableId="1193961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2D"/>
    <w:rsid w:val="00001253"/>
    <w:rsid w:val="000013C7"/>
    <w:rsid w:val="00003FFF"/>
    <w:rsid w:val="00004DF5"/>
    <w:rsid w:val="00010969"/>
    <w:rsid w:val="00011BB2"/>
    <w:rsid w:val="0001341B"/>
    <w:rsid w:val="00017A6D"/>
    <w:rsid w:val="00021C8C"/>
    <w:rsid w:val="00023799"/>
    <w:rsid w:val="0002424F"/>
    <w:rsid w:val="00030D36"/>
    <w:rsid w:val="000313AC"/>
    <w:rsid w:val="00040247"/>
    <w:rsid w:val="000411C1"/>
    <w:rsid w:val="00042C89"/>
    <w:rsid w:val="00045552"/>
    <w:rsid w:val="000478C2"/>
    <w:rsid w:val="00052D97"/>
    <w:rsid w:val="00054574"/>
    <w:rsid w:val="000577BA"/>
    <w:rsid w:val="0006040A"/>
    <w:rsid w:val="000644B7"/>
    <w:rsid w:val="00075EE7"/>
    <w:rsid w:val="00077818"/>
    <w:rsid w:val="0008008C"/>
    <w:rsid w:val="000816B3"/>
    <w:rsid w:val="00082A95"/>
    <w:rsid w:val="00085011"/>
    <w:rsid w:val="00086A73"/>
    <w:rsid w:val="000925E5"/>
    <w:rsid w:val="00092896"/>
    <w:rsid w:val="00093582"/>
    <w:rsid w:val="00096188"/>
    <w:rsid w:val="0009721E"/>
    <w:rsid w:val="0009758A"/>
    <w:rsid w:val="000A1525"/>
    <w:rsid w:val="000B008E"/>
    <w:rsid w:val="000B019F"/>
    <w:rsid w:val="000C4DBA"/>
    <w:rsid w:val="000C6C14"/>
    <w:rsid w:val="000D06D4"/>
    <w:rsid w:val="000D09BA"/>
    <w:rsid w:val="000D164F"/>
    <w:rsid w:val="000D2D66"/>
    <w:rsid w:val="000D74FE"/>
    <w:rsid w:val="000E1A91"/>
    <w:rsid w:val="000E5DC6"/>
    <w:rsid w:val="000E646F"/>
    <w:rsid w:val="000E777D"/>
    <w:rsid w:val="000F1035"/>
    <w:rsid w:val="000F48E9"/>
    <w:rsid w:val="00107BA2"/>
    <w:rsid w:val="00112ABD"/>
    <w:rsid w:val="00115905"/>
    <w:rsid w:val="00116393"/>
    <w:rsid w:val="00117DF1"/>
    <w:rsid w:val="00120A70"/>
    <w:rsid w:val="00120EB8"/>
    <w:rsid w:val="00122109"/>
    <w:rsid w:val="00130ACE"/>
    <w:rsid w:val="001326B4"/>
    <w:rsid w:val="001376FE"/>
    <w:rsid w:val="00140C76"/>
    <w:rsid w:val="00140DA5"/>
    <w:rsid w:val="001431A0"/>
    <w:rsid w:val="0014686D"/>
    <w:rsid w:val="00153935"/>
    <w:rsid w:val="00153F82"/>
    <w:rsid w:val="00161767"/>
    <w:rsid w:val="00164BF9"/>
    <w:rsid w:val="001675EE"/>
    <w:rsid w:val="0017174E"/>
    <w:rsid w:val="001738DD"/>
    <w:rsid w:val="001754F9"/>
    <w:rsid w:val="00176ED4"/>
    <w:rsid w:val="00177671"/>
    <w:rsid w:val="00180625"/>
    <w:rsid w:val="00181147"/>
    <w:rsid w:val="00182888"/>
    <w:rsid w:val="00182BD3"/>
    <w:rsid w:val="0018317F"/>
    <w:rsid w:val="001842AC"/>
    <w:rsid w:val="00186399"/>
    <w:rsid w:val="001A10B9"/>
    <w:rsid w:val="001A415B"/>
    <w:rsid w:val="001A4406"/>
    <w:rsid w:val="001A480E"/>
    <w:rsid w:val="001B7CF0"/>
    <w:rsid w:val="001C1962"/>
    <w:rsid w:val="001D12A9"/>
    <w:rsid w:val="001D1B7C"/>
    <w:rsid w:val="001D2A23"/>
    <w:rsid w:val="001E300D"/>
    <w:rsid w:val="001E34F5"/>
    <w:rsid w:val="001F60F7"/>
    <w:rsid w:val="002003B3"/>
    <w:rsid w:val="00202138"/>
    <w:rsid w:val="002034D3"/>
    <w:rsid w:val="00203684"/>
    <w:rsid w:val="0020522C"/>
    <w:rsid w:val="002125DC"/>
    <w:rsid w:val="0021287A"/>
    <w:rsid w:val="002155F9"/>
    <w:rsid w:val="002174D9"/>
    <w:rsid w:val="00221015"/>
    <w:rsid w:val="002214A7"/>
    <w:rsid w:val="00221A96"/>
    <w:rsid w:val="00224BAB"/>
    <w:rsid w:val="0022501C"/>
    <w:rsid w:val="00225FEF"/>
    <w:rsid w:val="00237D69"/>
    <w:rsid w:val="00240F98"/>
    <w:rsid w:val="00246BB3"/>
    <w:rsid w:val="0025039C"/>
    <w:rsid w:val="00254CA6"/>
    <w:rsid w:val="00256053"/>
    <w:rsid w:val="00256D06"/>
    <w:rsid w:val="0025706A"/>
    <w:rsid w:val="002575A3"/>
    <w:rsid w:val="00262353"/>
    <w:rsid w:val="00262804"/>
    <w:rsid w:val="002730DF"/>
    <w:rsid w:val="00273EAA"/>
    <w:rsid w:val="00280582"/>
    <w:rsid w:val="002829AD"/>
    <w:rsid w:val="00283841"/>
    <w:rsid w:val="002859EF"/>
    <w:rsid w:val="002A145F"/>
    <w:rsid w:val="002A4F24"/>
    <w:rsid w:val="002B1289"/>
    <w:rsid w:val="002B209F"/>
    <w:rsid w:val="002B40C4"/>
    <w:rsid w:val="002B7CC6"/>
    <w:rsid w:val="002C4659"/>
    <w:rsid w:val="002C6451"/>
    <w:rsid w:val="002D1A9E"/>
    <w:rsid w:val="002D5E15"/>
    <w:rsid w:val="002D7236"/>
    <w:rsid w:val="002D78B4"/>
    <w:rsid w:val="002E3DEB"/>
    <w:rsid w:val="002E5701"/>
    <w:rsid w:val="002E758D"/>
    <w:rsid w:val="002F1706"/>
    <w:rsid w:val="002F245B"/>
    <w:rsid w:val="002F3007"/>
    <w:rsid w:val="002F4458"/>
    <w:rsid w:val="002F5773"/>
    <w:rsid w:val="003007C5"/>
    <w:rsid w:val="0030085D"/>
    <w:rsid w:val="00300FC5"/>
    <w:rsid w:val="003031B6"/>
    <w:rsid w:val="00304EA2"/>
    <w:rsid w:val="00305D53"/>
    <w:rsid w:val="00310650"/>
    <w:rsid w:val="003118B7"/>
    <w:rsid w:val="00313DFA"/>
    <w:rsid w:val="00316B1F"/>
    <w:rsid w:val="003212F9"/>
    <w:rsid w:val="00321B1E"/>
    <w:rsid w:val="00323D51"/>
    <w:rsid w:val="00324134"/>
    <w:rsid w:val="00332BFE"/>
    <w:rsid w:val="00341291"/>
    <w:rsid w:val="00341B7A"/>
    <w:rsid w:val="003420CC"/>
    <w:rsid w:val="00344004"/>
    <w:rsid w:val="0034701C"/>
    <w:rsid w:val="00350C02"/>
    <w:rsid w:val="00351379"/>
    <w:rsid w:val="00351B0B"/>
    <w:rsid w:val="00353115"/>
    <w:rsid w:val="00353D38"/>
    <w:rsid w:val="003542CF"/>
    <w:rsid w:val="0035607A"/>
    <w:rsid w:val="003611B7"/>
    <w:rsid w:val="00361B82"/>
    <w:rsid w:val="00365F0F"/>
    <w:rsid w:val="0037084A"/>
    <w:rsid w:val="00370A96"/>
    <w:rsid w:val="00371244"/>
    <w:rsid w:val="003718D0"/>
    <w:rsid w:val="00372008"/>
    <w:rsid w:val="003732EE"/>
    <w:rsid w:val="00384E89"/>
    <w:rsid w:val="0038586F"/>
    <w:rsid w:val="00390120"/>
    <w:rsid w:val="003961D9"/>
    <w:rsid w:val="003B071A"/>
    <w:rsid w:val="003C1E62"/>
    <w:rsid w:val="003C1E94"/>
    <w:rsid w:val="003C3D7F"/>
    <w:rsid w:val="003C723B"/>
    <w:rsid w:val="003C798E"/>
    <w:rsid w:val="003D25DF"/>
    <w:rsid w:val="003D79BC"/>
    <w:rsid w:val="003E06DB"/>
    <w:rsid w:val="003E2520"/>
    <w:rsid w:val="003E3BA8"/>
    <w:rsid w:val="003F0CC5"/>
    <w:rsid w:val="003F12CD"/>
    <w:rsid w:val="003F187C"/>
    <w:rsid w:val="003F6D11"/>
    <w:rsid w:val="00403CDC"/>
    <w:rsid w:val="00406052"/>
    <w:rsid w:val="00411832"/>
    <w:rsid w:val="00416FD9"/>
    <w:rsid w:val="00417398"/>
    <w:rsid w:val="004176CA"/>
    <w:rsid w:val="00421005"/>
    <w:rsid w:val="0042112F"/>
    <w:rsid w:val="0042301B"/>
    <w:rsid w:val="00426286"/>
    <w:rsid w:val="004305E3"/>
    <w:rsid w:val="004313E4"/>
    <w:rsid w:val="0043554F"/>
    <w:rsid w:val="004434ED"/>
    <w:rsid w:val="004435C7"/>
    <w:rsid w:val="00454B88"/>
    <w:rsid w:val="00456AAF"/>
    <w:rsid w:val="00460669"/>
    <w:rsid w:val="004665D7"/>
    <w:rsid w:val="00474FBE"/>
    <w:rsid w:val="00480375"/>
    <w:rsid w:val="0048281F"/>
    <w:rsid w:val="004842DB"/>
    <w:rsid w:val="00486D09"/>
    <w:rsid w:val="00487607"/>
    <w:rsid w:val="00496BEA"/>
    <w:rsid w:val="004A27D3"/>
    <w:rsid w:val="004B24B6"/>
    <w:rsid w:val="004B5774"/>
    <w:rsid w:val="004B751D"/>
    <w:rsid w:val="004C1045"/>
    <w:rsid w:val="004C74AD"/>
    <w:rsid w:val="004D0B5A"/>
    <w:rsid w:val="004D694A"/>
    <w:rsid w:val="004E30CD"/>
    <w:rsid w:val="004E4810"/>
    <w:rsid w:val="004E6FD3"/>
    <w:rsid w:val="004F12A9"/>
    <w:rsid w:val="004F17C8"/>
    <w:rsid w:val="004F244B"/>
    <w:rsid w:val="004F4050"/>
    <w:rsid w:val="00511173"/>
    <w:rsid w:val="005164F7"/>
    <w:rsid w:val="0051717C"/>
    <w:rsid w:val="00520497"/>
    <w:rsid w:val="005208F6"/>
    <w:rsid w:val="00522BED"/>
    <w:rsid w:val="00522CF8"/>
    <w:rsid w:val="00522F45"/>
    <w:rsid w:val="005235BE"/>
    <w:rsid w:val="00526950"/>
    <w:rsid w:val="00526E28"/>
    <w:rsid w:val="00527D4D"/>
    <w:rsid w:val="00532081"/>
    <w:rsid w:val="0053451F"/>
    <w:rsid w:val="00536817"/>
    <w:rsid w:val="00536C14"/>
    <w:rsid w:val="005403AE"/>
    <w:rsid w:val="005428C2"/>
    <w:rsid w:val="00543E9D"/>
    <w:rsid w:val="00547043"/>
    <w:rsid w:val="00550D72"/>
    <w:rsid w:val="00552195"/>
    <w:rsid w:val="0055373E"/>
    <w:rsid w:val="00557558"/>
    <w:rsid w:val="0056655F"/>
    <w:rsid w:val="005700BC"/>
    <w:rsid w:val="00581951"/>
    <w:rsid w:val="00582355"/>
    <w:rsid w:val="00582386"/>
    <w:rsid w:val="00585573"/>
    <w:rsid w:val="00585841"/>
    <w:rsid w:val="00585B00"/>
    <w:rsid w:val="0059366A"/>
    <w:rsid w:val="00594FE4"/>
    <w:rsid w:val="00595CFC"/>
    <w:rsid w:val="005A118F"/>
    <w:rsid w:val="005A3BB0"/>
    <w:rsid w:val="005A6A79"/>
    <w:rsid w:val="005A6F05"/>
    <w:rsid w:val="005A75F8"/>
    <w:rsid w:val="005B0B2B"/>
    <w:rsid w:val="005B2E8C"/>
    <w:rsid w:val="005C1C51"/>
    <w:rsid w:val="005C53DF"/>
    <w:rsid w:val="005C69E6"/>
    <w:rsid w:val="005C6FA4"/>
    <w:rsid w:val="005D1AC4"/>
    <w:rsid w:val="005E3061"/>
    <w:rsid w:val="005E4129"/>
    <w:rsid w:val="005F0016"/>
    <w:rsid w:val="005F06A5"/>
    <w:rsid w:val="005F21EB"/>
    <w:rsid w:val="006045E0"/>
    <w:rsid w:val="00605407"/>
    <w:rsid w:val="006120EC"/>
    <w:rsid w:val="00614B03"/>
    <w:rsid w:val="0061594A"/>
    <w:rsid w:val="0061767D"/>
    <w:rsid w:val="0062183A"/>
    <w:rsid w:val="00621C6D"/>
    <w:rsid w:val="006233AA"/>
    <w:rsid w:val="00626F26"/>
    <w:rsid w:val="00635066"/>
    <w:rsid w:val="006378DD"/>
    <w:rsid w:val="0064003D"/>
    <w:rsid w:val="00641B48"/>
    <w:rsid w:val="006434B5"/>
    <w:rsid w:val="0064365D"/>
    <w:rsid w:val="006459CB"/>
    <w:rsid w:val="00646133"/>
    <w:rsid w:val="00646777"/>
    <w:rsid w:val="0065366D"/>
    <w:rsid w:val="0065587B"/>
    <w:rsid w:val="00666E93"/>
    <w:rsid w:val="006705D4"/>
    <w:rsid w:val="00670678"/>
    <w:rsid w:val="00674ED3"/>
    <w:rsid w:val="00674FA2"/>
    <w:rsid w:val="00681458"/>
    <w:rsid w:val="0068192E"/>
    <w:rsid w:val="0068288C"/>
    <w:rsid w:val="00683D4D"/>
    <w:rsid w:val="006929CA"/>
    <w:rsid w:val="00695278"/>
    <w:rsid w:val="006976B8"/>
    <w:rsid w:val="00697E5B"/>
    <w:rsid w:val="006A496B"/>
    <w:rsid w:val="006A49C8"/>
    <w:rsid w:val="006A7121"/>
    <w:rsid w:val="006A79D8"/>
    <w:rsid w:val="006A7EA6"/>
    <w:rsid w:val="006B00B8"/>
    <w:rsid w:val="006B0DA9"/>
    <w:rsid w:val="006B7E67"/>
    <w:rsid w:val="006C0DC3"/>
    <w:rsid w:val="006C2FB7"/>
    <w:rsid w:val="006C6925"/>
    <w:rsid w:val="006D0142"/>
    <w:rsid w:val="006D124B"/>
    <w:rsid w:val="006D16CC"/>
    <w:rsid w:val="006D3113"/>
    <w:rsid w:val="006D37F9"/>
    <w:rsid w:val="006D57DB"/>
    <w:rsid w:val="006D76BD"/>
    <w:rsid w:val="006E5722"/>
    <w:rsid w:val="006F0E7B"/>
    <w:rsid w:val="006F2806"/>
    <w:rsid w:val="006F4F46"/>
    <w:rsid w:val="006F69DE"/>
    <w:rsid w:val="007039FD"/>
    <w:rsid w:val="00705504"/>
    <w:rsid w:val="00707DFB"/>
    <w:rsid w:val="0071074B"/>
    <w:rsid w:val="00712F87"/>
    <w:rsid w:val="00724DFE"/>
    <w:rsid w:val="0072745D"/>
    <w:rsid w:val="007304CB"/>
    <w:rsid w:val="007315B9"/>
    <w:rsid w:val="007352C0"/>
    <w:rsid w:val="00736FA0"/>
    <w:rsid w:val="007416ED"/>
    <w:rsid w:val="007435F8"/>
    <w:rsid w:val="007516C2"/>
    <w:rsid w:val="00754509"/>
    <w:rsid w:val="00756243"/>
    <w:rsid w:val="00757536"/>
    <w:rsid w:val="00762072"/>
    <w:rsid w:val="00763822"/>
    <w:rsid w:val="00765114"/>
    <w:rsid w:val="00765265"/>
    <w:rsid w:val="007654FC"/>
    <w:rsid w:val="00766FEE"/>
    <w:rsid w:val="007675F9"/>
    <w:rsid w:val="00775630"/>
    <w:rsid w:val="00776EAC"/>
    <w:rsid w:val="00781B43"/>
    <w:rsid w:val="007912E9"/>
    <w:rsid w:val="007929D2"/>
    <w:rsid w:val="00794D6F"/>
    <w:rsid w:val="007A34F9"/>
    <w:rsid w:val="007A7023"/>
    <w:rsid w:val="007A7EE3"/>
    <w:rsid w:val="007B02C2"/>
    <w:rsid w:val="007B2F00"/>
    <w:rsid w:val="007B4D3F"/>
    <w:rsid w:val="007C657F"/>
    <w:rsid w:val="007D5700"/>
    <w:rsid w:val="007D5DF2"/>
    <w:rsid w:val="007D5F26"/>
    <w:rsid w:val="007D7DB0"/>
    <w:rsid w:val="007E0E9D"/>
    <w:rsid w:val="007E53F8"/>
    <w:rsid w:val="007E5F8B"/>
    <w:rsid w:val="007F2E88"/>
    <w:rsid w:val="007F4435"/>
    <w:rsid w:val="007F68CA"/>
    <w:rsid w:val="007F69EA"/>
    <w:rsid w:val="00800570"/>
    <w:rsid w:val="00802F4D"/>
    <w:rsid w:val="008061AC"/>
    <w:rsid w:val="00810BFF"/>
    <w:rsid w:val="00812265"/>
    <w:rsid w:val="008122F2"/>
    <w:rsid w:val="00812A13"/>
    <w:rsid w:val="00813591"/>
    <w:rsid w:val="00815CF9"/>
    <w:rsid w:val="00834251"/>
    <w:rsid w:val="00837D94"/>
    <w:rsid w:val="00843977"/>
    <w:rsid w:val="00850815"/>
    <w:rsid w:val="00850F1F"/>
    <w:rsid w:val="00853D7F"/>
    <w:rsid w:val="00856E7E"/>
    <w:rsid w:val="008601C7"/>
    <w:rsid w:val="00860495"/>
    <w:rsid w:val="008634C0"/>
    <w:rsid w:val="00864C5E"/>
    <w:rsid w:val="00866E5E"/>
    <w:rsid w:val="00872213"/>
    <w:rsid w:val="0087432A"/>
    <w:rsid w:val="00875D03"/>
    <w:rsid w:val="008767F0"/>
    <w:rsid w:val="00877B37"/>
    <w:rsid w:val="00882B44"/>
    <w:rsid w:val="008869FF"/>
    <w:rsid w:val="00892652"/>
    <w:rsid w:val="008942E9"/>
    <w:rsid w:val="00894EDB"/>
    <w:rsid w:val="008A001B"/>
    <w:rsid w:val="008A0379"/>
    <w:rsid w:val="008A4B48"/>
    <w:rsid w:val="008C1E25"/>
    <w:rsid w:val="008C50D2"/>
    <w:rsid w:val="008D0BE7"/>
    <w:rsid w:val="008D3115"/>
    <w:rsid w:val="008E01C3"/>
    <w:rsid w:val="008E323F"/>
    <w:rsid w:val="008E5C38"/>
    <w:rsid w:val="008E5D54"/>
    <w:rsid w:val="008E6EF7"/>
    <w:rsid w:val="008F0382"/>
    <w:rsid w:val="008F1203"/>
    <w:rsid w:val="008F2FE1"/>
    <w:rsid w:val="008F7416"/>
    <w:rsid w:val="0090286C"/>
    <w:rsid w:val="00905F19"/>
    <w:rsid w:val="009077E9"/>
    <w:rsid w:val="00920F6F"/>
    <w:rsid w:val="00930423"/>
    <w:rsid w:val="00931870"/>
    <w:rsid w:val="0094349C"/>
    <w:rsid w:val="00943855"/>
    <w:rsid w:val="009461B0"/>
    <w:rsid w:val="00950F70"/>
    <w:rsid w:val="00961FE2"/>
    <w:rsid w:val="0096431E"/>
    <w:rsid w:val="0096492F"/>
    <w:rsid w:val="00964D87"/>
    <w:rsid w:val="009713CF"/>
    <w:rsid w:val="00972277"/>
    <w:rsid w:val="009730D8"/>
    <w:rsid w:val="00974153"/>
    <w:rsid w:val="00974891"/>
    <w:rsid w:val="009767B4"/>
    <w:rsid w:val="009839B9"/>
    <w:rsid w:val="00983F34"/>
    <w:rsid w:val="009851CC"/>
    <w:rsid w:val="00987867"/>
    <w:rsid w:val="00990760"/>
    <w:rsid w:val="00996910"/>
    <w:rsid w:val="00997A3A"/>
    <w:rsid w:val="009A1A3F"/>
    <w:rsid w:val="009A30B0"/>
    <w:rsid w:val="009A60D2"/>
    <w:rsid w:val="009A766E"/>
    <w:rsid w:val="009B2D51"/>
    <w:rsid w:val="009B475F"/>
    <w:rsid w:val="009B5675"/>
    <w:rsid w:val="009B7938"/>
    <w:rsid w:val="009B7B4A"/>
    <w:rsid w:val="009C374A"/>
    <w:rsid w:val="009C3B22"/>
    <w:rsid w:val="009C4B5C"/>
    <w:rsid w:val="009C7B2F"/>
    <w:rsid w:val="009D309D"/>
    <w:rsid w:val="009D66AF"/>
    <w:rsid w:val="009E0DCC"/>
    <w:rsid w:val="009E0EA9"/>
    <w:rsid w:val="009F31B5"/>
    <w:rsid w:val="00A019D3"/>
    <w:rsid w:val="00A02AA4"/>
    <w:rsid w:val="00A11B58"/>
    <w:rsid w:val="00A120E0"/>
    <w:rsid w:val="00A1324D"/>
    <w:rsid w:val="00A14D71"/>
    <w:rsid w:val="00A15BF7"/>
    <w:rsid w:val="00A15E05"/>
    <w:rsid w:val="00A16929"/>
    <w:rsid w:val="00A2076C"/>
    <w:rsid w:val="00A2355F"/>
    <w:rsid w:val="00A23D7D"/>
    <w:rsid w:val="00A24781"/>
    <w:rsid w:val="00A2481F"/>
    <w:rsid w:val="00A24BEE"/>
    <w:rsid w:val="00A30E2F"/>
    <w:rsid w:val="00A414E1"/>
    <w:rsid w:val="00A45189"/>
    <w:rsid w:val="00A471C9"/>
    <w:rsid w:val="00A5016F"/>
    <w:rsid w:val="00A529CE"/>
    <w:rsid w:val="00A55554"/>
    <w:rsid w:val="00A61965"/>
    <w:rsid w:val="00A652AC"/>
    <w:rsid w:val="00A66DDB"/>
    <w:rsid w:val="00A67CC0"/>
    <w:rsid w:val="00A70E5B"/>
    <w:rsid w:val="00A73DC4"/>
    <w:rsid w:val="00A745BB"/>
    <w:rsid w:val="00A75BF3"/>
    <w:rsid w:val="00A772A8"/>
    <w:rsid w:val="00A82288"/>
    <w:rsid w:val="00A85B0B"/>
    <w:rsid w:val="00A861C5"/>
    <w:rsid w:val="00A86F39"/>
    <w:rsid w:val="00A9608A"/>
    <w:rsid w:val="00AA18B6"/>
    <w:rsid w:val="00AA1FEA"/>
    <w:rsid w:val="00AA7D88"/>
    <w:rsid w:val="00AB069E"/>
    <w:rsid w:val="00AB4895"/>
    <w:rsid w:val="00AB5633"/>
    <w:rsid w:val="00AC32AA"/>
    <w:rsid w:val="00AC5893"/>
    <w:rsid w:val="00AC68E3"/>
    <w:rsid w:val="00AC7FA4"/>
    <w:rsid w:val="00AD08A2"/>
    <w:rsid w:val="00AD279B"/>
    <w:rsid w:val="00AD3245"/>
    <w:rsid w:val="00AD363F"/>
    <w:rsid w:val="00AD4BFE"/>
    <w:rsid w:val="00AE18DF"/>
    <w:rsid w:val="00AE5393"/>
    <w:rsid w:val="00AE586C"/>
    <w:rsid w:val="00AE68B4"/>
    <w:rsid w:val="00AF2A82"/>
    <w:rsid w:val="00AF3B3E"/>
    <w:rsid w:val="00AF4AD6"/>
    <w:rsid w:val="00AF78A4"/>
    <w:rsid w:val="00AF78B2"/>
    <w:rsid w:val="00B00ED6"/>
    <w:rsid w:val="00B01FBE"/>
    <w:rsid w:val="00B06280"/>
    <w:rsid w:val="00B13AD5"/>
    <w:rsid w:val="00B14DE7"/>
    <w:rsid w:val="00B16175"/>
    <w:rsid w:val="00B16766"/>
    <w:rsid w:val="00B17EFE"/>
    <w:rsid w:val="00B213D6"/>
    <w:rsid w:val="00B23969"/>
    <w:rsid w:val="00B25673"/>
    <w:rsid w:val="00B27CCB"/>
    <w:rsid w:val="00B306FE"/>
    <w:rsid w:val="00B30853"/>
    <w:rsid w:val="00B35490"/>
    <w:rsid w:val="00B373A1"/>
    <w:rsid w:val="00B4255C"/>
    <w:rsid w:val="00B43A0F"/>
    <w:rsid w:val="00B4483D"/>
    <w:rsid w:val="00B44929"/>
    <w:rsid w:val="00B46E2A"/>
    <w:rsid w:val="00B47A04"/>
    <w:rsid w:val="00B51A2A"/>
    <w:rsid w:val="00B51CCD"/>
    <w:rsid w:val="00B52F1F"/>
    <w:rsid w:val="00B53389"/>
    <w:rsid w:val="00B54D8E"/>
    <w:rsid w:val="00B560D9"/>
    <w:rsid w:val="00B6031F"/>
    <w:rsid w:val="00B61FF1"/>
    <w:rsid w:val="00B7299F"/>
    <w:rsid w:val="00B75044"/>
    <w:rsid w:val="00B803C6"/>
    <w:rsid w:val="00B83194"/>
    <w:rsid w:val="00B86B93"/>
    <w:rsid w:val="00B926DA"/>
    <w:rsid w:val="00B93F43"/>
    <w:rsid w:val="00B95EF3"/>
    <w:rsid w:val="00B966B4"/>
    <w:rsid w:val="00B9742B"/>
    <w:rsid w:val="00B97A86"/>
    <w:rsid w:val="00BA0F99"/>
    <w:rsid w:val="00BB0FBE"/>
    <w:rsid w:val="00BB45D6"/>
    <w:rsid w:val="00BB4F22"/>
    <w:rsid w:val="00BB65FA"/>
    <w:rsid w:val="00BB6D52"/>
    <w:rsid w:val="00BC3ACE"/>
    <w:rsid w:val="00BC4D99"/>
    <w:rsid w:val="00BD29F7"/>
    <w:rsid w:val="00BD3E55"/>
    <w:rsid w:val="00BD4941"/>
    <w:rsid w:val="00BE3771"/>
    <w:rsid w:val="00BE44FC"/>
    <w:rsid w:val="00BE701A"/>
    <w:rsid w:val="00BE7776"/>
    <w:rsid w:val="00BF0D2F"/>
    <w:rsid w:val="00BF166C"/>
    <w:rsid w:val="00C04950"/>
    <w:rsid w:val="00C062C1"/>
    <w:rsid w:val="00C07FBF"/>
    <w:rsid w:val="00C12CD8"/>
    <w:rsid w:val="00C16CE1"/>
    <w:rsid w:val="00C239CC"/>
    <w:rsid w:val="00C23A1F"/>
    <w:rsid w:val="00C24896"/>
    <w:rsid w:val="00C254BA"/>
    <w:rsid w:val="00C3434E"/>
    <w:rsid w:val="00C35150"/>
    <w:rsid w:val="00C357B3"/>
    <w:rsid w:val="00C358AE"/>
    <w:rsid w:val="00C419E9"/>
    <w:rsid w:val="00C43E5C"/>
    <w:rsid w:val="00C46070"/>
    <w:rsid w:val="00C5067E"/>
    <w:rsid w:val="00C52055"/>
    <w:rsid w:val="00C53B86"/>
    <w:rsid w:val="00C55BC1"/>
    <w:rsid w:val="00C567E4"/>
    <w:rsid w:val="00C61CD3"/>
    <w:rsid w:val="00C63565"/>
    <w:rsid w:val="00C639D7"/>
    <w:rsid w:val="00C66004"/>
    <w:rsid w:val="00C66216"/>
    <w:rsid w:val="00C66B81"/>
    <w:rsid w:val="00C70FCD"/>
    <w:rsid w:val="00C72D10"/>
    <w:rsid w:val="00C7366C"/>
    <w:rsid w:val="00C739B0"/>
    <w:rsid w:val="00C74CA0"/>
    <w:rsid w:val="00C75C67"/>
    <w:rsid w:val="00C7615E"/>
    <w:rsid w:val="00C77CE6"/>
    <w:rsid w:val="00C81D32"/>
    <w:rsid w:val="00C82B02"/>
    <w:rsid w:val="00C85574"/>
    <w:rsid w:val="00C91AF3"/>
    <w:rsid w:val="00C93CEE"/>
    <w:rsid w:val="00C976CC"/>
    <w:rsid w:val="00CA08CD"/>
    <w:rsid w:val="00CA0AA4"/>
    <w:rsid w:val="00CA0B84"/>
    <w:rsid w:val="00CA364A"/>
    <w:rsid w:val="00CA792D"/>
    <w:rsid w:val="00CB0679"/>
    <w:rsid w:val="00CB1B01"/>
    <w:rsid w:val="00CB35F3"/>
    <w:rsid w:val="00CB44E4"/>
    <w:rsid w:val="00CB5AD6"/>
    <w:rsid w:val="00CB6E35"/>
    <w:rsid w:val="00CB7FA9"/>
    <w:rsid w:val="00CC3802"/>
    <w:rsid w:val="00CC573C"/>
    <w:rsid w:val="00CC6436"/>
    <w:rsid w:val="00CD4381"/>
    <w:rsid w:val="00CD4ADD"/>
    <w:rsid w:val="00CD4BDF"/>
    <w:rsid w:val="00CD61A0"/>
    <w:rsid w:val="00CE06F1"/>
    <w:rsid w:val="00CE24EC"/>
    <w:rsid w:val="00CE5EA2"/>
    <w:rsid w:val="00CE72C2"/>
    <w:rsid w:val="00CE7B9F"/>
    <w:rsid w:val="00CF7D10"/>
    <w:rsid w:val="00D0151B"/>
    <w:rsid w:val="00D02339"/>
    <w:rsid w:val="00D125E4"/>
    <w:rsid w:val="00D143A9"/>
    <w:rsid w:val="00D161FB"/>
    <w:rsid w:val="00D22115"/>
    <w:rsid w:val="00D242D3"/>
    <w:rsid w:val="00D27180"/>
    <w:rsid w:val="00D300D1"/>
    <w:rsid w:val="00D30749"/>
    <w:rsid w:val="00D349AD"/>
    <w:rsid w:val="00D36D24"/>
    <w:rsid w:val="00D41C6D"/>
    <w:rsid w:val="00D47E19"/>
    <w:rsid w:val="00D51D41"/>
    <w:rsid w:val="00D51D9D"/>
    <w:rsid w:val="00D53B02"/>
    <w:rsid w:val="00D548B1"/>
    <w:rsid w:val="00D57B42"/>
    <w:rsid w:val="00D60045"/>
    <w:rsid w:val="00D60A7B"/>
    <w:rsid w:val="00D671BF"/>
    <w:rsid w:val="00D67BBC"/>
    <w:rsid w:val="00D70084"/>
    <w:rsid w:val="00D70D24"/>
    <w:rsid w:val="00D749C3"/>
    <w:rsid w:val="00D76B6B"/>
    <w:rsid w:val="00D77226"/>
    <w:rsid w:val="00D81351"/>
    <w:rsid w:val="00D81E4F"/>
    <w:rsid w:val="00D9753A"/>
    <w:rsid w:val="00DA16D4"/>
    <w:rsid w:val="00DB1DF4"/>
    <w:rsid w:val="00DB26E7"/>
    <w:rsid w:val="00DB40D1"/>
    <w:rsid w:val="00DB4207"/>
    <w:rsid w:val="00DB4827"/>
    <w:rsid w:val="00DB6CA5"/>
    <w:rsid w:val="00DC0504"/>
    <w:rsid w:val="00DC0FF1"/>
    <w:rsid w:val="00DC47B4"/>
    <w:rsid w:val="00DD0871"/>
    <w:rsid w:val="00DD146D"/>
    <w:rsid w:val="00DD1F73"/>
    <w:rsid w:val="00DD34B5"/>
    <w:rsid w:val="00DD37B4"/>
    <w:rsid w:val="00DD4747"/>
    <w:rsid w:val="00DD75FD"/>
    <w:rsid w:val="00DE2BF1"/>
    <w:rsid w:val="00DE4B72"/>
    <w:rsid w:val="00DE5441"/>
    <w:rsid w:val="00DE6E58"/>
    <w:rsid w:val="00DF0097"/>
    <w:rsid w:val="00DF31FD"/>
    <w:rsid w:val="00DF3772"/>
    <w:rsid w:val="00DF79E2"/>
    <w:rsid w:val="00E0174F"/>
    <w:rsid w:val="00E13C81"/>
    <w:rsid w:val="00E13D42"/>
    <w:rsid w:val="00E1410F"/>
    <w:rsid w:val="00E25365"/>
    <w:rsid w:val="00E25FE6"/>
    <w:rsid w:val="00E261E3"/>
    <w:rsid w:val="00E279A0"/>
    <w:rsid w:val="00E30868"/>
    <w:rsid w:val="00E30CDC"/>
    <w:rsid w:val="00E366C0"/>
    <w:rsid w:val="00E40000"/>
    <w:rsid w:val="00E400C5"/>
    <w:rsid w:val="00E428AB"/>
    <w:rsid w:val="00E44C6B"/>
    <w:rsid w:val="00E47B38"/>
    <w:rsid w:val="00E50F12"/>
    <w:rsid w:val="00E51D25"/>
    <w:rsid w:val="00E51FFD"/>
    <w:rsid w:val="00E54DDF"/>
    <w:rsid w:val="00E55DE9"/>
    <w:rsid w:val="00E56B06"/>
    <w:rsid w:val="00E57B30"/>
    <w:rsid w:val="00E62CF4"/>
    <w:rsid w:val="00E65E7B"/>
    <w:rsid w:val="00E71AC4"/>
    <w:rsid w:val="00E72CBE"/>
    <w:rsid w:val="00E7565E"/>
    <w:rsid w:val="00E7617B"/>
    <w:rsid w:val="00E763AD"/>
    <w:rsid w:val="00E76EED"/>
    <w:rsid w:val="00E812F6"/>
    <w:rsid w:val="00E813DD"/>
    <w:rsid w:val="00E82DE0"/>
    <w:rsid w:val="00E83DCC"/>
    <w:rsid w:val="00E85C53"/>
    <w:rsid w:val="00E85EC0"/>
    <w:rsid w:val="00E945E8"/>
    <w:rsid w:val="00EA2CBB"/>
    <w:rsid w:val="00EA4BFD"/>
    <w:rsid w:val="00EA572C"/>
    <w:rsid w:val="00EC12F1"/>
    <w:rsid w:val="00EC214D"/>
    <w:rsid w:val="00EC4847"/>
    <w:rsid w:val="00EC488E"/>
    <w:rsid w:val="00EC728A"/>
    <w:rsid w:val="00EC7E4A"/>
    <w:rsid w:val="00ED0A12"/>
    <w:rsid w:val="00ED3A7D"/>
    <w:rsid w:val="00ED6522"/>
    <w:rsid w:val="00EF036A"/>
    <w:rsid w:val="00EF13AA"/>
    <w:rsid w:val="00EF4962"/>
    <w:rsid w:val="00EF4EAD"/>
    <w:rsid w:val="00EF6E22"/>
    <w:rsid w:val="00F04DD3"/>
    <w:rsid w:val="00F068AC"/>
    <w:rsid w:val="00F06B59"/>
    <w:rsid w:val="00F124E1"/>
    <w:rsid w:val="00F13975"/>
    <w:rsid w:val="00F14E57"/>
    <w:rsid w:val="00F1636B"/>
    <w:rsid w:val="00F20672"/>
    <w:rsid w:val="00F21A16"/>
    <w:rsid w:val="00F2402B"/>
    <w:rsid w:val="00F27A8A"/>
    <w:rsid w:val="00F301B5"/>
    <w:rsid w:val="00F4097A"/>
    <w:rsid w:val="00F40B61"/>
    <w:rsid w:val="00F442DC"/>
    <w:rsid w:val="00F46213"/>
    <w:rsid w:val="00F47E7F"/>
    <w:rsid w:val="00F50289"/>
    <w:rsid w:val="00F51AB7"/>
    <w:rsid w:val="00F52886"/>
    <w:rsid w:val="00F53220"/>
    <w:rsid w:val="00F550B2"/>
    <w:rsid w:val="00F56E2B"/>
    <w:rsid w:val="00F637EE"/>
    <w:rsid w:val="00F63FA7"/>
    <w:rsid w:val="00F66DF4"/>
    <w:rsid w:val="00F70CC7"/>
    <w:rsid w:val="00F7136A"/>
    <w:rsid w:val="00F74307"/>
    <w:rsid w:val="00F852C2"/>
    <w:rsid w:val="00F864FA"/>
    <w:rsid w:val="00F8681C"/>
    <w:rsid w:val="00F878CF"/>
    <w:rsid w:val="00F9663F"/>
    <w:rsid w:val="00F96A0D"/>
    <w:rsid w:val="00F96A95"/>
    <w:rsid w:val="00FA49E7"/>
    <w:rsid w:val="00FA4B4B"/>
    <w:rsid w:val="00FB026E"/>
    <w:rsid w:val="00FB0A87"/>
    <w:rsid w:val="00FB67BB"/>
    <w:rsid w:val="00FC277A"/>
    <w:rsid w:val="00FC3B89"/>
    <w:rsid w:val="00FD2781"/>
    <w:rsid w:val="00FD6437"/>
    <w:rsid w:val="00FD7744"/>
    <w:rsid w:val="00FE2F46"/>
    <w:rsid w:val="00FE3370"/>
    <w:rsid w:val="00FF2B02"/>
    <w:rsid w:val="00FF2E4D"/>
    <w:rsid w:val="00FF3E05"/>
    <w:rsid w:val="00FF50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1145CA"/>
  <w15:chartTrackingRefBased/>
  <w15:docId w15:val="{06FB8137-2720-EE40-A068-542EDE18D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9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9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9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9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92D"/>
    <w:rPr>
      <w:rFonts w:eastAsiaTheme="majorEastAsia" w:cstheme="majorBidi"/>
      <w:color w:val="272727" w:themeColor="text1" w:themeTint="D8"/>
    </w:rPr>
  </w:style>
  <w:style w:type="paragraph" w:styleId="Title">
    <w:name w:val="Title"/>
    <w:basedOn w:val="Normal"/>
    <w:next w:val="Normal"/>
    <w:link w:val="TitleChar"/>
    <w:uiPriority w:val="10"/>
    <w:qFormat/>
    <w:rsid w:val="00CA79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92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9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792D"/>
    <w:rPr>
      <w:i/>
      <w:iCs/>
      <w:color w:val="404040" w:themeColor="text1" w:themeTint="BF"/>
    </w:rPr>
  </w:style>
  <w:style w:type="paragraph" w:styleId="ListParagraph">
    <w:name w:val="List Paragraph"/>
    <w:basedOn w:val="Normal"/>
    <w:uiPriority w:val="34"/>
    <w:qFormat/>
    <w:rsid w:val="00CA792D"/>
    <w:pPr>
      <w:ind w:left="720"/>
      <w:contextualSpacing/>
    </w:pPr>
  </w:style>
  <w:style w:type="character" w:styleId="IntenseEmphasis">
    <w:name w:val="Intense Emphasis"/>
    <w:basedOn w:val="DefaultParagraphFont"/>
    <w:uiPriority w:val="21"/>
    <w:qFormat/>
    <w:rsid w:val="00CA792D"/>
    <w:rPr>
      <w:i/>
      <w:iCs/>
      <w:color w:val="0F4761" w:themeColor="accent1" w:themeShade="BF"/>
    </w:rPr>
  </w:style>
  <w:style w:type="paragraph" w:styleId="IntenseQuote">
    <w:name w:val="Intense Quote"/>
    <w:basedOn w:val="Normal"/>
    <w:next w:val="Normal"/>
    <w:link w:val="IntenseQuoteChar"/>
    <w:uiPriority w:val="30"/>
    <w:qFormat/>
    <w:rsid w:val="00CA7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92D"/>
    <w:rPr>
      <w:i/>
      <w:iCs/>
      <w:color w:val="0F4761" w:themeColor="accent1" w:themeShade="BF"/>
    </w:rPr>
  </w:style>
  <w:style w:type="character" w:styleId="IntenseReference">
    <w:name w:val="Intense Reference"/>
    <w:basedOn w:val="DefaultParagraphFont"/>
    <w:uiPriority w:val="32"/>
    <w:qFormat/>
    <w:rsid w:val="00CA792D"/>
    <w:rPr>
      <w:b/>
      <w:bCs/>
      <w:smallCaps/>
      <w:color w:val="0F4761" w:themeColor="accent1" w:themeShade="BF"/>
      <w:spacing w:val="5"/>
    </w:rPr>
  </w:style>
  <w:style w:type="paragraph" w:styleId="FootnoteText">
    <w:name w:val="footnote text"/>
    <w:basedOn w:val="Normal"/>
    <w:link w:val="FootnoteTextChar"/>
    <w:uiPriority w:val="99"/>
    <w:semiHidden/>
    <w:unhideWhenUsed/>
    <w:rsid w:val="00CA792D"/>
    <w:rPr>
      <w:sz w:val="20"/>
      <w:szCs w:val="20"/>
    </w:rPr>
  </w:style>
  <w:style w:type="character" w:customStyle="1" w:styleId="FootnoteTextChar">
    <w:name w:val="Footnote Text Char"/>
    <w:basedOn w:val="DefaultParagraphFont"/>
    <w:link w:val="FootnoteText"/>
    <w:uiPriority w:val="99"/>
    <w:semiHidden/>
    <w:rsid w:val="00CA792D"/>
    <w:rPr>
      <w:sz w:val="20"/>
      <w:szCs w:val="20"/>
    </w:rPr>
  </w:style>
  <w:style w:type="character" w:styleId="FootnoteReference">
    <w:name w:val="footnote reference"/>
    <w:basedOn w:val="DefaultParagraphFont"/>
    <w:uiPriority w:val="99"/>
    <w:semiHidden/>
    <w:unhideWhenUsed/>
    <w:rsid w:val="00CA792D"/>
    <w:rPr>
      <w:vertAlign w:val="superscript"/>
    </w:rPr>
  </w:style>
  <w:style w:type="character" w:styleId="Hyperlink">
    <w:name w:val="Hyperlink"/>
    <w:basedOn w:val="DefaultParagraphFont"/>
    <w:uiPriority w:val="99"/>
    <w:unhideWhenUsed/>
    <w:rsid w:val="00CA792D"/>
    <w:rPr>
      <w:color w:val="467886" w:themeColor="hyperlink"/>
      <w:u w:val="single"/>
    </w:rPr>
  </w:style>
  <w:style w:type="character" w:styleId="UnresolvedMention">
    <w:name w:val="Unresolved Mention"/>
    <w:basedOn w:val="DefaultParagraphFont"/>
    <w:uiPriority w:val="99"/>
    <w:semiHidden/>
    <w:unhideWhenUsed/>
    <w:rsid w:val="00CA792D"/>
    <w:rPr>
      <w:color w:val="605E5C"/>
      <w:shd w:val="clear" w:color="auto" w:fill="E1DFDD"/>
    </w:rPr>
  </w:style>
  <w:style w:type="character" w:styleId="FollowedHyperlink">
    <w:name w:val="FollowedHyperlink"/>
    <w:basedOn w:val="DefaultParagraphFont"/>
    <w:uiPriority w:val="99"/>
    <w:semiHidden/>
    <w:unhideWhenUsed/>
    <w:rsid w:val="00E813DD"/>
    <w:rPr>
      <w:color w:val="96607D" w:themeColor="followedHyperlink"/>
      <w:u w:val="single"/>
    </w:rPr>
  </w:style>
  <w:style w:type="character" w:styleId="Emphasis">
    <w:name w:val="Emphasis"/>
    <w:basedOn w:val="DefaultParagraphFont"/>
    <w:uiPriority w:val="20"/>
    <w:qFormat/>
    <w:rsid w:val="006F2806"/>
    <w:rPr>
      <w:i/>
      <w:iCs/>
    </w:rPr>
  </w:style>
  <w:style w:type="table" w:styleId="TableGrid">
    <w:name w:val="Table Grid"/>
    <w:basedOn w:val="TableNormal"/>
    <w:uiPriority w:val="39"/>
    <w:rsid w:val="008122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ag.gov.au/rights-and-protections/publications/privacy-act-review-report" TargetMode="External"/><Relationship Id="rId2" Type="http://schemas.openxmlformats.org/officeDocument/2006/relationships/hyperlink" Target="https://www.accc.gov.au/by-industry/digital-platforms-and-services/digital-platforms-inquiry-2017-19/terms-of-reference?utm_source=chatgpt.com" TargetMode="External"/><Relationship Id="rId1" Type="http://schemas.openxmlformats.org/officeDocument/2006/relationships/hyperlink" Target="https://www.esafety.gov.au/industry/tech-trends-and-challenges/doxin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74877-521A-D84B-904F-2D253A650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1309</Words>
  <Characters>7465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Attard</dc:creator>
  <cp:keywords/>
  <dc:description/>
  <cp:lastModifiedBy>Marie Hadley</cp:lastModifiedBy>
  <cp:revision>5</cp:revision>
  <dcterms:created xsi:type="dcterms:W3CDTF">2026-08-17T08:56:00Z</dcterms:created>
  <dcterms:modified xsi:type="dcterms:W3CDTF">2026-08-17T08:57:00Z</dcterms:modified>
</cp:coreProperties>
</file>