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C07F" w14:textId="77777777" w:rsidR="00094187" w:rsidRPr="00094187" w:rsidRDefault="00094187" w:rsidP="00094187">
      <w:pPr>
        <w:spacing w:after="0" w:line="360" w:lineRule="auto"/>
        <w:jc w:val="center"/>
        <w:rPr>
          <w:rFonts w:ascii="Times New Roman" w:hAnsi="Times New Roman" w:cs="Times New Roman"/>
          <w:b/>
          <w:bCs/>
          <w:sz w:val="24"/>
          <w:szCs w:val="24"/>
        </w:rPr>
      </w:pPr>
      <w:r w:rsidRPr="00094187">
        <w:rPr>
          <w:rFonts w:ascii="Times New Roman" w:hAnsi="Times New Roman" w:cs="Times New Roman"/>
          <w:b/>
          <w:bCs/>
          <w:sz w:val="24"/>
          <w:szCs w:val="24"/>
        </w:rPr>
        <w:t>Governing the Internet</w:t>
      </w:r>
      <w:r w:rsidRPr="00094187">
        <w:rPr>
          <w:b/>
          <w:bCs/>
          <w:sz w:val="24"/>
          <w:szCs w:val="24"/>
        </w:rPr>
        <w:t>:</w:t>
      </w:r>
      <w:r w:rsidRPr="00094187">
        <w:rPr>
          <w:rFonts w:ascii="Times New Roman" w:hAnsi="Times New Roman" w:cs="Times New Roman"/>
          <w:b/>
          <w:bCs/>
          <w:sz w:val="24"/>
          <w:szCs w:val="24"/>
        </w:rPr>
        <w:t xml:space="preserve"> A Collaborative, Open Course and Textbook</w:t>
      </w:r>
    </w:p>
    <w:p w14:paraId="4D26BFDF" w14:textId="77777777" w:rsidR="00094187" w:rsidRPr="00094187" w:rsidRDefault="00094187" w:rsidP="00094187">
      <w:pPr>
        <w:spacing w:after="0" w:line="360" w:lineRule="auto"/>
        <w:jc w:val="center"/>
        <w:rPr>
          <w:rFonts w:ascii="Times New Roman" w:hAnsi="Times New Roman" w:cs="Times New Roman"/>
          <w:b/>
          <w:bCs/>
          <w:sz w:val="24"/>
          <w:szCs w:val="24"/>
        </w:rPr>
      </w:pPr>
      <w:r w:rsidRPr="00094187">
        <w:rPr>
          <w:rFonts w:ascii="Times New Roman" w:hAnsi="Times New Roman" w:cs="Times New Roman"/>
          <w:b/>
          <w:bCs/>
          <w:sz w:val="24"/>
          <w:szCs w:val="24"/>
        </w:rPr>
        <w:t>Content Regulation</w:t>
      </w:r>
    </w:p>
    <w:p w14:paraId="629BB1E4" w14:textId="77777777" w:rsidR="00094187" w:rsidRPr="00094187" w:rsidRDefault="00094187" w:rsidP="00094187">
      <w:pPr>
        <w:spacing w:after="0" w:line="360" w:lineRule="auto"/>
        <w:jc w:val="center"/>
        <w:rPr>
          <w:rFonts w:ascii="Times New Roman" w:hAnsi="Times New Roman" w:cs="Times New Roman"/>
          <w:b/>
          <w:bCs/>
          <w:sz w:val="24"/>
          <w:szCs w:val="24"/>
        </w:rPr>
      </w:pPr>
      <w:r w:rsidRPr="00094187">
        <w:rPr>
          <w:rFonts w:ascii="Times New Roman" w:hAnsi="Times New Roman" w:cs="Times New Roman"/>
          <w:b/>
          <w:bCs/>
          <w:sz w:val="24"/>
          <w:szCs w:val="24"/>
        </w:rPr>
        <w:t>11 Other Emerging Issues</w:t>
      </w:r>
    </w:p>
    <w:p w14:paraId="0A04568B" w14:textId="77777777" w:rsidR="00094187" w:rsidRPr="00094187" w:rsidRDefault="00094187" w:rsidP="00094187">
      <w:pPr>
        <w:spacing w:after="0" w:line="360" w:lineRule="auto"/>
        <w:rPr>
          <w:rFonts w:ascii="Times New Roman" w:hAnsi="Times New Roman" w:cs="Times New Roman"/>
          <w:b/>
          <w:bCs/>
          <w:sz w:val="24"/>
          <w:szCs w:val="24"/>
        </w:rPr>
      </w:pPr>
      <w:r w:rsidRPr="00094187">
        <w:rPr>
          <w:rFonts w:ascii="Times New Roman" w:hAnsi="Times New Roman" w:cs="Times New Roman"/>
          <w:b/>
          <w:bCs/>
          <w:sz w:val="24"/>
          <w:szCs w:val="24"/>
        </w:rPr>
        <w:t>D social media and Death</w:t>
      </w:r>
    </w:p>
    <w:p w14:paraId="6378B663" w14:textId="6A7F88DA"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With the increased usage of social media in the last two decades there has been an unforeseen issue when digital content outlives the content creator.</w:t>
      </w:r>
      <w:r w:rsidRPr="00094187">
        <w:rPr>
          <w:rFonts w:ascii="Times New Roman" w:hAnsi="Times New Roman" w:cs="Times New Roman"/>
          <w:sz w:val="24"/>
          <w:szCs w:val="24"/>
          <w:vertAlign w:val="superscript"/>
        </w:rPr>
        <w:endnoteReference w:id="1"/>
      </w:r>
      <w:r w:rsidRPr="00094187">
        <w:rPr>
          <w:rFonts w:ascii="Times New Roman" w:hAnsi="Times New Roman" w:cs="Times New Roman"/>
          <w:sz w:val="24"/>
          <w:szCs w:val="24"/>
        </w:rPr>
        <w:t xml:space="preserve"> The number of older generations (Gen X and Baby Boomers) daily accessing and using social media has increased with the gap narrowing with younger generations to 27%. On average 91% of Baby Boomers and older are present on multiple social media sites for up to 20 hours per week increasing their digital footprint when they die.</w:t>
      </w:r>
    </w:p>
    <w:p w14:paraId="28F9CE08" w14:textId="77777777" w:rsidR="00094187" w:rsidRPr="00094187" w:rsidRDefault="00094187" w:rsidP="00094187">
      <w:pPr>
        <w:spacing w:after="0" w:line="360" w:lineRule="auto"/>
        <w:jc w:val="both"/>
        <w:rPr>
          <w:rFonts w:ascii="Times New Roman" w:hAnsi="Times New Roman" w:cs="Times New Roman"/>
          <w:b/>
          <w:bCs/>
          <w:sz w:val="24"/>
          <w:szCs w:val="24"/>
        </w:rPr>
      </w:pPr>
      <w:r w:rsidRPr="00094187">
        <w:rPr>
          <w:rFonts w:ascii="Times New Roman" w:hAnsi="Times New Roman" w:cs="Times New Roman"/>
          <w:b/>
          <w:bCs/>
          <w:sz w:val="24"/>
          <w:szCs w:val="24"/>
        </w:rPr>
        <w:t>Aspects of Digital Life</w:t>
      </w:r>
    </w:p>
    <w:p w14:paraId="1261C91F" w14:textId="77777777"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The Australian eSafety Commissioner defines the term digital content into two separate definitions: digital assets and digital presence.</w:t>
      </w:r>
      <w:r w:rsidRPr="00094187">
        <w:rPr>
          <w:rFonts w:ascii="Times New Roman" w:hAnsi="Times New Roman" w:cs="Times New Roman"/>
          <w:sz w:val="24"/>
          <w:szCs w:val="24"/>
          <w:vertAlign w:val="superscript"/>
        </w:rPr>
        <w:endnoteReference w:id="2"/>
      </w:r>
    </w:p>
    <w:p w14:paraId="4C6D774A" w14:textId="77777777" w:rsidR="00094187" w:rsidRPr="00094187" w:rsidRDefault="00094187" w:rsidP="00094187">
      <w:pPr>
        <w:spacing w:after="0" w:line="360" w:lineRule="auto"/>
        <w:jc w:val="both"/>
        <w:rPr>
          <w:rFonts w:ascii="Times New Roman" w:hAnsi="Times New Roman" w:cs="Times New Roman"/>
          <w:b/>
          <w:bCs/>
          <w:sz w:val="24"/>
          <w:szCs w:val="24"/>
        </w:rPr>
      </w:pPr>
      <w:r w:rsidRPr="00094187">
        <w:rPr>
          <w:rFonts w:ascii="Times New Roman" w:hAnsi="Times New Roman" w:cs="Times New Roman"/>
          <w:b/>
          <w:bCs/>
          <w:sz w:val="24"/>
          <w:szCs w:val="24"/>
        </w:rPr>
        <w:t>Digital Assets</w:t>
      </w:r>
    </w:p>
    <w:p w14:paraId="1E86213C" w14:textId="7F68642E"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 xml:space="preserve">The category of digital assets contains any online purchase a person has made in their life including eBooks, domain names, passwords, accounts etc. With online purchases the right to pass on the item after death is impacted by the companies’ terms of use which place limitations on digital ownership and transferability. </w:t>
      </w:r>
    </w:p>
    <w:p w14:paraId="1AB5BBFD" w14:textId="125432F7"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The increase in digital ownership over physical has altered the way that legal documents, such as wills, are constructed.</w:t>
      </w:r>
      <w:r w:rsidRPr="00094187">
        <w:rPr>
          <w:rFonts w:ascii="Times New Roman" w:hAnsi="Times New Roman" w:cs="Times New Roman"/>
          <w:sz w:val="24"/>
          <w:szCs w:val="24"/>
          <w:vertAlign w:val="superscript"/>
        </w:rPr>
        <w:endnoteReference w:id="3"/>
      </w:r>
      <w:r w:rsidRPr="00094187">
        <w:rPr>
          <w:rFonts w:ascii="Times New Roman" w:hAnsi="Times New Roman" w:cs="Times New Roman"/>
          <w:sz w:val="24"/>
          <w:szCs w:val="24"/>
        </w:rPr>
        <w:t xml:space="preserve"> Only 33% of the general population understood and comprehended the different requirements that digital assets have compared to physical post-mortem. This is compounded when the majority of the population wait until after the age of 50 to start considering the creation of a will and what items to put inside. The delay in creating a will and the disregard of digital assets increases the legal interactions between family members and the online providers.</w:t>
      </w:r>
    </w:p>
    <w:p w14:paraId="48F98D6F" w14:textId="77777777" w:rsidR="00094187" w:rsidRPr="00094187" w:rsidRDefault="00094187" w:rsidP="00094187">
      <w:pPr>
        <w:spacing w:after="0" w:line="360" w:lineRule="auto"/>
        <w:jc w:val="both"/>
        <w:rPr>
          <w:rFonts w:ascii="Times New Roman" w:hAnsi="Times New Roman" w:cs="Times New Roman"/>
          <w:b/>
          <w:bCs/>
          <w:sz w:val="24"/>
          <w:szCs w:val="24"/>
        </w:rPr>
      </w:pPr>
      <w:r w:rsidRPr="00094187">
        <w:rPr>
          <w:rFonts w:ascii="Times New Roman" w:hAnsi="Times New Roman" w:cs="Times New Roman"/>
          <w:b/>
          <w:bCs/>
          <w:sz w:val="24"/>
          <w:szCs w:val="24"/>
        </w:rPr>
        <w:t>Digital Prescence</w:t>
      </w:r>
    </w:p>
    <w:p w14:paraId="28B3C1D4" w14:textId="77777777"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The category of digital presence is the online persona created through social media posts with other people that you may not know in person.</w:t>
      </w:r>
      <w:r w:rsidRPr="00094187">
        <w:rPr>
          <w:rFonts w:ascii="Times New Roman" w:hAnsi="Times New Roman" w:cs="Times New Roman"/>
          <w:sz w:val="24"/>
          <w:szCs w:val="24"/>
          <w:vertAlign w:val="superscript"/>
        </w:rPr>
        <w:endnoteReference w:id="4"/>
      </w:r>
      <w:r w:rsidRPr="00094187">
        <w:rPr>
          <w:rFonts w:ascii="Times New Roman" w:hAnsi="Times New Roman" w:cs="Times New Roman"/>
          <w:sz w:val="24"/>
          <w:szCs w:val="24"/>
        </w:rPr>
        <w:t xml:space="preserve"> This persona is carefully curated for many different reasons from communicating with friends online to self-promotion at work and can be easily damaged.</w:t>
      </w:r>
      <w:r w:rsidRPr="00094187">
        <w:rPr>
          <w:rFonts w:ascii="Times New Roman" w:hAnsi="Times New Roman" w:cs="Times New Roman"/>
          <w:sz w:val="24"/>
          <w:szCs w:val="24"/>
          <w:vertAlign w:val="superscript"/>
        </w:rPr>
        <w:endnoteReference w:id="5"/>
      </w:r>
      <w:r w:rsidRPr="00094187">
        <w:rPr>
          <w:rFonts w:ascii="Times New Roman" w:hAnsi="Times New Roman" w:cs="Times New Roman"/>
          <w:sz w:val="24"/>
          <w:szCs w:val="24"/>
        </w:rPr>
        <w:t xml:space="preserve"> The main drawback of having a digital presence is the ease of which friends and relatives can intentionally and accidentally increase a digital footprint with reposts and the uploading of new photos.</w:t>
      </w:r>
      <w:r w:rsidRPr="00094187">
        <w:rPr>
          <w:rFonts w:ascii="Times New Roman" w:hAnsi="Times New Roman" w:cs="Times New Roman"/>
          <w:sz w:val="24"/>
          <w:szCs w:val="24"/>
          <w:vertAlign w:val="superscript"/>
        </w:rPr>
        <w:endnoteReference w:id="6"/>
      </w:r>
    </w:p>
    <w:p w14:paraId="131FA814" w14:textId="77777777" w:rsidR="00094187" w:rsidRPr="00094187" w:rsidRDefault="00094187" w:rsidP="00094187">
      <w:pPr>
        <w:spacing w:after="0" w:line="360" w:lineRule="auto"/>
        <w:jc w:val="both"/>
        <w:rPr>
          <w:rFonts w:ascii="Times New Roman" w:hAnsi="Times New Roman" w:cs="Times New Roman"/>
          <w:sz w:val="24"/>
          <w:szCs w:val="24"/>
        </w:rPr>
      </w:pPr>
    </w:p>
    <w:p w14:paraId="407FB45F" w14:textId="2CA3B0CD"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lastRenderedPageBreak/>
        <w:t>Currently social media platforms have responded in different ways regarding the accounts of deceased users with either memorialisation (Facebook) or deletion.</w:t>
      </w:r>
      <w:r w:rsidR="006C6E62" w:rsidRPr="00094187">
        <w:rPr>
          <w:rFonts w:ascii="Times New Roman" w:hAnsi="Times New Roman" w:cs="Times New Roman"/>
          <w:sz w:val="24"/>
          <w:szCs w:val="24"/>
        </w:rPr>
        <w:t xml:space="preserve"> </w:t>
      </w:r>
      <w:r w:rsidRPr="00094187">
        <w:rPr>
          <w:rFonts w:ascii="Times New Roman" w:hAnsi="Times New Roman" w:cs="Times New Roman"/>
          <w:sz w:val="24"/>
          <w:szCs w:val="24"/>
        </w:rPr>
        <w:t>Memorialisation restricts the use of the accounts content to current friends and family and prevents anyone from searching for the account.</w:t>
      </w:r>
      <w:r w:rsidR="006C6E62" w:rsidRPr="00094187">
        <w:rPr>
          <w:rFonts w:ascii="Times New Roman" w:hAnsi="Times New Roman" w:cs="Times New Roman"/>
          <w:sz w:val="24"/>
          <w:szCs w:val="24"/>
        </w:rPr>
        <w:t xml:space="preserve"> </w:t>
      </w:r>
      <w:r w:rsidRPr="00094187">
        <w:rPr>
          <w:rFonts w:ascii="Times New Roman" w:hAnsi="Times New Roman" w:cs="Times New Roman"/>
          <w:sz w:val="24"/>
          <w:szCs w:val="24"/>
        </w:rPr>
        <w:t>This prevents the memorialised content from being accessed for marketing reasons but blocks any associate of the deceased from accessing and befriending the page after death.</w:t>
      </w:r>
    </w:p>
    <w:p w14:paraId="7E3787AF" w14:textId="77777777" w:rsidR="00094187" w:rsidRPr="00094187" w:rsidRDefault="00094187" w:rsidP="00094187">
      <w:pPr>
        <w:spacing w:after="0" w:line="360" w:lineRule="auto"/>
        <w:jc w:val="both"/>
        <w:rPr>
          <w:rFonts w:ascii="Times New Roman" w:hAnsi="Times New Roman" w:cs="Times New Roman"/>
          <w:b/>
          <w:bCs/>
          <w:sz w:val="24"/>
          <w:szCs w:val="24"/>
        </w:rPr>
      </w:pPr>
      <w:r w:rsidRPr="00094187">
        <w:rPr>
          <w:rFonts w:ascii="Times New Roman" w:hAnsi="Times New Roman" w:cs="Times New Roman"/>
          <w:b/>
          <w:bCs/>
          <w:sz w:val="24"/>
          <w:szCs w:val="24"/>
        </w:rPr>
        <w:t>Digital Grieving</w:t>
      </w:r>
    </w:p>
    <w:p w14:paraId="335D4959" w14:textId="6A329C38"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Current developments in artificial intelligence have allowed for a deceased person to be recreated from movies and photos to communicate with their loved ones.</w:t>
      </w:r>
      <w:r w:rsidRPr="00094187">
        <w:rPr>
          <w:rFonts w:ascii="Times New Roman" w:hAnsi="Times New Roman" w:cs="Times New Roman"/>
          <w:sz w:val="24"/>
          <w:szCs w:val="24"/>
          <w:vertAlign w:val="superscript"/>
        </w:rPr>
        <w:endnoteReference w:id="7"/>
      </w:r>
      <w:r w:rsidRPr="00094187">
        <w:rPr>
          <w:rFonts w:ascii="Times New Roman" w:hAnsi="Times New Roman" w:cs="Times New Roman"/>
          <w:sz w:val="24"/>
          <w:szCs w:val="24"/>
        </w:rPr>
        <w:t xml:space="preserve"> Developed in 2022 the creation of a digital doppelgänger has been a common feature in Chinese funerals to assist with the grieving process. Originally the service was limited but has expanded allowing families to choose what package they can afford giving a more comprehensive digital copy that behaves and sounds like the deceased person. The unforeseen nature of some deaths create ethical issues surrounding the consent of the deceased person to access and use their digital presence in this manner.</w:t>
      </w:r>
    </w:p>
    <w:p w14:paraId="1CD3B014" w14:textId="77777777" w:rsidR="00094187" w:rsidRPr="00094187" w:rsidRDefault="00094187" w:rsidP="00094187">
      <w:pPr>
        <w:spacing w:after="0" w:line="360" w:lineRule="auto"/>
        <w:jc w:val="both"/>
        <w:rPr>
          <w:rFonts w:ascii="Times New Roman" w:hAnsi="Times New Roman" w:cs="Times New Roman"/>
          <w:b/>
          <w:bCs/>
          <w:sz w:val="24"/>
          <w:szCs w:val="24"/>
        </w:rPr>
      </w:pPr>
      <w:r w:rsidRPr="00094187">
        <w:rPr>
          <w:rFonts w:ascii="Times New Roman" w:hAnsi="Times New Roman" w:cs="Times New Roman"/>
          <w:b/>
          <w:bCs/>
          <w:sz w:val="24"/>
          <w:szCs w:val="24"/>
        </w:rPr>
        <w:t>Regulation</w:t>
      </w:r>
    </w:p>
    <w:p w14:paraId="0016B374" w14:textId="77777777"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Australian legislation is currently lacking regarding the use and ownership of digital content and the authority to act.</w:t>
      </w:r>
      <w:r w:rsidRPr="00094187">
        <w:rPr>
          <w:rFonts w:ascii="Times New Roman" w:hAnsi="Times New Roman" w:cs="Times New Roman"/>
          <w:sz w:val="24"/>
          <w:szCs w:val="24"/>
          <w:vertAlign w:val="superscript"/>
        </w:rPr>
        <w:endnoteReference w:id="8"/>
      </w:r>
      <w:r w:rsidRPr="00094187">
        <w:rPr>
          <w:rFonts w:ascii="Times New Roman" w:hAnsi="Times New Roman" w:cs="Times New Roman"/>
          <w:sz w:val="24"/>
          <w:szCs w:val="24"/>
        </w:rPr>
        <w:t xml:space="preserve"> The </w:t>
      </w:r>
      <w:r w:rsidRPr="00094187">
        <w:rPr>
          <w:rFonts w:ascii="Times New Roman" w:hAnsi="Times New Roman" w:cs="Times New Roman"/>
          <w:i/>
          <w:iCs/>
          <w:sz w:val="24"/>
          <w:szCs w:val="24"/>
        </w:rPr>
        <w:t>Online Safety Act</w:t>
      </w:r>
      <w:r w:rsidRPr="00094187">
        <w:rPr>
          <w:rFonts w:ascii="Times New Roman" w:hAnsi="Times New Roman" w:cs="Times New Roman"/>
          <w:sz w:val="24"/>
          <w:szCs w:val="24"/>
        </w:rPr>
        <w:t xml:space="preserve"> 2021(Cth) provides the bulk of legislation regarding social media and while it is currently being updated</w:t>
      </w:r>
      <w:r w:rsidRPr="00094187">
        <w:rPr>
          <w:rFonts w:ascii="Times New Roman" w:hAnsi="Times New Roman" w:cs="Times New Roman"/>
          <w:sz w:val="24"/>
          <w:szCs w:val="24"/>
          <w:vertAlign w:val="superscript"/>
        </w:rPr>
        <w:endnoteReference w:id="9"/>
      </w:r>
      <w:r w:rsidRPr="00094187">
        <w:rPr>
          <w:rFonts w:ascii="Times New Roman" w:hAnsi="Times New Roman" w:cs="Times New Roman"/>
          <w:sz w:val="24"/>
          <w:szCs w:val="24"/>
        </w:rPr>
        <w:t xml:space="preserve"> it is quiet on any information regarding the upkeep of accounts after death. The eSafety Commissioner provides tips on dealing with social media companies and their terms of services on how to decommission or memorialise an account after the original owner has died.</w:t>
      </w:r>
      <w:r w:rsidRPr="00094187">
        <w:rPr>
          <w:rFonts w:ascii="Times New Roman" w:hAnsi="Times New Roman" w:cs="Times New Roman"/>
          <w:sz w:val="24"/>
          <w:szCs w:val="24"/>
          <w:vertAlign w:val="superscript"/>
        </w:rPr>
        <w:endnoteReference w:id="10"/>
      </w:r>
      <w:r w:rsidRPr="00094187">
        <w:rPr>
          <w:rFonts w:ascii="Times New Roman" w:hAnsi="Times New Roman" w:cs="Times New Roman"/>
          <w:sz w:val="24"/>
          <w:szCs w:val="24"/>
        </w:rPr>
        <w:t xml:space="preserve"> </w:t>
      </w:r>
    </w:p>
    <w:p w14:paraId="01EF27DC" w14:textId="3CF8F276"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The regulation of deceased accounts is left to the social media companies and requires the nominated overseer to be proficient in following the necessary steps to protect the account data. Many social media companies restrict access to accounts, both in use and deceased, under the guise of privacy and their agreed to terms of service. The restricted access means that it is more difficult for a deceased account to be deleted or memorialised allowing access to the person’s digital content.</w:t>
      </w:r>
    </w:p>
    <w:p w14:paraId="4ED8D7AC" w14:textId="77777777"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Unlike the US Australia does not have and right to privacy laws that prevent the unauthorised use of a person’s image. Australians are required to use either defamation law</w:t>
      </w:r>
      <w:r w:rsidRPr="00094187">
        <w:rPr>
          <w:rFonts w:ascii="Times New Roman" w:hAnsi="Times New Roman" w:cs="Times New Roman"/>
          <w:sz w:val="24"/>
          <w:szCs w:val="24"/>
          <w:vertAlign w:val="superscript"/>
        </w:rPr>
        <w:endnoteReference w:id="11"/>
      </w:r>
      <w:r w:rsidRPr="00094187">
        <w:rPr>
          <w:rFonts w:ascii="Times New Roman" w:hAnsi="Times New Roman" w:cs="Times New Roman"/>
          <w:sz w:val="24"/>
          <w:szCs w:val="24"/>
        </w:rPr>
        <w:t xml:space="preserve"> or consumer law</w:t>
      </w:r>
      <w:r w:rsidRPr="00094187">
        <w:rPr>
          <w:rFonts w:ascii="Times New Roman" w:hAnsi="Times New Roman" w:cs="Times New Roman"/>
          <w:sz w:val="24"/>
          <w:szCs w:val="24"/>
          <w:vertAlign w:val="superscript"/>
        </w:rPr>
        <w:endnoteReference w:id="12"/>
      </w:r>
      <w:r w:rsidRPr="00094187">
        <w:rPr>
          <w:rFonts w:ascii="Times New Roman" w:hAnsi="Times New Roman" w:cs="Times New Roman"/>
          <w:sz w:val="24"/>
          <w:szCs w:val="24"/>
        </w:rPr>
        <w:t xml:space="preserve"> as a work around depending on various requirements. Defamation law allows for the removal and restitution if the image damage the reputation of the individual</w:t>
      </w:r>
      <w:r w:rsidRPr="00094187">
        <w:rPr>
          <w:rFonts w:ascii="Times New Roman" w:hAnsi="Times New Roman" w:cs="Times New Roman"/>
          <w:sz w:val="24"/>
          <w:szCs w:val="24"/>
          <w:vertAlign w:val="superscript"/>
        </w:rPr>
        <w:endnoteReference w:id="13"/>
      </w:r>
      <w:r w:rsidRPr="00094187">
        <w:rPr>
          <w:rFonts w:ascii="Times New Roman" w:hAnsi="Times New Roman" w:cs="Times New Roman"/>
          <w:sz w:val="24"/>
          <w:szCs w:val="24"/>
        </w:rPr>
        <w:t xml:space="preserve"> and consumer laws prevent an image from being misleading or deceptive.</w:t>
      </w:r>
      <w:r w:rsidRPr="00094187">
        <w:rPr>
          <w:rFonts w:ascii="Times New Roman" w:hAnsi="Times New Roman" w:cs="Times New Roman"/>
          <w:sz w:val="24"/>
          <w:szCs w:val="24"/>
          <w:vertAlign w:val="superscript"/>
        </w:rPr>
        <w:endnoteReference w:id="14"/>
      </w:r>
    </w:p>
    <w:p w14:paraId="01E6EF86" w14:textId="77777777" w:rsidR="00973E56" w:rsidRDefault="00973E56">
      <w:pPr>
        <w:rPr>
          <w:lang w:val="en-US"/>
        </w:rPr>
      </w:pPr>
    </w:p>
    <w:p w14:paraId="29622F9B" w14:textId="77777777" w:rsidR="00094187" w:rsidRDefault="00094187">
      <w:pPr>
        <w:rPr>
          <w:lang w:val="en-US"/>
        </w:rPr>
      </w:pPr>
    </w:p>
    <w:p w14:paraId="54F83E1D" w14:textId="77777777" w:rsidR="00094187" w:rsidRDefault="00094187">
      <w:pPr>
        <w:rPr>
          <w:lang w:val="en-US"/>
        </w:rPr>
        <w:sectPr w:rsidR="00094187">
          <w:pgSz w:w="11906" w:h="16838"/>
          <w:pgMar w:top="1440" w:right="1440" w:bottom="1440" w:left="1440" w:header="708" w:footer="708" w:gutter="0"/>
          <w:cols w:space="708"/>
          <w:docGrid w:linePitch="360"/>
        </w:sectPr>
      </w:pPr>
    </w:p>
    <w:p w14:paraId="046FE2FB" w14:textId="77777777" w:rsidR="00094187" w:rsidRPr="00094187" w:rsidRDefault="00094187" w:rsidP="00094187">
      <w:pPr>
        <w:spacing w:after="0" w:line="360" w:lineRule="auto"/>
        <w:jc w:val="center"/>
        <w:rPr>
          <w:rFonts w:ascii="Times New Roman" w:hAnsi="Times New Roman" w:cs="Times New Roman"/>
          <w:b/>
          <w:bCs/>
          <w:sz w:val="28"/>
          <w:szCs w:val="28"/>
        </w:rPr>
      </w:pPr>
      <w:r w:rsidRPr="00094187">
        <w:rPr>
          <w:rFonts w:ascii="Times New Roman" w:hAnsi="Times New Roman" w:cs="Times New Roman"/>
          <w:b/>
          <w:bCs/>
          <w:sz w:val="28"/>
          <w:szCs w:val="28"/>
        </w:rPr>
        <w:lastRenderedPageBreak/>
        <w:t>Bibliography</w:t>
      </w:r>
    </w:p>
    <w:p w14:paraId="5363723A" w14:textId="77777777" w:rsidR="00094187" w:rsidRPr="00094187" w:rsidRDefault="00094187" w:rsidP="00094187">
      <w:pPr>
        <w:spacing w:after="0" w:line="360" w:lineRule="auto"/>
        <w:ind w:firstLine="284"/>
        <w:jc w:val="center"/>
        <w:rPr>
          <w:rFonts w:ascii="Times New Roman" w:hAnsi="Times New Roman" w:cs="Times New Roman"/>
          <w:sz w:val="24"/>
          <w:szCs w:val="24"/>
        </w:rPr>
      </w:pPr>
      <w:r w:rsidRPr="00094187">
        <w:rPr>
          <w:rFonts w:ascii="Times New Roman" w:hAnsi="Times New Roman" w:cs="Times New Roman"/>
          <w:b/>
          <w:bCs/>
          <w:sz w:val="24"/>
          <w:szCs w:val="24"/>
        </w:rPr>
        <w:t>Articles</w:t>
      </w:r>
    </w:p>
    <w:p w14:paraId="2921FA02"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sz w:val="24"/>
          <w:szCs w:val="24"/>
        </w:rPr>
        <w:t xml:space="preserve">Acker, Amelia and Jed R. Brubaker, ‘Death, Memorialization, and Social Media: A Platform Perspective for Personal Archives’ (2014) 77(1) </w:t>
      </w:r>
      <w:r w:rsidRPr="00094187">
        <w:rPr>
          <w:rFonts w:ascii="Times New Roman" w:hAnsi="Times New Roman" w:cs="Times New Roman"/>
          <w:i/>
          <w:iCs/>
          <w:sz w:val="24"/>
          <w:szCs w:val="24"/>
        </w:rPr>
        <w:t>Archivaria</w:t>
      </w:r>
      <w:r w:rsidRPr="00094187">
        <w:rPr>
          <w:rFonts w:ascii="Times New Roman" w:hAnsi="Times New Roman" w:cs="Times New Roman"/>
          <w:sz w:val="24"/>
          <w:szCs w:val="24"/>
        </w:rPr>
        <w:t>, 1.</w:t>
      </w:r>
    </w:p>
    <w:p w14:paraId="1780D786" w14:textId="77777777" w:rsidR="00094187" w:rsidRPr="00094187" w:rsidRDefault="00094187" w:rsidP="00094187">
      <w:pPr>
        <w:spacing w:after="0" w:line="360" w:lineRule="auto"/>
        <w:ind w:firstLine="284"/>
        <w:rPr>
          <w:rFonts w:ascii="Times New Roman" w:hAnsi="Times New Roman" w:cs="Times New Roman"/>
          <w:sz w:val="24"/>
          <w:szCs w:val="24"/>
        </w:rPr>
      </w:pPr>
    </w:p>
    <w:p w14:paraId="44D8FD61"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sz w:val="24"/>
          <w:szCs w:val="24"/>
        </w:rPr>
        <w:t xml:space="preserve">Carrillo-Durán, María-Victoria et al, ‘Understanding How Baby Boomers Use the Internet and Social Media to Improve the Engagement with Brands’ (2022) 41 </w:t>
      </w:r>
      <w:r w:rsidRPr="00094187">
        <w:rPr>
          <w:rFonts w:ascii="Times New Roman" w:hAnsi="Times New Roman" w:cs="Times New Roman"/>
          <w:i/>
          <w:iCs/>
          <w:sz w:val="24"/>
          <w:szCs w:val="24"/>
        </w:rPr>
        <w:t>Comunicação e sociedade (Braga.)</w:t>
      </w:r>
      <w:r w:rsidRPr="00094187">
        <w:rPr>
          <w:rFonts w:ascii="Times New Roman" w:hAnsi="Times New Roman" w:cs="Times New Roman"/>
          <w:sz w:val="24"/>
          <w:szCs w:val="24"/>
        </w:rPr>
        <w:t>, 261.</w:t>
      </w:r>
    </w:p>
    <w:p w14:paraId="537D59F0" w14:textId="77777777" w:rsidR="00094187" w:rsidRPr="00094187" w:rsidRDefault="00094187" w:rsidP="00094187">
      <w:pPr>
        <w:spacing w:after="0" w:line="360" w:lineRule="auto"/>
        <w:ind w:firstLine="284"/>
        <w:rPr>
          <w:rFonts w:ascii="Times New Roman" w:hAnsi="Times New Roman" w:cs="Times New Roman"/>
          <w:sz w:val="24"/>
          <w:szCs w:val="24"/>
        </w:rPr>
      </w:pPr>
    </w:p>
    <w:p w14:paraId="0AF03504"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sz w:val="24"/>
          <w:szCs w:val="24"/>
        </w:rPr>
        <w:t xml:space="preserve">Cheng, Kwan Y, ‘The law of digital afterlife: the Chinese experience of AI ‘resurrection’ and ‘grief tech’ (2025) 33 </w:t>
      </w:r>
      <w:r w:rsidRPr="00094187">
        <w:rPr>
          <w:rFonts w:ascii="Times New Roman" w:hAnsi="Times New Roman" w:cs="Times New Roman"/>
          <w:i/>
          <w:iCs/>
          <w:sz w:val="24"/>
          <w:szCs w:val="24"/>
        </w:rPr>
        <w:t>International Journal of Law and Information Technology</w:t>
      </w:r>
      <w:r w:rsidRPr="00094187">
        <w:rPr>
          <w:rFonts w:ascii="Times New Roman" w:hAnsi="Times New Roman" w:cs="Times New Roman"/>
          <w:sz w:val="24"/>
          <w:szCs w:val="24"/>
        </w:rPr>
        <w:t>.</w:t>
      </w:r>
    </w:p>
    <w:p w14:paraId="3C2E925A" w14:textId="77777777" w:rsidR="00094187" w:rsidRPr="00094187" w:rsidRDefault="00094187" w:rsidP="00094187">
      <w:pPr>
        <w:spacing w:after="0" w:line="360" w:lineRule="auto"/>
        <w:ind w:firstLine="284"/>
        <w:rPr>
          <w:rFonts w:ascii="Times New Roman" w:hAnsi="Times New Roman" w:cs="Times New Roman"/>
          <w:sz w:val="24"/>
          <w:szCs w:val="24"/>
        </w:rPr>
      </w:pPr>
    </w:p>
    <w:p w14:paraId="61B14D80"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sz w:val="24"/>
          <w:szCs w:val="24"/>
        </w:rPr>
        <w:t xml:space="preserve">Clemons, Erick K. et al, ‘A face of one’s own: The role of an online personae in a digital age and the right to control one’s own online personae in the presence of digital hacking’ (2024) 34(1) </w:t>
      </w:r>
      <w:r w:rsidRPr="00094187">
        <w:rPr>
          <w:rFonts w:ascii="Times New Roman" w:hAnsi="Times New Roman" w:cs="Times New Roman"/>
          <w:i/>
          <w:iCs/>
          <w:sz w:val="24"/>
          <w:szCs w:val="24"/>
        </w:rPr>
        <w:t>Electronic markets</w:t>
      </w:r>
      <w:r w:rsidRPr="00094187">
        <w:rPr>
          <w:rFonts w:ascii="Times New Roman" w:hAnsi="Times New Roman" w:cs="Times New Roman"/>
          <w:sz w:val="24"/>
          <w:szCs w:val="24"/>
        </w:rPr>
        <w:t>.</w:t>
      </w:r>
    </w:p>
    <w:p w14:paraId="69F71A4A" w14:textId="77777777" w:rsidR="00094187" w:rsidRPr="00094187" w:rsidRDefault="00094187" w:rsidP="00094187">
      <w:pPr>
        <w:spacing w:after="0" w:line="360" w:lineRule="auto"/>
        <w:ind w:firstLine="284"/>
        <w:rPr>
          <w:rFonts w:ascii="Times New Roman" w:hAnsi="Times New Roman" w:cs="Times New Roman"/>
          <w:sz w:val="24"/>
          <w:szCs w:val="24"/>
        </w:rPr>
      </w:pPr>
    </w:p>
    <w:p w14:paraId="47B86D36"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sz w:val="24"/>
          <w:szCs w:val="24"/>
        </w:rPr>
        <w:t xml:space="preserve">Park, Lance Y.J. et al, ‘Digital Access, Digital Literacy, and Afterlife Preparedness: Societal Contexts of Digital Afterlife Traces’ (2024) 10(3) </w:t>
      </w:r>
      <w:r w:rsidRPr="00094187">
        <w:rPr>
          <w:rFonts w:ascii="Times New Roman" w:hAnsi="Times New Roman" w:cs="Times New Roman"/>
          <w:i/>
          <w:iCs/>
          <w:sz w:val="24"/>
          <w:szCs w:val="24"/>
        </w:rPr>
        <w:t>Social Media + Society</w:t>
      </w:r>
      <w:r w:rsidRPr="00094187">
        <w:rPr>
          <w:rFonts w:ascii="Times New Roman" w:hAnsi="Times New Roman" w:cs="Times New Roman"/>
          <w:sz w:val="24"/>
          <w:szCs w:val="24"/>
        </w:rPr>
        <w:t>.</w:t>
      </w:r>
    </w:p>
    <w:p w14:paraId="094292C7" w14:textId="77777777" w:rsidR="00094187" w:rsidRPr="00094187" w:rsidRDefault="00094187" w:rsidP="00094187">
      <w:pPr>
        <w:spacing w:after="0" w:line="360" w:lineRule="auto"/>
        <w:ind w:firstLine="284"/>
        <w:rPr>
          <w:rFonts w:ascii="Times New Roman" w:hAnsi="Times New Roman" w:cs="Times New Roman"/>
          <w:sz w:val="24"/>
          <w:szCs w:val="24"/>
        </w:rPr>
      </w:pPr>
    </w:p>
    <w:p w14:paraId="5A058DD2" w14:textId="77777777" w:rsidR="00094187" w:rsidRPr="00094187" w:rsidRDefault="00094187" w:rsidP="00094187">
      <w:pPr>
        <w:spacing w:after="0" w:line="360" w:lineRule="auto"/>
        <w:ind w:firstLine="284"/>
        <w:rPr>
          <w:sz w:val="24"/>
          <w:szCs w:val="24"/>
        </w:rPr>
      </w:pPr>
      <w:r w:rsidRPr="00094187">
        <w:rPr>
          <w:sz w:val="24"/>
          <w:szCs w:val="24"/>
        </w:rPr>
        <w:t xml:space="preserve">Steen, Adam et al, ‘Managing digital assets on death and disability: An examination of the determinants of digital asset planning literacy’ (2024) 49(4) </w:t>
      </w:r>
      <w:r w:rsidRPr="00094187">
        <w:rPr>
          <w:i/>
          <w:iCs/>
          <w:sz w:val="24"/>
          <w:szCs w:val="24"/>
        </w:rPr>
        <w:t>Australian Journal Of Management</w:t>
      </w:r>
      <w:r w:rsidRPr="00094187">
        <w:rPr>
          <w:sz w:val="24"/>
          <w:szCs w:val="24"/>
        </w:rPr>
        <w:t>, 561.</w:t>
      </w:r>
    </w:p>
    <w:p w14:paraId="221E8D9A" w14:textId="77777777" w:rsidR="00094187" w:rsidRPr="00094187" w:rsidRDefault="00094187" w:rsidP="00094187">
      <w:pPr>
        <w:spacing w:after="0" w:line="360" w:lineRule="auto"/>
        <w:ind w:firstLine="284"/>
        <w:rPr>
          <w:sz w:val="24"/>
          <w:szCs w:val="24"/>
        </w:rPr>
      </w:pPr>
    </w:p>
    <w:p w14:paraId="092B1E65" w14:textId="77777777" w:rsidR="00094187" w:rsidRPr="00094187" w:rsidRDefault="00094187" w:rsidP="00094187">
      <w:pPr>
        <w:spacing w:after="0" w:line="360" w:lineRule="auto"/>
        <w:ind w:firstLine="284"/>
        <w:jc w:val="center"/>
        <w:rPr>
          <w:b/>
          <w:bCs/>
          <w:sz w:val="24"/>
          <w:szCs w:val="24"/>
        </w:rPr>
      </w:pPr>
      <w:r w:rsidRPr="00094187">
        <w:rPr>
          <w:b/>
          <w:bCs/>
          <w:sz w:val="24"/>
          <w:szCs w:val="24"/>
        </w:rPr>
        <w:t>Cases</w:t>
      </w:r>
    </w:p>
    <w:p w14:paraId="5639CD2D"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i/>
          <w:iCs/>
          <w:sz w:val="24"/>
          <w:szCs w:val="24"/>
        </w:rPr>
        <w:t>Ettingshausen v Australian Consolidated Press Ltd</w:t>
      </w:r>
      <w:r w:rsidRPr="00094187">
        <w:rPr>
          <w:rFonts w:ascii="Times New Roman" w:hAnsi="Times New Roman" w:cs="Times New Roman"/>
          <w:sz w:val="24"/>
          <w:szCs w:val="24"/>
        </w:rPr>
        <w:t xml:space="preserve"> (1991) 23 NSWLR 44</w:t>
      </w:r>
    </w:p>
    <w:p w14:paraId="028111F1" w14:textId="77777777" w:rsidR="00094187" w:rsidRPr="00094187" w:rsidRDefault="00094187" w:rsidP="00094187">
      <w:pPr>
        <w:spacing w:after="0" w:line="360" w:lineRule="auto"/>
        <w:ind w:firstLine="284"/>
        <w:rPr>
          <w:rFonts w:ascii="Times New Roman" w:hAnsi="Times New Roman" w:cs="Times New Roman"/>
          <w:sz w:val="24"/>
          <w:szCs w:val="24"/>
        </w:rPr>
      </w:pPr>
    </w:p>
    <w:p w14:paraId="2C99EED1" w14:textId="77777777" w:rsidR="00094187" w:rsidRPr="00094187" w:rsidRDefault="00094187" w:rsidP="00094187">
      <w:pPr>
        <w:spacing w:after="0" w:line="360" w:lineRule="auto"/>
        <w:ind w:firstLine="284"/>
        <w:rPr>
          <w:sz w:val="24"/>
          <w:szCs w:val="24"/>
        </w:rPr>
      </w:pPr>
      <w:r w:rsidRPr="00094187">
        <w:rPr>
          <w:rFonts w:ascii="Times New Roman" w:hAnsi="Times New Roman" w:cs="Times New Roman"/>
          <w:i/>
          <w:iCs/>
          <w:sz w:val="24"/>
          <w:szCs w:val="24"/>
        </w:rPr>
        <w:t>Perkins and Talmax Pty Ltd v Telstra Corporation Ltd</w:t>
      </w:r>
      <w:r w:rsidRPr="00094187">
        <w:rPr>
          <w:rFonts w:ascii="Times New Roman" w:hAnsi="Times New Roman" w:cs="Times New Roman"/>
          <w:sz w:val="24"/>
          <w:szCs w:val="24"/>
        </w:rPr>
        <w:t xml:space="preserve"> [1996] QCA 412</w:t>
      </w:r>
    </w:p>
    <w:p w14:paraId="286B9E79" w14:textId="77777777" w:rsidR="00094187" w:rsidRPr="00094187" w:rsidRDefault="00094187" w:rsidP="00094187">
      <w:pPr>
        <w:spacing w:after="0" w:line="360" w:lineRule="auto"/>
        <w:ind w:firstLine="284"/>
        <w:rPr>
          <w:sz w:val="24"/>
          <w:szCs w:val="24"/>
        </w:rPr>
      </w:pPr>
    </w:p>
    <w:p w14:paraId="43AB4A92" w14:textId="77777777" w:rsidR="00094187" w:rsidRPr="00094187" w:rsidRDefault="00094187" w:rsidP="00094187">
      <w:pPr>
        <w:spacing w:after="0" w:line="360" w:lineRule="auto"/>
        <w:ind w:firstLine="284"/>
        <w:jc w:val="center"/>
        <w:rPr>
          <w:sz w:val="24"/>
          <w:szCs w:val="24"/>
        </w:rPr>
      </w:pPr>
      <w:r w:rsidRPr="00094187">
        <w:rPr>
          <w:b/>
          <w:bCs/>
          <w:sz w:val="24"/>
          <w:szCs w:val="24"/>
        </w:rPr>
        <w:t>Legislation</w:t>
      </w:r>
    </w:p>
    <w:p w14:paraId="1D5888E0" w14:textId="77777777" w:rsidR="00094187" w:rsidRPr="00094187" w:rsidRDefault="00094187" w:rsidP="00094187">
      <w:pPr>
        <w:spacing w:after="0" w:line="360" w:lineRule="auto"/>
        <w:ind w:firstLine="284"/>
        <w:rPr>
          <w:sz w:val="24"/>
          <w:szCs w:val="24"/>
        </w:rPr>
      </w:pPr>
    </w:p>
    <w:p w14:paraId="6887B7F0"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i/>
          <w:iCs/>
          <w:sz w:val="24"/>
          <w:szCs w:val="24"/>
        </w:rPr>
        <w:t>Competition and Consumer Act 2010</w:t>
      </w:r>
      <w:r w:rsidRPr="00094187">
        <w:rPr>
          <w:rFonts w:ascii="Times New Roman" w:hAnsi="Times New Roman" w:cs="Times New Roman"/>
          <w:sz w:val="24"/>
          <w:szCs w:val="24"/>
        </w:rPr>
        <w:t xml:space="preserve"> (Cth)</w:t>
      </w:r>
    </w:p>
    <w:p w14:paraId="39A865BA" w14:textId="77777777" w:rsidR="00094187" w:rsidRPr="00094187" w:rsidRDefault="00094187" w:rsidP="00094187">
      <w:pPr>
        <w:spacing w:after="0" w:line="360" w:lineRule="auto"/>
        <w:ind w:firstLine="284"/>
        <w:rPr>
          <w:rFonts w:ascii="Times New Roman" w:hAnsi="Times New Roman" w:cs="Times New Roman"/>
          <w:sz w:val="24"/>
          <w:szCs w:val="24"/>
        </w:rPr>
      </w:pPr>
    </w:p>
    <w:p w14:paraId="0C536DDC" w14:textId="77777777" w:rsidR="00094187" w:rsidRPr="00094187" w:rsidRDefault="00094187" w:rsidP="00094187">
      <w:pPr>
        <w:spacing w:after="0" w:line="360" w:lineRule="auto"/>
        <w:ind w:firstLine="284"/>
        <w:rPr>
          <w:rFonts w:ascii="Times New Roman" w:hAnsi="Times New Roman" w:cs="Times New Roman"/>
          <w:i/>
          <w:iCs/>
          <w:sz w:val="24"/>
          <w:szCs w:val="24"/>
        </w:rPr>
      </w:pPr>
      <w:r w:rsidRPr="00094187">
        <w:rPr>
          <w:rFonts w:ascii="Times New Roman" w:hAnsi="Times New Roman" w:cs="Times New Roman"/>
          <w:i/>
          <w:iCs/>
          <w:sz w:val="24"/>
          <w:szCs w:val="24"/>
        </w:rPr>
        <w:t>Online Safety Act</w:t>
      </w:r>
      <w:r w:rsidRPr="00094187">
        <w:rPr>
          <w:rFonts w:ascii="Times New Roman" w:hAnsi="Times New Roman" w:cs="Times New Roman"/>
          <w:sz w:val="24"/>
          <w:szCs w:val="24"/>
        </w:rPr>
        <w:t xml:space="preserve"> 2021(Cth)</w:t>
      </w:r>
    </w:p>
    <w:p w14:paraId="77AA49DD" w14:textId="77777777" w:rsidR="00094187" w:rsidRPr="00094187" w:rsidRDefault="00094187" w:rsidP="00094187">
      <w:pPr>
        <w:spacing w:after="0" w:line="360" w:lineRule="auto"/>
        <w:ind w:firstLine="284"/>
        <w:rPr>
          <w:rFonts w:ascii="Times New Roman" w:hAnsi="Times New Roman" w:cs="Times New Roman"/>
          <w:i/>
          <w:iCs/>
          <w:sz w:val="24"/>
          <w:szCs w:val="24"/>
        </w:rPr>
      </w:pPr>
    </w:p>
    <w:p w14:paraId="5AE0A549"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i/>
          <w:iCs/>
          <w:sz w:val="24"/>
          <w:szCs w:val="24"/>
        </w:rPr>
        <w:t>Online Safety Amendment (Social Media Minimum Age)</w:t>
      </w:r>
      <w:r w:rsidRPr="00094187">
        <w:rPr>
          <w:rFonts w:ascii="Times New Roman" w:hAnsi="Times New Roman" w:cs="Times New Roman"/>
          <w:sz w:val="24"/>
          <w:szCs w:val="24"/>
        </w:rPr>
        <w:t xml:space="preserve"> Bill 2024</w:t>
      </w:r>
    </w:p>
    <w:p w14:paraId="7731C10D" w14:textId="77777777" w:rsidR="00094187" w:rsidRPr="00094187" w:rsidRDefault="00094187" w:rsidP="00094187">
      <w:pPr>
        <w:spacing w:after="0" w:line="360" w:lineRule="auto"/>
        <w:ind w:firstLine="284"/>
        <w:rPr>
          <w:rFonts w:ascii="Times New Roman" w:hAnsi="Times New Roman" w:cs="Times New Roman"/>
          <w:sz w:val="24"/>
          <w:szCs w:val="24"/>
        </w:rPr>
      </w:pPr>
    </w:p>
    <w:p w14:paraId="4AC80044" w14:textId="77777777" w:rsidR="00094187" w:rsidRPr="00094187" w:rsidRDefault="00094187" w:rsidP="00094187">
      <w:pPr>
        <w:spacing w:after="0" w:line="360" w:lineRule="auto"/>
        <w:ind w:firstLine="284"/>
        <w:rPr>
          <w:rFonts w:ascii="Times New Roman" w:hAnsi="Times New Roman" w:cs="Times New Roman"/>
          <w:sz w:val="24"/>
          <w:szCs w:val="24"/>
        </w:rPr>
      </w:pPr>
      <w:r w:rsidRPr="00094187">
        <w:rPr>
          <w:rFonts w:ascii="Times New Roman" w:hAnsi="Times New Roman" w:cs="Times New Roman"/>
          <w:i/>
          <w:iCs/>
          <w:sz w:val="24"/>
          <w:szCs w:val="24"/>
        </w:rPr>
        <w:t>Uniform Defamation Act 2005</w:t>
      </w:r>
      <w:r w:rsidRPr="00094187">
        <w:rPr>
          <w:rFonts w:ascii="Times New Roman" w:hAnsi="Times New Roman" w:cs="Times New Roman"/>
          <w:sz w:val="24"/>
          <w:szCs w:val="24"/>
        </w:rPr>
        <w:t xml:space="preserve"> (NSW)</w:t>
      </w:r>
    </w:p>
    <w:p w14:paraId="75BF03CC" w14:textId="77777777" w:rsidR="00094187" w:rsidRPr="00094187" w:rsidRDefault="00094187" w:rsidP="00094187">
      <w:pPr>
        <w:spacing w:after="0" w:line="360" w:lineRule="auto"/>
        <w:rPr>
          <w:rFonts w:ascii="Times New Roman" w:hAnsi="Times New Roman" w:cs="Times New Roman"/>
          <w:sz w:val="24"/>
          <w:szCs w:val="24"/>
        </w:rPr>
      </w:pPr>
    </w:p>
    <w:p w14:paraId="3C0193CF" w14:textId="77777777" w:rsidR="00094187" w:rsidRPr="00094187" w:rsidRDefault="00094187" w:rsidP="00094187">
      <w:pPr>
        <w:spacing w:after="0" w:line="360" w:lineRule="auto"/>
        <w:ind w:firstLine="284"/>
        <w:jc w:val="center"/>
        <w:rPr>
          <w:rFonts w:ascii="Times New Roman" w:hAnsi="Times New Roman" w:cs="Times New Roman"/>
          <w:sz w:val="24"/>
          <w:szCs w:val="24"/>
        </w:rPr>
      </w:pPr>
      <w:r w:rsidRPr="00094187">
        <w:rPr>
          <w:rFonts w:ascii="Times New Roman" w:hAnsi="Times New Roman" w:cs="Times New Roman"/>
          <w:b/>
          <w:bCs/>
          <w:sz w:val="24"/>
          <w:szCs w:val="24"/>
        </w:rPr>
        <w:t>Other</w:t>
      </w:r>
    </w:p>
    <w:p w14:paraId="239038DA" w14:textId="77777777" w:rsidR="00094187" w:rsidRPr="00094187" w:rsidRDefault="00094187" w:rsidP="00094187">
      <w:pPr>
        <w:spacing w:after="0" w:line="360" w:lineRule="auto"/>
        <w:ind w:firstLine="284"/>
        <w:jc w:val="both"/>
        <w:rPr>
          <w:rFonts w:ascii="Times New Roman" w:hAnsi="Times New Roman" w:cs="Times New Roman"/>
          <w:sz w:val="24"/>
          <w:szCs w:val="24"/>
        </w:rPr>
      </w:pPr>
      <w:r w:rsidRPr="00094187">
        <w:rPr>
          <w:rFonts w:ascii="Times New Roman" w:hAnsi="Times New Roman" w:cs="Times New Roman"/>
          <w:sz w:val="24"/>
          <w:szCs w:val="24"/>
        </w:rPr>
        <w:t xml:space="preserve">eSafety Commissioner, What happens to your digital accounts after you die (Web Page, 1 November 2023) </w:t>
      </w:r>
    </w:p>
    <w:p w14:paraId="6EE1D610" w14:textId="77777777" w:rsidR="00094187" w:rsidRPr="00094187" w:rsidRDefault="00094187" w:rsidP="00094187">
      <w:pPr>
        <w:spacing w:after="0" w:line="360" w:lineRule="auto"/>
        <w:jc w:val="both"/>
        <w:rPr>
          <w:rFonts w:ascii="Times New Roman" w:hAnsi="Times New Roman" w:cs="Times New Roman"/>
          <w:sz w:val="24"/>
          <w:szCs w:val="24"/>
        </w:rPr>
      </w:pPr>
      <w:r w:rsidRPr="00094187">
        <w:rPr>
          <w:rFonts w:ascii="Times New Roman" w:hAnsi="Times New Roman" w:cs="Times New Roman"/>
          <w:sz w:val="24"/>
          <w:szCs w:val="24"/>
        </w:rPr>
        <w:t>&lt;https://www.esafety.gov.au/key-topics/digital-wellbeing/what-happens-to-your-digital-accounts-after-you-die&gt;</w:t>
      </w:r>
    </w:p>
    <w:p w14:paraId="5DB07152" w14:textId="77777777" w:rsidR="00094187" w:rsidRDefault="00094187">
      <w:pPr>
        <w:rPr>
          <w:lang w:val="en-US"/>
        </w:rPr>
      </w:pPr>
    </w:p>
    <w:sectPr w:rsidR="00094187" w:rsidSect="00A832A3">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CEB6" w14:textId="77777777" w:rsidR="0063536B" w:rsidRDefault="0063536B" w:rsidP="00094187">
      <w:pPr>
        <w:spacing w:after="0" w:line="240" w:lineRule="auto"/>
      </w:pPr>
      <w:r>
        <w:separator/>
      </w:r>
    </w:p>
  </w:endnote>
  <w:endnote w:type="continuationSeparator" w:id="0">
    <w:p w14:paraId="674E423B" w14:textId="77777777" w:rsidR="0063536B" w:rsidRDefault="0063536B" w:rsidP="00094187">
      <w:pPr>
        <w:spacing w:after="0" w:line="240" w:lineRule="auto"/>
      </w:pPr>
      <w:r>
        <w:continuationSeparator/>
      </w:r>
    </w:p>
  </w:endnote>
  <w:endnote w:id="1">
    <w:p w14:paraId="6FD6C42E" w14:textId="77777777"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Lance Y.J. Park et al, ‘Digital Access, Digital Literacy, and Afterlife Preparedness: Societal Contexts of Digital Afterlife Traces’ (2024) 10(3) </w:t>
      </w:r>
      <w:r w:rsidRPr="000406F5">
        <w:rPr>
          <w:rFonts w:ascii="Times New Roman" w:hAnsi="Times New Roman" w:cs="Times New Roman"/>
          <w:i/>
          <w:iCs/>
        </w:rPr>
        <w:t>Social Media + Society</w:t>
      </w:r>
      <w:r w:rsidRPr="000406F5">
        <w:rPr>
          <w:rFonts w:ascii="Times New Roman" w:hAnsi="Times New Roman" w:cs="Times New Roman"/>
        </w:rPr>
        <w:t>.</w:t>
      </w:r>
    </w:p>
  </w:endnote>
  <w:endnote w:id="2">
    <w:p w14:paraId="4D2073AF" w14:textId="77777777"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eSafety Commissioner, </w:t>
      </w:r>
      <w:r w:rsidRPr="000406F5">
        <w:rPr>
          <w:rFonts w:ascii="Times New Roman" w:hAnsi="Times New Roman" w:cs="Times New Roman"/>
          <w:i/>
          <w:iCs/>
        </w:rPr>
        <w:t>What happens to your digital accounts after you die</w:t>
      </w:r>
      <w:r w:rsidRPr="000406F5">
        <w:rPr>
          <w:rFonts w:ascii="Times New Roman" w:hAnsi="Times New Roman" w:cs="Times New Roman"/>
        </w:rPr>
        <w:t xml:space="preserve"> (Web Page, 1 November 2023)</w:t>
      </w:r>
    </w:p>
  </w:endnote>
  <w:endnote w:id="3">
    <w:p w14:paraId="747ADB50" w14:textId="77777777"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Adam Steen et al, ‘Managing digital assets on death and disability: An examination of the determinants of digital asset planning literacy’ (2024) 49(4) </w:t>
      </w:r>
      <w:r w:rsidRPr="000406F5">
        <w:rPr>
          <w:rFonts w:ascii="Times New Roman" w:hAnsi="Times New Roman" w:cs="Times New Roman"/>
          <w:i/>
          <w:iCs/>
        </w:rPr>
        <w:t>Australian Journal of Management</w:t>
      </w:r>
      <w:r w:rsidRPr="000406F5">
        <w:rPr>
          <w:rFonts w:ascii="Times New Roman" w:hAnsi="Times New Roman" w:cs="Times New Roman"/>
        </w:rPr>
        <w:t>, 561.</w:t>
      </w:r>
    </w:p>
  </w:endnote>
  <w:endnote w:id="4">
    <w:p w14:paraId="65740CB4" w14:textId="072B5421"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eSafety Commissioner (n </w:t>
      </w:r>
      <w:r w:rsidR="006C6E62">
        <w:rPr>
          <w:rFonts w:ascii="Times New Roman" w:hAnsi="Times New Roman" w:cs="Times New Roman"/>
        </w:rPr>
        <w:t>ii</w:t>
      </w:r>
      <w:r w:rsidRPr="000406F5">
        <w:rPr>
          <w:rFonts w:ascii="Times New Roman" w:hAnsi="Times New Roman" w:cs="Times New Roman"/>
        </w:rPr>
        <w:t>).</w:t>
      </w:r>
    </w:p>
  </w:endnote>
  <w:endnote w:id="5">
    <w:p w14:paraId="3018519F" w14:textId="77777777"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Erik K. Clemons et al, ‘A face of one’s own: The role of an online personae in a digital age and the right to control one’s own online personae in the presence of digital hacking’ (2024) 34(1) </w:t>
      </w:r>
      <w:r w:rsidRPr="000406F5">
        <w:rPr>
          <w:rFonts w:ascii="Times New Roman" w:hAnsi="Times New Roman" w:cs="Times New Roman"/>
          <w:i/>
          <w:iCs/>
        </w:rPr>
        <w:t>Electronic markets</w:t>
      </w:r>
      <w:r w:rsidRPr="000406F5">
        <w:rPr>
          <w:rFonts w:ascii="Times New Roman" w:hAnsi="Times New Roman" w:cs="Times New Roman"/>
        </w:rPr>
        <w:t>.</w:t>
      </w:r>
    </w:p>
  </w:endnote>
  <w:endnote w:id="6">
    <w:p w14:paraId="300020BF" w14:textId="77777777"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Amelia Acker and Jed R. Brubaker, ‘Death, Memorialization, and </w:t>
      </w:r>
      <w:r w:rsidRPr="000406F5">
        <w:rPr>
          <w:rFonts w:ascii="Times New Roman" w:hAnsi="Times New Roman" w:cs="Times New Roman"/>
        </w:rPr>
        <w:t xml:space="preserve">Social Media: A Platform Perspective for Personal Archives’ (2014) 77(1) </w:t>
      </w:r>
      <w:r w:rsidRPr="000406F5">
        <w:rPr>
          <w:rFonts w:ascii="Times New Roman" w:hAnsi="Times New Roman" w:cs="Times New Roman"/>
          <w:i/>
          <w:iCs/>
        </w:rPr>
        <w:t>Archivaria</w:t>
      </w:r>
      <w:r w:rsidRPr="000406F5">
        <w:rPr>
          <w:rFonts w:ascii="Times New Roman" w:hAnsi="Times New Roman" w:cs="Times New Roman"/>
        </w:rPr>
        <w:t>, 1.</w:t>
      </w:r>
    </w:p>
  </w:endnote>
  <w:endnote w:id="7">
    <w:p w14:paraId="0AE2F8B0" w14:textId="77777777"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Kwan Y Cheng, ‘The law of digital afterlife: the Chinese experience of AI ‘resurrection’ and ‘grief tech’ (2025) 33 </w:t>
      </w:r>
      <w:r w:rsidRPr="000406F5">
        <w:rPr>
          <w:rFonts w:ascii="Times New Roman" w:hAnsi="Times New Roman" w:cs="Times New Roman"/>
          <w:i/>
          <w:iCs/>
        </w:rPr>
        <w:t>International Journal of Law and Information Technology</w:t>
      </w:r>
      <w:r w:rsidRPr="000406F5">
        <w:rPr>
          <w:rFonts w:ascii="Times New Roman" w:hAnsi="Times New Roman" w:cs="Times New Roman"/>
        </w:rPr>
        <w:t>.</w:t>
      </w:r>
    </w:p>
  </w:endnote>
  <w:endnote w:id="8">
    <w:p w14:paraId="542D45BB" w14:textId="53A40FF5"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eSafety Commissioner (n </w:t>
      </w:r>
      <w:r w:rsidR="006C6E62">
        <w:rPr>
          <w:rFonts w:ascii="Times New Roman" w:hAnsi="Times New Roman" w:cs="Times New Roman"/>
        </w:rPr>
        <w:t>ii</w:t>
      </w:r>
      <w:r w:rsidRPr="000406F5">
        <w:rPr>
          <w:rFonts w:ascii="Times New Roman" w:hAnsi="Times New Roman" w:cs="Times New Roman"/>
        </w:rPr>
        <w:t>).</w:t>
      </w:r>
    </w:p>
  </w:endnote>
  <w:endnote w:id="9">
    <w:p w14:paraId="67D90AB2" w14:textId="77777777" w:rsidR="00094187" w:rsidRPr="000406F5" w:rsidRDefault="00094187" w:rsidP="00094187">
      <w:pPr>
        <w:pStyle w:val="Foot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w:t>
      </w:r>
      <w:r w:rsidRPr="000406F5">
        <w:rPr>
          <w:rFonts w:ascii="Times New Roman" w:hAnsi="Times New Roman" w:cs="Times New Roman"/>
          <w:i/>
          <w:iCs/>
        </w:rPr>
        <w:t>Online Safety Amendment (</w:t>
      </w:r>
      <w:r w:rsidRPr="000406F5">
        <w:rPr>
          <w:rFonts w:ascii="Times New Roman" w:hAnsi="Times New Roman" w:cs="Times New Roman"/>
          <w:i/>
          <w:iCs/>
        </w:rPr>
        <w:t>Social Media Minimum Age)</w:t>
      </w:r>
      <w:r w:rsidRPr="000406F5">
        <w:rPr>
          <w:rFonts w:ascii="Times New Roman" w:hAnsi="Times New Roman" w:cs="Times New Roman"/>
        </w:rPr>
        <w:t xml:space="preserve"> Bill 2024.</w:t>
      </w:r>
    </w:p>
  </w:endnote>
  <w:endnote w:id="10">
    <w:p w14:paraId="0C7C40DC" w14:textId="1C7AFCB3" w:rsidR="00094187" w:rsidRPr="000406F5" w:rsidRDefault="00094187" w:rsidP="00094187">
      <w:pPr>
        <w:pStyle w:val="EndnoteText"/>
        <w:rPr>
          <w:rFonts w:ascii="Times New Roman" w:hAnsi="Times New Roman" w:cs="Times New Roman"/>
        </w:rPr>
      </w:pPr>
      <w:r w:rsidRPr="000406F5">
        <w:rPr>
          <w:rStyle w:val="EndnoteReference"/>
          <w:rFonts w:ascii="Times New Roman" w:hAnsi="Times New Roman" w:cs="Times New Roman"/>
        </w:rPr>
        <w:endnoteRef/>
      </w:r>
      <w:r w:rsidRPr="000406F5">
        <w:rPr>
          <w:rFonts w:ascii="Times New Roman" w:hAnsi="Times New Roman" w:cs="Times New Roman"/>
        </w:rPr>
        <w:t xml:space="preserve"> eSafety Commissioner (n </w:t>
      </w:r>
      <w:r w:rsidR="006C6E62">
        <w:rPr>
          <w:rFonts w:ascii="Times New Roman" w:hAnsi="Times New Roman" w:cs="Times New Roman"/>
        </w:rPr>
        <w:t>ii</w:t>
      </w:r>
      <w:r w:rsidRPr="000406F5">
        <w:rPr>
          <w:rFonts w:ascii="Times New Roman" w:hAnsi="Times New Roman" w:cs="Times New Roman"/>
        </w:rPr>
        <w:t>).</w:t>
      </w:r>
    </w:p>
  </w:endnote>
  <w:endnote w:id="11">
    <w:p w14:paraId="18CEB1F1" w14:textId="77777777" w:rsidR="00094187" w:rsidRDefault="00094187" w:rsidP="00094187">
      <w:pPr>
        <w:pStyle w:val="EndnoteText"/>
      </w:pPr>
      <w:r>
        <w:rPr>
          <w:rStyle w:val="EndnoteReference"/>
        </w:rPr>
        <w:endnoteRef/>
      </w:r>
      <w:r>
        <w:t xml:space="preserve"> </w:t>
      </w:r>
      <w:r w:rsidRPr="004922F1">
        <w:rPr>
          <w:rFonts w:ascii="Times New Roman" w:hAnsi="Times New Roman" w:cs="Times New Roman"/>
          <w:i/>
          <w:iCs/>
        </w:rPr>
        <w:t>Uniform Defamation Act 2005</w:t>
      </w:r>
      <w:r w:rsidRPr="004922F1">
        <w:rPr>
          <w:rFonts w:ascii="Times New Roman" w:hAnsi="Times New Roman" w:cs="Times New Roman"/>
        </w:rPr>
        <w:t xml:space="preserve"> (NSW).</w:t>
      </w:r>
    </w:p>
  </w:endnote>
  <w:endnote w:id="12">
    <w:p w14:paraId="4C8D2106" w14:textId="77777777" w:rsidR="00094187" w:rsidRDefault="00094187" w:rsidP="00094187">
      <w:pPr>
        <w:pStyle w:val="EndnoteText"/>
      </w:pPr>
      <w:r>
        <w:rPr>
          <w:rStyle w:val="EndnoteReference"/>
        </w:rPr>
        <w:endnoteRef/>
      </w:r>
      <w:r>
        <w:t xml:space="preserve"> </w:t>
      </w:r>
      <w:r w:rsidRPr="004922F1">
        <w:rPr>
          <w:rFonts w:ascii="Times New Roman" w:hAnsi="Times New Roman" w:cs="Times New Roman"/>
          <w:i/>
          <w:iCs/>
        </w:rPr>
        <w:t>Competition and Consumer Act 2010</w:t>
      </w:r>
      <w:r w:rsidRPr="004922F1">
        <w:rPr>
          <w:rFonts w:ascii="Times New Roman" w:hAnsi="Times New Roman" w:cs="Times New Roman"/>
        </w:rPr>
        <w:t xml:space="preserve"> (</w:t>
      </w:r>
      <w:r w:rsidRPr="004922F1">
        <w:rPr>
          <w:rFonts w:ascii="Times New Roman" w:hAnsi="Times New Roman" w:cs="Times New Roman"/>
        </w:rPr>
        <w:t>Cth)</w:t>
      </w:r>
    </w:p>
  </w:endnote>
  <w:endnote w:id="13">
    <w:p w14:paraId="5D38BF0A" w14:textId="77777777" w:rsidR="00094187" w:rsidRDefault="00094187" w:rsidP="00094187">
      <w:pPr>
        <w:pStyle w:val="EndnoteText"/>
      </w:pPr>
      <w:r>
        <w:rPr>
          <w:rStyle w:val="EndnoteReference"/>
        </w:rPr>
        <w:endnoteRef/>
      </w:r>
      <w:r>
        <w:t xml:space="preserve"> </w:t>
      </w:r>
      <w:r w:rsidRPr="000C23A1">
        <w:rPr>
          <w:rFonts w:ascii="Times New Roman" w:hAnsi="Times New Roman" w:cs="Times New Roman"/>
          <w:i/>
          <w:iCs/>
        </w:rPr>
        <w:t>Ettingshausen v Australian Consolidated Press Ltd</w:t>
      </w:r>
      <w:r w:rsidRPr="000C23A1">
        <w:rPr>
          <w:rFonts w:ascii="Times New Roman" w:hAnsi="Times New Roman" w:cs="Times New Roman"/>
        </w:rPr>
        <w:t xml:space="preserve"> (1991) 23 NSWLR 44.</w:t>
      </w:r>
    </w:p>
  </w:endnote>
  <w:endnote w:id="14">
    <w:p w14:paraId="6505D6FF" w14:textId="77777777" w:rsidR="00094187" w:rsidRDefault="00094187" w:rsidP="00094187">
      <w:pPr>
        <w:pStyle w:val="EndnoteText"/>
      </w:pPr>
      <w:r>
        <w:rPr>
          <w:rStyle w:val="EndnoteReference"/>
        </w:rPr>
        <w:endnoteRef/>
      </w:r>
      <w:r>
        <w:t xml:space="preserve"> </w:t>
      </w:r>
      <w:r w:rsidRPr="000C23A1">
        <w:rPr>
          <w:rFonts w:ascii="Times New Roman" w:hAnsi="Times New Roman" w:cs="Times New Roman"/>
          <w:i/>
          <w:iCs/>
        </w:rPr>
        <w:t xml:space="preserve">Perkins and </w:t>
      </w:r>
      <w:r w:rsidRPr="000C23A1">
        <w:rPr>
          <w:rFonts w:ascii="Times New Roman" w:hAnsi="Times New Roman" w:cs="Times New Roman"/>
          <w:i/>
          <w:iCs/>
        </w:rPr>
        <w:t>Talmax Pty Ltd v Telstra Corporation Ltd</w:t>
      </w:r>
      <w:r w:rsidRPr="000C23A1">
        <w:rPr>
          <w:rFonts w:ascii="Times New Roman" w:hAnsi="Times New Roman" w:cs="Times New Roman"/>
        </w:rPr>
        <w:t xml:space="preserve"> [1996] QCA 412.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FAF57" w14:textId="77777777" w:rsidR="0063536B" w:rsidRDefault="0063536B" w:rsidP="00094187">
      <w:pPr>
        <w:spacing w:after="0" w:line="240" w:lineRule="auto"/>
      </w:pPr>
      <w:r>
        <w:separator/>
      </w:r>
    </w:p>
  </w:footnote>
  <w:footnote w:type="continuationSeparator" w:id="0">
    <w:p w14:paraId="3515969B" w14:textId="77777777" w:rsidR="0063536B" w:rsidRDefault="0063536B" w:rsidP="00094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01C76"/>
    <w:multiLevelType w:val="hybridMultilevel"/>
    <w:tmpl w:val="AAA86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D884F4C"/>
    <w:multiLevelType w:val="hybridMultilevel"/>
    <w:tmpl w:val="959AB586"/>
    <w:lvl w:ilvl="0" w:tplc="E8EE7B20">
      <w:start w:val="1"/>
      <w:numFmt w:val="bullet"/>
      <w:lvlText w:val="•"/>
      <w:lvlJc w:val="left"/>
      <w:pPr>
        <w:ind w:left="720" w:hanging="360"/>
      </w:pPr>
      <w:rPr>
        <w:rFonts w:ascii="Symbol" w:eastAsia="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6894186">
    <w:abstractNumId w:val="0"/>
  </w:num>
  <w:num w:numId="2" w16cid:durableId="2056612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AA"/>
    <w:rsid w:val="000209E0"/>
    <w:rsid w:val="0002467D"/>
    <w:rsid w:val="00026834"/>
    <w:rsid w:val="000549E1"/>
    <w:rsid w:val="0005660B"/>
    <w:rsid w:val="00094187"/>
    <w:rsid w:val="000C3F80"/>
    <w:rsid w:val="001214CF"/>
    <w:rsid w:val="00154E93"/>
    <w:rsid w:val="00182BD3"/>
    <w:rsid w:val="001B7796"/>
    <w:rsid w:val="00257D78"/>
    <w:rsid w:val="002606AA"/>
    <w:rsid w:val="002B6A5E"/>
    <w:rsid w:val="002D4836"/>
    <w:rsid w:val="00337259"/>
    <w:rsid w:val="00467250"/>
    <w:rsid w:val="004A7B15"/>
    <w:rsid w:val="005C2C8E"/>
    <w:rsid w:val="005D22F2"/>
    <w:rsid w:val="005D3988"/>
    <w:rsid w:val="006005A7"/>
    <w:rsid w:val="0063536B"/>
    <w:rsid w:val="00643F15"/>
    <w:rsid w:val="006C6E62"/>
    <w:rsid w:val="006D0B9E"/>
    <w:rsid w:val="007D3D00"/>
    <w:rsid w:val="008D652F"/>
    <w:rsid w:val="008E321D"/>
    <w:rsid w:val="009730E8"/>
    <w:rsid w:val="00973E56"/>
    <w:rsid w:val="009C0047"/>
    <w:rsid w:val="009D6153"/>
    <w:rsid w:val="00A2393B"/>
    <w:rsid w:val="00A52867"/>
    <w:rsid w:val="00AA4740"/>
    <w:rsid w:val="00B12979"/>
    <w:rsid w:val="00B40EA6"/>
    <w:rsid w:val="00B83E28"/>
    <w:rsid w:val="00B92F31"/>
    <w:rsid w:val="00BD7526"/>
    <w:rsid w:val="00C65529"/>
    <w:rsid w:val="00DF3813"/>
    <w:rsid w:val="00F35B5D"/>
    <w:rsid w:val="00F605D2"/>
    <w:rsid w:val="00FC2C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6BF3"/>
  <w15:chartTrackingRefBased/>
  <w15:docId w15:val="{BB2352BF-DEAE-489F-88C9-2FB895C9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AA"/>
    <w:rPr>
      <w:rFonts w:eastAsiaTheme="majorEastAsia" w:cstheme="majorBidi"/>
      <w:color w:val="272727" w:themeColor="text1" w:themeTint="D8"/>
    </w:rPr>
  </w:style>
  <w:style w:type="paragraph" w:styleId="Title">
    <w:name w:val="Title"/>
    <w:basedOn w:val="Normal"/>
    <w:next w:val="Normal"/>
    <w:link w:val="TitleChar"/>
    <w:uiPriority w:val="10"/>
    <w:qFormat/>
    <w:rsid w:val="00260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AA"/>
    <w:pPr>
      <w:spacing w:before="160"/>
      <w:jc w:val="center"/>
    </w:pPr>
    <w:rPr>
      <w:i/>
      <w:iCs/>
      <w:color w:val="404040" w:themeColor="text1" w:themeTint="BF"/>
    </w:rPr>
  </w:style>
  <w:style w:type="character" w:customStyle="1" w:styleId="QuoteChar">
    <w:name w:val="Quote Char"/>
    <w:basedOn w:val="DefaultParagraphFont"/>
    <w:link w:val="Quote"/>
    <w:uiPriority w:val="29"/>
    <w:rsid w:val="002606AA"/>
    <w:rPr>
      <w:i/>
      <w:iCs/>
      <w:color w:val="404040" w:themeColor="text1" w:themeTint="BF"/>
    </w:rPr>
  </w:style>
  <w:style w:type="paragraph" w:styleId="ListParagraph">
    <w:name w:val="List Paragraph"/>
    <w:basedOn w:val="Normal"/>
    <w:uiPriority w:val="34"/>
    <w:qFormat/>
    <w:rsid w:val="002606AA"/>
    <w:pPr>
      <w:ind w:left="720"/>
      <w:contextualSpacing/>
    </w:pPr>
  </w:style>
  <w:style w:type="character" w:styleId="IntenseEmphasis">
    <w:name w:val="Intense Emphasis"/>
    <w:basedOn w:val="DefaultParagraphFont"/>
    <w:uiPriority w:val="21"/>
    <w:qFormat/>
    <w:rsid w:val="002606AA"/>
    <w:rPr>
      <w:i/>
      <w:iCs/>
      <w:color w:val="2F5496" w:themeColor="accent1" w:themeShade="BF"/>
    </w:rPr>
  </w:style>
  <w:style w:type="paragraph" w:styleId="IntenseQuote">
    <w:name w:val="Intense Quote"/>
    <w:basedOn w:val="Normal"/>
    <w:next w:val="Normal"/>
    <w:link w:val="IntenseQuoteChar"/>
    <w:uiPriority w:val="30"/>
    <w:qFormat/>
    <w:rsid w:val="00260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6AA"/>
    <w:rPr>
      <w:i/>
      <w:iCs/>
      <w:color w:val="2F5496" w:themeColor="accent1" w:themeShade="BF"/>
    </w:rPr>
  </w:style>
  <w:style w:type="character" w:styleId="IntenseReference">
    <w:name w:val="Intense Reference"/>
    <w:basedOn w:val="DefaultParagraphFont"/>
    <w:uiPriority w:val="32"/>
    <w:qFormat/>
    <w:rsid w:val="002606AA"/>
    <w:rPr>
      <w:b/>
      <w:bCs/>
      <w:smallCaps/>
      <w:color w:val="2F5496" w:themeColor="accent1" w:themeShade="BF"/>
      <w:spacing w:val="5"/>
    </w:rPr>
  </w:style>
  <w:style w:type="table" w:styleId="TableGrid">
    <w:name w:val="Table Grid"/>
    <w:basedOn w:val="TableNormal"/>
    <w:uiPriority w:val="39"/>
    <w:rsid w:val="00260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988"/>
    <w:rPr>
      <w:color w:val="0563C1" w:themeColor="hyperlink"/>
      <w:u w:val="single"/>
    </w:rPr>
  </w:style>
  <w:style w:type="character" w:styleId="UnresolvedMention">
    <w:name w:val="Unresolved Mention"/>
    <w:basedOn w:val="DefaultParagraphFont"/>
    <w:uiPriority w:val="99"/>
    <w:semiHidden/>
    <w:unhideWhenUsed/>
    <w:rsid w:val="005D3988"/>
    <w:rPr>
      <w:color w:val="605E5C"/>
      <w:shd w:val="clear" w:color="auto" w:fill="E1DFDD"/>
    </w:rPr>
  </w:style>
  <w:style w:type="character" w:styleId="FollowedHyperlink">
    <w:name w:val="FollowedHyperlink"/>
    <w:basedOn w:val="DefaultParagraphFont"/>
    <w:uiPriority w:val="99"/>
    <w:semiHidden/>
    <w:unhideWhenUsed/>
    <w:rsid w:val="000209E0"/>
    <w:rPr>
      <w:color w:val="954F72" w:themeColor="followedHyperlink"/>
      <w:u w:val="single"/>
    </w:rPr>
  </w:style>
  <w:style w:type="paragraph" w:styleId="Header">
    <w:name w:val="header"/>
    <w:basedOn w:val="Normal"/>
    <w:link w:val="HeaderChar"/>
    <w:uiPriority w:val="99"/>
    <w:unhideWhenUsed/>
    <w:rsid w:val="00094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187"/>
  </w:style>
  <w:style w:type="paragraph" w:styleId="Footer">
    <w:name w:val="footer"/>
    <w:basedOn w:val="Normal"/>
    <w:link w:val="FooterChar"/>
    <w:uiPriority w:val="99"/>
    <w:unhideWhenUsed/>
    <w:rsid w:val="00094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187"/>
  </w:style>
  <w:style w:type="paragraph" w:styleId="EndnoteText">
    <w:name w:val="endnote text"/>
    <w:basedOn w:val="Normal"/>
    <w:link w:val="EndnoteTextChar"/>
    <w:uiPriority w:val="99"/>
    <w:semiHidden/>
    <w:unhideWhenUsed/>
    <w:rsid w:val="000941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4187"/>
    <w:rPr>
      <w:sz w:val="20"/>
      <w:szCs w:val="20"/>
    </w:rPr>
  </w:style>
  <w:style w:type="character" w:styleId="EndnoteReference">
    <w:name w:val="endnote reference"/>
    <w:basedOn w:val="DefaultParagraphFont"/>
    <w:uiPriority w:val="99"/>
    <w:semiHidden/>
    <w:unhideWhenUsed/>
    <w:rsid w:val="00094187"/>
    <w:rPr>
      <w:vertAlign w:val="superscript"/>
    </w:rPr>
  </w:style>
  <w:style w:type="paragraph" w:styleId="FootnoteText">
    <w:name w:val="footnote text"/>
    <w:basedOn w:val="Normal"/>
    <w:link w:val="FootnoteTextChar"/>
    <w:uiPriority w:val="99"/>
    <w:unhideWhenUsed/>
    <w:rsid w:val="00094187"/>
    <w:pPr>
      <w:spacing w:after="0" w:line="240" w:lineRule="auto"/>
    </w:pPr>
    <w:rPr>
      <w:sz w:val="20"/>
      <w:szCs w:val="20"/>
    </w:rPr>
  </w:style>
  <w:style w:type="character" w:customStyle="1" w:styleId="FootnoteTextChar">
    <w:name w:val="Footnote Text Char"/>
    <w:basedOn w:val="DefaultParagraphFont"/>
    <w:link w:val="FootnoteText"/>
    <w:uiPriority w:val="99"/>
    <w:rsid w:val="0009418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1589">
      <w:bodyDiv w:val="1"/>
      <w:marLeft w:val="0"/>
      <w:marRight w:val="0"/>
      <w:marTop w:val="0"/>
      <w:marBottom w:val="0"/>
      <w:divBdr>
        <w:top w:val="none" w:sz="0" w:space="0" w:color="auto"/>
        <w:left w:val="none" w:sz="0" w:space="0" w:color="auto"/>
        <w:bottom w:val="none" w:sz="0" w:space="0" w:color="auto"/>
        <w:right w:val="none" w:sz="0" w:space="0" w:color="auto"/>
      </w:divBdr>
    </w:div>
    <w:div w:id="1436901116">
      <w:bodyDiv w:val="1"/>
      <w:marLeft w:val="0"/>
      <w:marRight w:val="0"/>
      <w:marTop w:val="0"/>
      <w:marBottom w:val="0"/>
      <w:divBdr>
        <w:top w:val="none" w:sz="0" w:space="0" w:color="auto"/>
        <w:left w:val="none" w:sz="0" w:space="0" w:color="auto"/>
        <w:bottom w:val="none" w:sz="0" w:space="0" w:color="auto"/>
        <w:right w:val="none" w:sz="0" w:space="0" w:color="auto"/>
      </w:divBdr>
    </w:div>
    <w:div w:id="1686402217">
      <w:bodyDiv w:val="1"/>
      <w:marLeft w:val="0"/>
      <w:marRight w:val="0"/>
      <w:marTop w:val="0"/>
      <w:marBottom w:val="0"/>
      <w:divBdr>
        <w:top w:val="none" w:sz="0" w:space="0" w:color="auto"/>
        <w:left w:val="none" w:sz="0" w:space="0" w:color="auto"/>
        <w:bottom w:val="none" w:sz="0" w:space="0" w:color="auto"/>
        <w:right w:val="none" w:sz="0" w:space="0" w:color="auto"/>
      </w:divBdr>
    </w:div>
    <w:div w:id="19192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Hadley</dc:creator>
  <cp:keywords/>
  <dc:description/>
  <cp:lastModifiedBy>Marie Hadley</cp:lastModifiedBy>
  <cp:revision>3</cp:revision>
  <dcterms:created xsi:type="dcterms:W3CDTF">2026-08-17T08:58:00Z</dcterms:created>
  <dcterms:modified xsi:type="dcterms:W3CDTF">2026-08-17T08:58:00Z</dcterms:modified>
</cp:coreProperties>
</file>