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5F2"/>
  <w:body>
    <w:p w14:paraId="58412447" w14:textId="03A3FB93" w:rsidR="007D5EEB" w:rsidRPr="00010CE7" w:rsidRDefault="00031859" w:rsidP="00010CE7">
      <w:pPr>
        <w:spacing w:after="0" w:line="300" w:lineRule="auto"/>
        <w:jc w:val="both"/>
        <w:rPr>
          <w:rFonts w:ascii="Helvetica" w:hAnsi="Helvetica"/>
          <w:color w:val="F7F5F2"/>
        </w:rPr>
      </w:pPr>
      <w:r w:rsidRPr="00010CE7">
        <w:rPr>
          <w:rFonts w:ascii="Helvetica" w:hAnsi="Helvetica"/>
          <w:noProof/>
          <w:color w:val="F7F5F2"/>
        </w:rPr>
        <mc:AlternateContent>
          <mc:Choice Requires="wps">
            <w:drawing>
              <wp:anchor distT="0" distB="0" distL="114300" distR="114300" simplePos="0" relativeHeight="251659264" behindDoc="1" locked="0" layoutInCell="1" allowOverlap="1" wp14:anchorId="2969FF22" wp14:editId="1DEE4D4A">
                <wp:simplePos x="0" y="0"/>
                <wp:positionH relativeFrom="column">
                  <wp:posOffset>-913130</wp:posOffset>
                </wp:positionH>
                <wp:positionV relativeFrom="paragraph">
                  <wp:posOffset>-1099185</wp:posOffset>
                </wp:positionV>
                <wp:extent cx="7772400" cy="10515600"/>
                <wp:effectExtent l="0" t="0" r="12700" b="12700"/>
                <wp:wrapNone/>
                <wp:docPr id="403793553" name="Rectangle 2"/>
                <wp:cNvGraphicFramePr/>
                <a:graphic xmlns:a="http://schemas.openxmlformats.org/drawingml/2006/main">
                  <a:graphicData uri="http://schemas.microsoft.com/office/word/2010/wordprocessingShape">
                    <wps:wsp>
                      <wps:cNvSpPr/>
                      <wps:spPr>
                        <a:xfrm>
                          <a:off x="0" y="0"/>
                          <a:ext cx="7772400" cy="10515600"/>
                        </a:xfrm>
                        <a:prstGeom prst="rect">
                          <a:avLst/>
                        </a:prstGeom>
                        <a:solidFill>
                          <a:srgbClr val="174C3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B00E9" id="Rectangle 2" o:spid="_x0000_s1026" style="position:absolute;margin-left:-71.9pt;margin-top:-86.55pt;width:612pt;height:82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" fillcolor="#174c3c" strokecolor="#030e13 [484]" strokeweight="1pt"/>
            </w:pict>
          </mc:Fallback>
        </mc:AlternateContent>
      </w:r>
      <w:r w:rsidRPr="00010CE7">
        <w:rPr>
          <w:rFonts w:ascii="Helvetica" w:hAnsi="Helvetica"/>
          <w:noProof/>
          <w:color w:val="1A1A1A"/>
        </w:rPr>
        <w:drawing>
          <wp:inline distT="0" distB="0" distL="0" distR="0" wp14:anchorId="5AA18B32" wp14:editId="6370961E">
            <wp:extent cx="2560320" cy="595493"/>
            <wp:effectExtent l="0" t="0" r="0" b="1905"/>
            <wp:docPr id="257914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4837" name="Picture 257914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0320" cy="595493"/>
                    </a:xfrm>
                    <a:prstGeom prst="rect">
                      <a:avLst/>
                    </a:prstGeom>
                  </pic:spPr>
                </pic:pic>
              </a:graphicData>
            </a:graphic>
          </wp:inline>
        </w:drawing>
      </w:r>
    </w:p>
    <w:p w14:paraId="3072E8D0" w14:textId="77777777" w:rsidR="007D5EEB" w:rsidRPr="00010CE7" w:rsidRDefault="007D5EEB" w:rsidP="00010CE7">
      <w:pPr>
        <w:spacing w:after="0" w:line="300" w:lineRule="auto"/>
        <w:jc w:val="both"/>
        <w:rPr>
          <w:rFonts w:ascii="Helvetica" w:hAnsi="Helvetica"/>
          <w:color w:val="F7F5F2"/>
        </w:rPr>
      </w:pPr>
    </w:p>
    <w:p w14:paraId="7B2730C6" w14:textId="5888B7B8" w:rsidR="007D5EEB" w:rsidRPr="00010CE7" w:rsidRDefault="007D5EEB" w:rsidP="00010CE7">
      <w:pPr>
        <w:spacing w:after="0" w:line="300" w:lineRule="auto"/>
        <w:jc w:val="both"/>
        <w:rPr>
          <w:rFonts w:ascii="Helvetica" w:hAnsi="Helvetica"/>
          <w:color w:val="F7F5F2"/>
        </w:rPr>
      </w:pPr>
    </w:p>
    <w:p w14:paraId="52E1FB70" w14:textId="77777777" w:rsidR="00010CE7" w:rsidRDefault="00010CE7" w:rsidP="00010CE7">
      <w:pPr>
        <w:spacing w:after="0" w:line="300" w:lineRule="auto"/>
        <w:jc w:val="both"/>
        <w:rPr>
          <w:rFonts w:ascii="Helvetica" w:hAnsi="Helvetica"/>
          <w:color w:val="F7F5F2"/>
        </w:rPr>
      </w:pPr>
    </w:p>
    <w:p w14:paraId="0B20C909" w14:textId="77777777" w:rsidR="00010CE7" w:rsidRDefault="00010CE7" w:rsidP="00010CE7">
      <w:pPr>
        <w:spacing w:after="0" w:line="300" w:lineRule="auto"/>
        <w:jc w:val="both"/>
        <w:rPr>
          <w:rFonts w:ascii="Helvetica" w:hAnsi="Helvetica"/>
          <w:color w:val="F7F5F2"/>
        </w:rPr>
      </w:pPr>
    </w:p>
    <w:p w14:paraId="1071C9EB" w14:textId="77777777" w:rsidR="00010CE7" w:rsidRDefault="00010CE7" w:rsidP="00010CE7">
      <w:pPr>
        <w:spacing w:after="0" w:line="300" w:lineRule="auto"/>
        <w:jc w:val="both"/>
        <w:rPr>
          <w:rFonts w:ascii="Helvetica" w:hAnsi="Helvetica"/>
          <w:color w:val="F7F5F2"/>
          <w:sz w:val="20"/>
          <w:szCs w:val="20"/>
        </w:rPr>
      </w:pPr>
    </w:p>
    <w:p w14:paraId="7CD3298F" w14:textId="77777777" w:rsidR="00010CE7" w:rsidRDefault="00010CE7" w:rsidP="00010CE7">
      <w:pPr>
        <w:spacing w:after="0" w:line="300" w:lineRule="auto"/>
        <w:jc w:val="both"/>
        <w:rPr>
          <w:rFonts w:ascii="Helvetica" w:hAnsi="Helvetica"/>
          <w:color w:val="F7F5F2"/>
          <w:sz w:val="20"/>
          <w:szCs w:val="20"/>
        </w:rPr>
      </w:pPr>
    </w:p>
    <w:p w14:paraId="15D8E42D" w14:textId="2AA4C391" w:rsidR="007D5EEB" w:rsidRPr="00010CE7" w:rsidRDefault="00011CBD" w:rsidP="00010CE7">
      <w:pPr>
        <w:spacing w:after="0" w:line="300" w:lineRule="auto"/>
        <w:jc w:val="both"/>
        <w:rPr>
          <w:rFonts w:ascii="Helvetica" w:hAnsi="Helvetica"/>
          <w:color w:val="F7F5F2"/>
          <w:sz w:val="20"/>
          <w:szCs w:val="20"/>
        </w:rPr>
      </w:pPr>
      <w:r>
        <w:rPr>
          <w:rFonts w:ascii="Helvetica" w:hAnsi="Helvetica"/>
          <w:color w:val="F7F5F2"/>
          <w:sz w:val="20"/>
          <w:szCs w:val="20"/>
        </w:rPr>
        <w:t>ESOP Valuation</w:t>
      </w:r>
      <w:r w:rsidR="00436FFF" w:rsidRPr="00010CE7">
        <w:rPr>
          <w:rFonts w:ascii="Helvetica" w:hAnsi="Helvetica"/>
          <w:color w:val="F7F5F2"/>
          <w:sz w:val="20"/>
          <w:szCs w:val="20"/>
        </w:rPr>
        <w:t xml:space="preserve"> Advisory Report</w:t>
      </w:r>
    </w:p>
    <w:p w14:paraId="36EF4958" w14:textId="20485E72" w:rsidR="007D5EEB" w:rsidRPr="00010CE7" w:rsidRDefault="007D5EEB" w:rsidP="00010CE7">
      <w:pPr>
        <w:spacing w:after="0" w:line="300" w:lineRule="auto"/>
        <w:jc w:val="both"/>
        <w:rPr>
          <w:rFonts w:ascii="Helvetica" w:hAnsi="Helvetica"/>
          <w:color w:val="F7F5F2"/>
        </w:rPr>
      </w:pPr>
    </w:p>
    <w:p w14:paraId="257FF470" w14:textId="69EF079F" w:rsidR="007D5EEB" w:rsidRPr="00010CE7" w:rsidRDefault="00011CBD" w:rsidP="00010CE7">
      <w:pPr>
        <w:spacing w:after="0" w:line="300" w:lineRule="auto"/>
        <w:rPr>
          <w:rFonts w:ascii="Helvetica" w:hAnsi="Helvetica"/>
          <w:b/>
          <w:bCs/>
          <w:color w:val="F7F5F2"/>
          <w:sz w:val="96"/>
          <w:szCs w:val="96"/>
        </w:rPr>
      </w:pPr>
      <w:r w:rsidRPr="00011CBD">
        <w:rPr>
          <w:rFonts w:ascii="Helvetica" w:hAnsi="Helvetica"/>
          <w:b/>
          <w:bCs/>
          <w:color w:val="F7F5F2"/>
          <w:sz w:val="96"/>
          <w:szCs w:val="96"/>
        </w:rPr>
        <w:t>ESOP Compliance</w:t>
      </w:r>
      <w:r w:rsidR="00924C2A">
        <w:rPr>
          <w:rFonts w:ascii="Helvetica" w:hAnsi="Helvetica"/>
          <w:b/>
          <w:bCs/>
          <w:color w:val="F7F5F2"/>
          <w:sz w:val="96"/>
          <w:szCs w:val="96"/>
        </w:rPr>
        <w:t xml:space="preserve"> and</w:t>
      </w:r>
      <w:r w:rsidRPr="00011CBD">
        <w:rPr>
          <w:rFonts w:ascii="Helvetica" w:hAnsi="Helvetica"/>
          <w:b/>
          <w:bCs/>
          <w:color w:val="F7F5F2"/>
          <w:sz w:val="96"/>
          <w:szCs w:val="96"/>
        </w:rPr>
        <w:t xml:space="preserve"> Governance Guide</w:t>
      </w:r>
    </w:p>
    <w:p w14:paraId="0632F39E" w14:textId="77777777" w:rsidR="007D5EEB" w:rsidRPr="00010CE7" w:rsidRDefault="007D5EEB" w:rsidP="00010CE7">
      <w:pPr>
        <w:spacing w:after="0" w:line="300" w:lineRule="auto"/>
        <w:jc w:val="both"/>
        <w:rPr>
          <w:rFonts w:ascii="Helvetica" w:hAnsi="Helvetica"/>
          <w:color w:val="F7F5F2"/>
        </w:rPr>
      </w:pPr>
    </w:p>
    <w:p w14:paraId="6DEF3564" w14:textId="77777777" w:rsidR="00010CE7" w:rsidRDefault="00010CE7" w:rsidP="00010CE7">
      <w:pPr>
        <w:spacing w:after="0" w:line="300" w:lineRule="auto"/>
        <w:jc w:val="both"/>
        <w:rPr>
          <w:rFonts w:ascii="Helvetica" w:hAnsi="Helvetica"/>
          <w:color w:val="F7F5F2"/>
        </w:rPr>
      </w:pPr>
    </w:p>
    <w:p w14:paraId="24EF991F" w14:textId="582C7F86" w:rsidR="007D5EEB" w:rsidRPr="00010CE7" w:rsidRDefault="00EF5496" w:rsidP="00010CE7">
      <w:pPr>
        <w:spacing w:after="0" w:line="300" w:lineRule="auto"/>
        <w:jc w:val="both"/>
        <w:rPr>
          <w:rFonts w:ascii="Helvetica" w:hAnsi="Helvetica"/>
          <w:color w:val="E5E5E5"/>
        </w:rPr>
      </w:pPr>
      <w:r w:rsidRPr="00EF5496">
        <w:rPr>
          <w:rFonts w:ascii="Helvetica" w:hAnsi="Helvetica"/>
          <w:color w:val="E5E5E5"/>
        </w:rPr>
        <w:t>Prepared for founders and finance leaders who already have an Employee Share Option Plan and need to close the valuation, audit, and governance gap.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tblGrid>
      <w:tr w:rsidR="007D5EEB" w:rsidRPr="00010CE7" w14:paraId="5965C067" w14:textId="77777777" w:rsidTr="007D5EEB">
        <w:tc>
          <w:tcPr>
            <w:tcW w:w="1440" w:type="dxa"/>
            <w:tcBorders>
              <w:bottom w:val="single" w:sz="24" w:space="0" w:color="F7F5F2"/>
            </w:tcBorders>
          </w:tcPr>
          <w:p w14:paraId="4E2415D1" w14:textId="77777777" w:rsidR="007D5EEB" w:rsidRPr="00010CE7" w:rsidRDefault="007D5EEB" w:rsidP="00010CE7">
            <w:pPr>
              <w:spacing w:line="300" w:lineRule="auto"/>
              <w:jc w:val="both"/>
              <w:rPr>
                <w:rFonts w:ascii="Helvetica" w:hAnsi="Helvetica"/>
                <w:color w:val="F7F5F2"/>
              </w:rPr>
            </w:pPr>
          </w:p>
        </w:tc>
      </w:tr>
      <w:tr w:rsidR="007D5EEB" w:rsidRPr="00010CE7" w14:paraId="35C8C6CE" w14:textId="77777777" w:rsidTr="007D5EEB">
        <w:trPr>
          <w:trHeight w:val="60"/>
        </w:trPr>
        <w:tc>
          <w:tcPr>
            <w:tcW w:w="1440" w:type="dxa"/>
            <w:tcBorders>
              <w:top w:val="single" w:sz="24" w:space="0" w:color="F7F5F2"/>
            </w:tcBorders>
          </w:tcPr>
          <w:p w14:paraId="2F930237" w14:textId="77777777" w:rsidR="007D5EEB" w:rsidRPr="00010CE7" w:rsidRDefault="007D5EEB" w:rsidP="00010CE7">
            <w:pPr>
              <w:spacing w:line="300" w:lineRule="auto"/>
              <w:jc w:val="both"/>
              <w:rPr>
                <w:rFonts w:ascii="Helvetica" w:hAnsi="Helvetica"/>
                <w:color w:val="F7F5F2"/>
              </w:rPr>
            </w:pPr>
          </w:p>
        </w:tc>
      </w:tr>
    </w:tbl>
    <w:p w14:paraId="1052098C" w14:textId="77777777" w:rsidR="007D5EEB" w:rsidRPr="00010CE7" w:rsidRDefault="007D5EEB" w:rsidP="00010CE7">
      <w:pPr>
        <w:spacing w:after="0" w:line="300" w:lineRule="auto"/>
        <w:jc w:val="both"/>
        <w:rPr>
          <w:rFonts w:ascii="Helvetica" w:hAnsi="Helvetica"/>
          <w:color w:val="F7F5F2"/>
        </w:rPr>
      </w:pPr>
    </w:p>
    <w:p w14:paraId="12FA37EE" w14:textId="537E0543" w:rsidR="00436FFF" w:rsidRPr="00924C2A" w:rsidRDefault="007D5EEB" w:rsidP="00010CE7">
      <w:pPr>
        <w:spacing w:after="0" w:line="300" w:lineRule="auto"/>
        <w:jc w:val="both"/>
        <w:rPr>
          <w:rFonts w:ascii="Helvetica" w:hAnsi="Helvetica"/>
          <w:color w:val="F7F5F2"/>
          <w:sz w:val="20"/>
          <w:szCs w:val="20"/>
        </w:rPr>
      </w:pPr>
      <w:r w:rsidRPr="00010CE7">
        <w:rPr>
          <w:rFonts w:ascii="Helvetica" w:hAnsi="Helvetica"/>
          <w:color w:val="F7F5F2"/>
          <w:sz w:val="20"/>
          <w:szCs w:val="20"/>
        </w:rPr>
        <w:t>Prepared by: Bain Squared Valuation Advisory</w:t>
      </w:r>
    </w:p>
    <w:p w14:paraId="5205B35A" w14:textId="77777777" w:rsidR="00436FFF" w:rsidRPr="00010CE7" w:rsidRDefault="00436FFF" w:rsidP="00010CE7">
      <w:pPr>
        <w:spacing w:after="0" w:line="300" w:lineRule="auto"/>
        <w:jc w:val="both"/>
        <w:rPr>
          <w:rFonts w:ascii="Helvetica" w:hAnsi="Helvetica"/>
          <w:color w:val="F7F5F2"/>
        </w:rPr>
      </w:pPr>
    </w:p>
    <w:p w14:paraId="14A064F6" w14:textId="5B6A3EDF" w:rsidR="008607D3" w:rsidRPr="00924C2A" w:rsidRDefault="00011CBD" w:rsidP="00924C2A">
      <w:pPr>
        <w:spacing w:after="0" w:line="300" w:lineRule="auto"/>
        <w:jc w:val="both"/>
        <w:rPr>
          <w:rFonts w:ascii="Helvetica" w:hAnsi="Helvetica"/>
          <w:i/>
          <w:iCs/>
          <w:color w:val="F7F5F2"/>
          <w:sz w:val="20"/>
          <w:szCs w:val="20"/>
        </w:rPr>
      </w:pPr>
      <w:r w:rsidRPr="00011CBD">
        <w:rPr>
          <w:rFonts w:ascii="Helvetica" w:hAnsi="Helvetica"/>
          <w:i/>
          <w:iCs/>
          <w:color w:val="F7F5F2"/>
          <w:sz w:val="20"/>
          <w:szCs w:val="20"/>
        </w:rPr>
        <w:t>Important notice: This guide is general guidance based on assessment responses. It is not a valuation report, audit opinion, legal advice, tax advice, investment advice, or employee communication advice. Formal advice requires a separate engagement and review of source documentation. For legal, tax, audit, or corporate secretarial matters, consult the relevant qualified professional</w:t>
      </w:r>
    </w:p>
    <w:p w14:paraId="5FCA971A" w14:textId="53470F49" w:rsidR="000025CE" w:rsidRPr="00010CE7" w:rsidRDefault="000025CE" w:rsidP="000025CE">
      <w:pPr>
        <w:spacing w:after="0" w:line="240" w:lineRule="auto"/>
        <w:jc w:val="both"/>
        <w:rPr>
          <w:rFonts w:ascii="Helvetica" w:hAnsi="Helvetica"/>
          <w:color w:val="174C3C"/>
          <w:sz w:val="40"/>
          <w:szCs w:val="40"/>
        </w:rPr>
      </w:pPr>
      <w:r w:rsidRPr="000025CE">
        <w:rPr>
          <w:rFonts w:ascii="Helvetica" w:hAnsi="Helvetica"/>
          <w:color w:val="174C3C"/>
          <w:sz w:val="40"/>
          <w:szCs w:val="40"/>
        </w:rPr>
        <w:lastRenderedPageBreak/>
        <w:t>Your Assessment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25CE" w:rsidRPr="00010CE7" w14:paraId="61BB9E85" w14:textId="77777777" w:rsidTr="00527C4E">
        <w:tc>
          <w:tcPr>
            <w:tcW w:w="9350" w:type="dxa"/>
            <w:tcBorders>
              <w:bottom w:val="single" w:sz="6" w:space="0" w:color="E5E5E5"/>
            </w:tcBorders>
          </w:tcPr>
          <w:p w14:paraId="7A13B960" w14:textId="77777777" w:rsidR="000025CE" w:rsidRPr="00010CE7" w:rsidRDefault="000025CE" w:rsidP="00527C4E">
            <w:pPr>
              <w:spacing w:line="300" w:lineRule="auto"/>
              <w:jc w:val="both"/>
              <w:rPr>
                <w:rFonts w:ascii="Helvetica" w:hAnsi="Helvetica"/>
                <w:color w:val="1A1A1A"/>
              </w:rPr>
            </w:pPr>
          </w:p>
        </w:tc>
      </w:tr>
      <w:tr w:rsidR="000025CE" w:rsidRPr="00010CE7" w14:paraId="77FC2B0B" w14:textId="77777777" w:rsidTr="00527C4E">
        <w:trPr>
          <w:trHeight w:val="60"/>
        </w:trPr>
        <w:tc>
          <w:tcPr>
            <w:tcW w:w="9350" w:type="dxa"/>
            <w:tcBorders>
              <w:top w:val="single" w:sz="6" w:space="0" w:color="E5E5E5"/>
            </w:tcBorders>
          </w:tcPr>
          <w:p w14:paraId="75BD3DE3" w14:textId="77777777" w:rsidR="000025CE" w:rsidRPr="00010CE7" w:rsidRDefault="000025CE" w:rsidP="00527C4E">
            <w:pPr>
              <w:spacing w:line="300" w:lineRule="auto"/>
              <w:jc w:val="both"/>
              <w:rPr>
                <w:rFonts w:ascii="Helvetica" w:hAnsi="Helvetica"/>
                <w:color w:val="1A1A1A"/>
              </w:rPr>
            </w:pPr>
          </w:p>
        </w:tc>
      </w:tr>
    </w:tbl>
    <w:p w14:paraId="200C2F52" w14:textId="390A855F" w:rsidR="000025CE" w:rsidRDefault="00EF5496" w:rsidP="000025CE">
      <w:pPr>
        <w:spacing w:after="0" w:line="300" w:lineRule="auto"/>
        <w:jc w:val="both"/>
        <w:rPr>
          <w:rFonts w:ascii="Helvetica" w:hAnsi="Helvetica"/>
          <w:color w:val="1A1A1A"/>
        </w:rPr>
      </w:pPr>
      <w:r w:rsidRPr="00EF5496">
        <w:rPr>
          <w:rFonts w:ascii="Helvetica" w:hAnsi="Helvetica"/>
          <w:color w:val="1A1A1A"/>
        </w:rPr>
        <w:t>Based on your responses, you already have an ESOP in place. However, your answers indicate potential exposure regarding how the strike price is supported, how the valuation is explained to employees, or how the plan holds up under audit and investor review. This guide addresses how to secure your current plan.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25CE" w:rsidRPr="00010CE7" w14:paraId="0F6E7B6C" w14:textId="77777777" w:rsidTr="00527C4E">
        <w:tc>
          <w:tcPr>
            <w:tcW w:w="9350" w:type="dxa"/>
          </w:tcPr>
          <w:p w14:paraId="3F3C82B0" w14:textId="77777777" w:rsidR="000025CE" w:rsidRPr="00010CE7" w:rsidRDefault="000025CE" w:rsidP="00527C4E">
            <w:pPr>
              <w:spacing w:line="300" w:lineRule="auto"/>
              <w:jc w:val="both"/>
              <w:rPr>
                <w:rFonts w:ascii="Helvetica" w:hAnsi="Helvetica"/>
                <w:color w:val="1A1A1A"/>
              </w:rPr>
            </w:pPr>
          </w:p>
        </w:tc>
      </w:tr>
      <w:tr w:rsidR="000025CE" w:rsidRPr="00010CE7" w14:paraId="338E8FF8" w14:textId="77777777" w:rsidTr="00527C4E">
        <w:trPr>
          <w:trHeight w:val="60"/>
        </w:trPr>
        <w:tc>
          <w:tcPr>
            <w:tcW w:w="9350" w:type="dxa"/>
          </w:tcPr>
          <w:p w14:paraId="1C819DC7" w14:textId="77777777" w:rsidR="000025CE" w:rsidRPr="00010CE7" w:rsidRDefault="000025CE" w:rsidP="00527C4E">
            <w:pPr>
              <w:spacing w:line="300" w:lineRule="auto"/>
              <w:jc w:val="both"/>
              <w:rPr>
                <w:rFonts w:ascii="Helvetica" w:hAnsi="Helvetica"/>
                <w:color w:val="1A1A1A"/>
              </w:rPr>
            </w:pPr>
          </w:p>
        </w:tc>
      </w:tr>
    </w:tbl>
    <w:p w14:paraId="4D2BF309" w14:textId="70CD7222" w:rsidR="000E14BB" w:rsidRPr="00010CE7" w:rsidRDefault="000E14BB" w:rsidP="000E14BB">
      <w:pPr>
        <w:spacing w:after="0" w:line="300" w:lineRule="auto"/>
        <w:jc w:val="both"/>
        <w:rPr>
          <w:rFonts w:ascii="Helvetica" w:hAnsi="Helvetica"/>
          <w:color w:val="1A1A1A"/>
          <w:sz w:val="20"/>
          <w:szCs w:val="20"/>
        </w:rPr>
      </w:pPr>
      <w:r w:rsidRPr="00010CE7">
        <w:rPr>
          <w:rFonts w:ascii="Helvetica" w:hAnsi="Helvetica"/>
          <w:color w:val="1A1A1A"/>
          <w:sz w:val="20"/>
          <w:szCs w:val="20"/>
        </w:rPr>
        <w:t>Section 01</w:t>
      </w:r>
    </w:p>
    <w:p w14:paraId="2A1773E4" w14:textId="77777777" w:rsidR="000E14BB" w:rsidRPr="00010CE7" w:rsidRDefault="000E14BB" w:rsidP="000E14BB">
      <w:pPr>
        <w:spacing w:after="0" w:line="300" w:lineRule="auto"/>
        <w:jc w:val="both"/>
        <w:rPr>
          <w:rFonts w:ascii="Helvetica" w:hAnsi="Helvetica"/>
          <w:color w:val="1A1A1A"/>
        </w:rPr>
      </w:pPr>
    </w:p>
    <w:p w14:paraId="60C5C093" w14:textId="0E04057F" w:rsidR="000E14BB" w:rsidRPr="00010CE7" w:rsidRDefault="007A6F1C" w:rsidP="000E14BB">
      <w:pPr>
        <w:spacing w:after="0" w:line="240" w:lineRule="auto"/>
        <w:jc w:val="both"/>
        <w:rPr>
          <w:rFonts w:ascii="Helvetica" w:hAnsi="Helvetica"/>
          <w:color w:val="174C3C"/>
          <w:sz w:val="40"/>
          <w:szCs w:val="40"/>
        </w:rPr>
      </w:pPr>
      <w:r w:rsidRPr="007A6F1C">
        <w:rPr>
          <w:rFonts w:ascii="Helvetica" w:hAnsi="Helvetica"/>
          <w:color w:val="174C3C"/>
          <w:sz w:val="40"/>
          <w:szCs w:val="40"/>
        </w:rPr>
        <w:t>You have already taken the important step.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E14BB" w:rsidRPr="00010CE7" w14:paraId="635E7D51" w14:textId="77777777" w:rsidTr="00C9796D">
        <w:tc>
          <w:tcPr>
            <w:tcW w:w="9350" w:type="dxa"/>
            <w:tcBorders>
              <w:bottom w:val="single" w:sz="6" w:space="0" w:color="E5E5E5"/>
            </w:tcBorders>
          </w:tcPr>
          <w:p w14:paraId="1D79C3F0" w14:textId="77777777" w:rsidR="000E14BB" w:rsidRPr="00010CE7" w:rsidRDefault="000E14BB" w:rsidP="00C9796D">
            <w:pPr>
              <w:spacing w:line="300" w:lineRule="auto"/>
              <w:jc w:val="both"/>
              <w:rPr>
                <w:rFonts w:ascii="Helvetica" w:hAnsi="Helvetica"/>
                <w:color w:val="1A1A1A"/>
              </w:rPr>
            </w:pPr>
          </w:p>
        </w:tc>
      </w:tr>
      <w:tr w:rsidR="000E14BB" w:rsidRPr="00010CE7" w14:paraId="34A4DFB1" w14:textId="77777777" w:rsidTr="00C9796D">
        <w:trPr>
          <w:trHeight w:val="60"/>
        </w:trPr>
        <w:tc>
          <w:tcPr>
            <w:tcW w:w="9350" w:type="dxa"/>
            <w:tcBorders>
              <w:top w:val="single" w:sz="6" w:space="0" w:color="E5E5E5"/>
            </w:tcBorders>
          </w:tcPr>
          <w:p w14:paraId="3AFA6FEE" w14:textId="77777777" w:rsidR="000E14BB" w:rsidRPr="00010CE7" w:rsidRDefault="000E14BB" w:rsidP="00C9796D">
            <w:pPr>
              <w:spacing w:line="300" w:lineRule="auto"/>
              <w:jc w:val="both"/>
              <w:rPr>
                <w:rFonts w:ascii="Helvetica" w:hAnsi="Helvetica"/>
                <w:color w:val="1A1A1A"/>
              </w:rPr>
            </w:pPr>
          </w:p>
        </w:tc>
      </w:tr>
    </w:tbl>
    <w:p w14:paraId="1ECE5786" w14:textId="7C120F1D" w:rsidR="007A6F1C" w:rsidRPr="007A6F1C" w:rsidRDefault="007A6F1C" w:rsidP="007A6F1C">
      <w:pPr>
        <w:spacing w:after="0" w:line="300" w:lineRule="auto"/>
        <w:jc w:val="both"/>
        <w:rPr>
          <w:rFonts w:ascii="Helvetica" w:hAnsi="Helvetica"/>
          <w:color w:val="1A1A1A"/>
        </w:rPr>
      </w:pPr>
      <w:r w:rsidRPr="007A6F1C">
        <w:rPr>
          <w:rFonts w:ascii="Helvetica" w:hAnsi="Helvetica"/>
          <w:color w:val="1A1A1A"/>
        </w:rPr>
        <w:t>Setting up an Employee Share Option Plan is not a small decision. It tells your team that the company is being built for long term value, and that the people helping to create that value should share in the upside.</w:t>
      </w:r>
      <w:r w:rsidR="00AE44B6">
        <w:rPr>
          <w:rFonts w:ascii="Helvetica" w:hAnsi="Helvetica"/>
          <w:color w:val="1A1A1A"/>
        </w:rPr>
        <w:t xml:space="preserve"> </w:t>
      </w:r>
      <w:r w:rsidRPr="007A6F1C">
        <w:rPr>
          <w:rFonts w:ascii="Helvetica" w:hAnsi="Helvetica"/>
          <w:color w:val="1A1A1A"/>
        </w:rPr>
        <w:t>But an ESOP without a formal, independent valuation is a governance structure with a missing foundation. The plan may exist legally, the cap table may be updated, and employees may already have received grant letters. None of that means the strike price is defensible.</w:t>
      </w:r>
    </w:p>
    <w:p w14:paraId="3401E0B5" w14:textId="77777777" w:rsidR="007A6F1C" w:rsidRDefault="007A6F1C" w:rsidP="007A6F1C">
      <w:pPr>
        <w:spacing w:after="0" w:line="300" w:lineRule="auto"/>
        <w:jc w:val="both"/>
        <w:rPr>
          <w:rFonts w:ascii="Helvetica" w:hAnsi="Helvetica"/>
          <w:color w:val="1A1A1A"/>
        </w:rPr>
      </w:pPr>
    </w:p>
    <w:p w14:paraId="0DE5E7CA" w14:textId="384B18C4" w:rsidR="000E14BB" w:rsidRPr="000E14BB" w:rsidRDefault="007A6F1C" w:rsidP="007A6F1C">
      <w:pPr>
        <w:spacing w:after="0" w:line="300" w:lineRule="auto"/>
        <w:jc w:val="both"/>
        <w:rPr>
          <w:rFonts w:ascii="Helvetica" w:hAnsi="Helvetica"/>
          <w:color w:val="1A1A1A"/>
        </w:rPr>
      </w:pPr>
      <w:r w:rsidRPr="007A6F1C">
        <w:rPr>
          <w:rFonts w:ascii="Helvetica" w:hAnsi="Helvetica"/>
          <w:color w:val="1A1A1A"/>
        </w:rPr>
        <w:t>This guide explains why the valuation matters, where the compliance and governance risks usually appear, and what to do next if you already have an ESOP in place but have not completed a formal independent 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E14BB" w:rsidRPr="00010CE7" w14:paraId="121B1527" w14:textId="77777777" w:rsidTr="00C9796D">
        <w:tc>
          <w:tcPr>
            <w:tcW w:w="9350" w:type="dxa"/>
          </w:tcPr>
          <w:p w14:paraId="6BDCD66D" w14:textId="77777777" w:rsidR="000E14BB" w:rsidRPr="00010CE7" w:rsidRDefault="000E14BB" w:rsidP="00C9796D">
            <w:pPr>
              <w:spacing w:line="300" w:lineRule="auto"/>
              <w:jc w:val="both"/>
              <w:rPr>
                <w:rFonts w:ascii="Helvetica" w:hAnsi="Helvetica"/>
                <w:color w:val="1A1A1A"/>
              </w:rPr>
            </w:pPr>
          </w:p>
        </w:tc>
      </w:tr>
      <w:tr w:rsidR="000E14BB" w:rsidRPr="00010CE7" w14:paraId="129EC3BD" w14:textId="77777777" w:rsidTr="00C9796D">
        <w:trPr>
          <w:trHeight w:val="60"/>
        </w:trPr>
        <w:tc>
          <w:tcPr>
            <w:tcW w:w="9350" w:type="dxa"/>
          </w:tcPr>
          <w:p w14:paraId="34072EE5" w14:textId="77777777" w:rsidR="000E14BB" w:rsidRPr="00010CE7" w:rsidRDefault="000E14BB" w:rsidP="00C9796D">
            <w:pPr>
              <w:spacing w:line="300" w:lineRule="auto"/>
              <w:jc w:val="both"/>
              <w:rPr>
                <w:rFonts w:ascii="Helvetica" w:hAnsi="Helvetica"/>
                <w:color w:val="1A1A1A"/>
              </w:rPr>
            </w:pPr>
          </w:p>
        </w:tc>
      </w:tr>
    </w:tbl>
    <w:p w14:paraId="0608B6E6" w14:textId="231F617A" w:rsidR="006A7B5C" w:rsidRPr="00010CE7" w:rsidRDefault="006A7B5C" w:rsidP="00010CE7">
      <w:pPr>
        <w:spacing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0E14BB">
        <w:rPr>
          <w:rFonts w:ascii="Helvetica" w:hAnsi="Helvetica"/>
          <w:color w:val="1A1A1A"/>
          <w:sz w:val="20"/>
          <w:szCs w:val="20"/>
        </w:rPr>
        <w:t>2</w:t>
      </w:r>
    </w:p>
    <w:p w14:paraId="01D4D23B" w14:textId="77777777" w:rsidR="00010CE7" w:rsidRPr="00010CE7" w:rsidRDefault="00010CE7" w:rsidP="00010CE7">
      <w:pPr>
        <w:spacing w:after="0" w:line="300" w:lineRule="auto"/>
        <w:jc w:val="both"/>
        <w:rPr>
          <w:rFonts w:ascii="Helvetica" w:hAnsi="Helvetica"/>
          <w:color w:val="1A1A1A"/>
        </w:rPr>
      </w:pPr>
    </w:p>
    <w:p w14:paraId="1880C4A8" w14:textId="2AB01468" w:rsidR="00FF57BA" w:rsidRPr="00010CE7" w:rsidRDefault="00011CBD" w:rsidP="00010CE7">
      <w:pPr>
        <w:spacing w:after="0" w:line="240" w:lineRule="auto"/>
        <w:jc w:val="both"/>
        <w:rPr>
          <w:rFonts w:ascii="Helvetica" w:hAnsi="Helvetica"/>
          <w:color w:val="174C3C"/>
          <w:sz w:val="40"/>
          <w:szCs w:val="40"/>
        </w:rPr>
      </w:pPr>
      <w:r w:rsidRPr="00011CBD">
        <w:rPr>
          <w:rFonts w:ascii="Helvetica" w:hAnsi="Helvetica"/>
          <w:color w:val="174C3C"/>
          <w:sz w:val="40"/>
          <w:szCs w:val="40"/>
        </w:rPr>
        <w:t>Why is ESOP valuation not optional?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A7B5C" w:rsidRPr="00010CE7" w14:paraId="699247C5" w14:textId="77777777" w:rsidTr="00D25791">
        <w:tc>
          <w:tcPr>
            <w:tcW w:w="9350" w:type="dxa"/>
            <w:tcBorders>
              <w:bottom w:val="single" w:sz="6" w:space="0" w:color="E5E5E5"/>
            </w:tcBorders>
          </w:tcPr>
          <w:p w14:paraId="2FDA6CF2" w14:textId="77777777" w:rsidR="006A7B5C" w:rsidRPr="00010CE7" w:rsidRDefault="006A7B5C" w:rsidP="00010CE7">
            <w:pPr>
              <w:spacing w:line="300" w:lineRule="auto"/>
              <w:jc w:val="both"/>
              <w:rPr>
                <w:rFonts w:ascii="Helvetica" w:hAnsi="Helvetica"/>
                <w:color w:val="1A1A1A"/>
              </w:rPr>
            </w:pPr>
          </w:p>
        </w:tc>
      </w:tr>
      <w:tr w:rsidR="006A7B5C" w:rsidRPr="00010CE7" w14:paraId="4B3C5D20" w14:textId="77777777" w:rsidTr="00D25791">
        <w:trPr>
          <w:trHeight w:val="60"/>
        </w:trPr>
        <w:tc>
          <w:tcPr>
            <w:tcW w:w="9350" w:type="dxa"/>
            <w:tcBorders>
              <w:top w:val="single" w:sz="6" w:space="0" w:color="E5E5E5"/>
            </w:tcBorders>
          </w:tcPr>
          <w:p w14:paraId="34375ECB" w14:textId="77777777" w:rsidR="0025713E" w:rsidRPr="00010CE7" w:rsidRDefault="0025713E" w:rsidP="00010CE7">
            <w:pPr>
              <w:spacing w:line="300" w:lineRule="auto"/>
              <w:jc w:val="both"/>
              <w:rPr>
                <w:rFonts w:ascii="Helvetica" w:hAnsi="Helvetica"/>
                <w:color w:val="1A1A1A"/>
              </w:rPr>
            </w:pPr>
          </w:p>
        </w:tc>
      </w:tr>
    </w:tbl>
    <w:p w14:paraId="349A2F92" w14:textId="77777777" w:rsidR="007A6F1C" w:rsidRDefault="007A6F1C" w:rsidP="007A6F1C">
      <w:pPr>
        <w:spacing w:after="0" w:line="300" w:lineRule="auto"/>
        <w:jc w:val="both"/>
        <w:rPr>
          <w:rFonts w:ascii="Helvetica" w:hAnsi="Helvetica"/>
          <w:color w:val="1A1A1A"/>
        </w:rPr>
      </w:pPr>
      <w:r w:rsidRPr="007A6F1C">
        <w:rPr>
          <w:rFonts w:ascii="Helvetica" w:hAnsi="Helvetica"/>
          <w:color w:val="1A1A1A"/>
        </w:rPr>
        <w:t xml:space="preserve">When a company issues employee stock options, it sets a strike price. That is the price employees will eventually pay to purchase shares if their options vest and they decide to </w:t>
      </w:r>
      <w:r w:rsidRPr="007A6F1C">
        <w:rPr>
          <w:rFonts w:ascii="Helvetica" w:hAnsi="Helvetica"/>
          <w:color w:val="1A1A1A"/>
        </w:rPr>
        <w:lastRenderedPageBreak/>
        <w:t>exercise. The strike price is not just an administrative input. It affects accounting, tax, employee trust, investor diligence, and dilution.</w:t>
      </w:r>
    </w:p>
    <w:p w14:paraId="5846FED2" w14:textId="77777777" w:rsidR="007A6F1C" w:rsidRPr="007A6F1C" w:rsidRDefault="007A6F1C" w:rsidP="007A6F1C">
      <w:pPr>
        <w:spacing w:after="0" w:line="300" w:lineRule="auto"/>
        <w:jc w:val="both"/>
        <w:rPr>
          <w:rFonts w:ascii="Helvetica" w:hAnsi="Helvetica"/>
          <w:color w:val="1A1A1A"/>
        </w:rPr>
      </w:pPr>
    </w:p>
    <w:p w14:paraId="1A1FB71A" w14:textId="43A7DBB5" w:rsidR="007A6F1C" w:rsidRPr="007A6F1C" w:rsidRDefault="007A6F1C" w:rsidP="007A6F1C">
      <w:pPr>
        <w:spacing w:after="0" w:line="300" w:lineRule="auto"/>
        <w:jc w:val="both"/>
        <w:rPr>
          <w:rFonts w:ascii="Helvetica" w:hAnsi="Helvetica"/>
          <w:color w:val="1A1A1A"/>
        </w:rPr>
      </w:pPr>
      <w:r w:rsidRPr="007A6F1C">
        <w:rPr>
          <w:rFonts w:ascii="Helvetica" w:hAnsi="Helvetica"/>
          <w:color w:val="1A1A1A"/>
        </w:rPr>
        <w:t>The number needs to come from somewhere credible. If it comes from an internal estimate, a founder view, a recent fundraising price used without adjustment, or a cap table system that simply records what management entered, it is exposed to challenge. In Singapore, that exposure matters because ESOP valuation touches SFRS(I) 2 or IFRS 2 accounting, audit review, IRAS tax treatment, and investor governance expectations.</w:t>
      </w:r>
    </w:p>
    <w:p w14:paraId="4DC029BA" w14:textId="5864174C" w:rsidR="007A6F1C" w:rsidRDefault="007A6F1C" w:rsidP="007A6F1C">
      <w:pPr>
        <w:spacing w:after="0" w:line="300" w:lineRule="auto"/>
        <w:jc w:val="both"/>
        <w:rPr>
          <w:rFonts w:ascii="Helvetica" w:hAnsi="Helvetica"/>
          <w:color w:val="1A1A1A"/>
        </w:rPr>
      </w:pPr>
      <w:r w:rsidRPr="007A6F1C">
        <w:rPr>
          <w:rFonts w:ascii="Helvetica" w:hAnsi="Helvetica"/>
          <w:color w:val="1A1A1A"/>
        </w:rPr>
        <w:t>A formal ESOP valuation normally combines a valuation of the underlying shares with an option pricing model such as Black Scholes or a binomial model. Black Scholes is commonly used for simpler option structures, while binomial models are better suited where vesting, exercise behavior, or scenario assumptions are more complex. The output is not just a number. It is a documented basis for why that number is reasonable at the grant date.</w:t>
      </w:r>
    </w:p>
    <w:p w14:paraId="25C12A37" w14:textId="77777777" w:rsidR="007A6F1C" w:rsidRPr="007A6F1C" w:rsidRDefault="007A6F1C" w:rsidP="007A6F1C">
      <w:pPr>
        <w:spacing w:after="0" w:line="300" w:lineRule="auto"/>
        <w:jc w:val="both"/>
        <w:rPr>
          <w:rFonts w:ascii="Helvetica" w:hAnsi="Helvetica"/>
          <w:color w:val="1A1A1A"/>
        </w:rPr>
      </w:pPr>
    </w:p>
    <w:p w14:paraId="5BA07B8F" w14:textId="600D90C5" w:rsidR="00011CBD" w:rsidRDefault="007A6F1C" w:rsidP="007A6F1C">
      <w:pPr>
        <w:spacing w:after="0" w:line="300" w:lineRule="auto"/>
        <w:jc w:val="both"/>
        <w:rPr>
          <w:rFonts w:ascii="Helvetica" w:hAnsi="Helvetica"/>
          <w:color w:val="1A1A1A"/>
        </w:rPr>
      </w:pPr>
      <w:r w:rsidRPr="007A6F1C">
        <w:rPr>
          <w:rFonts w:ascii="Helvetica" w:hAnsi="Helvetica"/>
          <w:color w:val="1A1A1A"/>
        </w:rPr>
        <w:t>Without that documentation, several risks can surface at once.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84"/>
      </w:tblGrid>
      <w:tr w:rsidR="00011CBD" w:rsidRPr="00010CE7" w14:paraId="70C5665E" w14:textId="77777777" w:rsidTr="00011CBD">
        <w:tc>
          <w:tcPr>
            <w:tcW w:w="5000" w:type="pct"/>
            <w:gridSpan w:val="2"/>
          </w:tcPr>
          <w:p w14:paraId="41518E1B" w14:textId="77777777" w:rsidR="00011CBD" w:rsidRPr="00010CE7" w:rsidRDefault="00011CBD" w:rsidP="00C9796D">
            <w:pPr>
              <w:spacing w:line="300" w:lineRule="auto"/>
              <w:jc w:val="both"/>
              <w:rPr>
                <w:rFonts w:ascii="Helvetica" w:hAnsi="Helvetica"/>
                <w:color w:val="1A1A1A"/>
              </w:rPr>
            </w:pPr>
          </w:p>
        </w:tc>
      </w:tr>
      <w:tr w:rsidR="00011CBD" w:rsidRPr="00010CE7" w14:paraId="55E8B743" w14:textId="77777777" w:rsidTr="00011CBD">
        <w:trPr>
          <w:trHeight w:val="60"/>
        </w:trPr>
        <w:tc>
          <w:tcPr>
            <w:tcW w:w="5000" w:type="pct"/>
            <w:gridSpan w:val="2"/>
          </w:tcPr>
          <w:p w14:paraId="5FF505B4" w14:textId="77777777" w:rsidR="00011CBD" w:rsidRPr="00010CE7" w:rsidRDefault="00011CBD" w:rsidP="00C9796D">
            <w:pPr>
              <w:spacing w:line="300" w:lineRule="auto"/>
              <w:jc w:val="both"/>
              <w:rPr>
                <w:rFonts w:ascii="Helvetica" w:hAnsi="Helvetica"/>
                <w:color w:val="1A1A1A"/>
              </w:rPr>
            </w:pPr>
          </w:p>
        </w:tc>
      </w:tr>
      <w:tr w:rsidR="00011CBD" w:rsidRPr="00010CE7" w14:paraId="2A5F1C42" w14:textId="77777777" w:rsidTr="00011CB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174C3C"/>
            <w:vAlign w:val="center"/>
          </w:tcPr>
          <w:p w14:paraId="5BCB5C41" w14:textId="4DB1CA79" w:rsidR="00011CBD" w:rsidRPr="00010CE7" w:rsidRDefault="00011CBD" w:rsidP="000E14BB">
            <w:pPr>
              <w:spacing w:line="300" w:lineRule="auto"/>
              <w:rPr>
                <w:rFonts w:ascii="Helvetica" w:hAnsi="Helvetica"/>
                <w:color w:val="1A1A1A"/>
              </w:rPr>
            </w:pPr>
            <w:r w:rsidRPr="00011CBD">
              <w:rPr>
                <w:rFonts w:ascii="Helvetica" w:hAnsi="Helvetica"/>
                <w:b/>
                <w:color w:val="F7F5F2"/>
              </w:rPr>
              <w:t>Where the issue appears</w:t>
            </w:r>
          </w:p>
        </w:tc>
        <w:tc>
          <w:tcPr>
            <w:tcW w:w="2502" w:type="pct"/>
            <w:shd w:val="clear" w:color="auto" w:fill="174C3C"/>
            <w:vAlign w:val="center"/>
          </w:tcPr>
          <w:p w14:paraId="239F1E6E" w14:textId="2856FDEC" w:rsidR="00011CBD" w:rsidRPr="00010CE7" w:rsidRDefault="00011CBD" w:rsidP="000E14BB">
            <w:pPr>
              <w:spacing w:line="300" w:lineRule="auto"/>
              <w:rPr>
                <w:rFonts w:ascii="Helvetica" w:hAnsi="Helvetica"/>
                <w:color w:val="1A1A1A"/>
              </w:rPr>
            </w:pPr>
            <w:r w:rsidRPr="00011CBD">
              <w:rPr>
                <w:rFonts w:ascii="Helvetica" w:hAnsi="Helvetica"/>
                <w:b/>
                <w:color w:val="F7F5F2"/>
              </w:rPr>
              <w:t>What usually gets challenged</w:t>
            </w:r>
          </w:p>
        </w:tc>
      </w:tr>
      <w:tr w:rsidR="00011CBD" w:rsidRPr="00010CE7" w14:paraId="0A38A93E" w14:textId="77777777" w:rsidTr="00011CB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1DCBCF98" w14:textId="1AC6F62B" w:rsidR="00011CBD" w:rsidRPr="00010CE7" w:rsidRDefault="00011CBD" w:rsidP="000E14BB">
            <w:pPr>
              <w:spacing w:line="300" w:lineRule="auto"/>
              <w:rPr>
                <w:rFonts w:ascii="Helvetica" w:hAnsi="Helvetica"/>
                <w:color w:val="1A1A1A"/>
              </w:rPr>
            </w:pPr>
            <w:r w:rsidRPr="00011CBD">
              <w:rPr>
                <w:rFonts w:ascii="Helvetica" w:hAnsi="Helvetica"/>
                <w:b/>
                <w:color w:val="1A1A1A"/>
              </w:rPr>
              <w:t>Audit</w:t>
            </w:r>
          </w:p>
        </w:tc>
        <w:tc>
          <w:tcPr>
            <w:tcW w:w="2502" w:type="pct"/>
            <w:shd w:val="clear" w:color="auto" w:fill="F7F5F2"/>
            <w:vAlign w:val="center"/>
          </w:tcPr>
          <w:p w14:paraId="2EE7B5DD" w14:textId="758C0287" w:rsidR="00011CBD" w:rsidRPr="00010CE7" w:rsidRDefault="00011CBD" w:rsidP="000E14BB">
            <w:pPr>
              <w:spacing w:line="300" w:lineRule="auto"/>
              <w:rPr>
                <w:rFonts w:ascii="Helvetica" w:hAnsi="Helvetica"/>
                <w:color w:val="1A1A1A"/>
              </w:rPr>
            </w:pPr>
            <w:r w:rsidRPr="00011CBD">
              <w:rPr>
                <w:rFonts w:ascii="Helvetica" w:hAnsi="Helvetica"/>
                <w:color w:val="1A1A1A"/>
              </w:rPr>
              <w:t>Share based compensation expense, grant date assumptions, and option pricing support</w:t>
            </w:r>
          </w:p>
        </w:tc>
      </w:tr>
      <w:tr w:rsidR="00011CBD" w:rsidRPr="00010CE7" w14:paraId="34176E3D" w14:textId="77777777" w:rsidTr="00011CB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FFFFF" w:themeFill="background1"/>
            <w:vAlign w:val="center"/>
          </w:tcPr>
          <w:p w14:paraId="3AC16DB7" w14:textId="76F8269E" w:rsidR="00011CBD" w:rsidRPr="00010CE7" w:rsidRDefault="00011CBD" w:rsidP="000E14BB">
            <w:pPr>
              <w:spacing w:line="300" w:lineRule="auto"/>
              <w:rPr>
                <w:rFonts w:ascii="Helvetica" w:hAnsi="Helvetica"/>
                <w:color w:val="1A1A1A"/>
              </w:rPr>
            </w:pPr>
            <w:r w:rsidRPr="00011CBD">
              <w:rPr>
                <w:rFonts w:ascii="Helvetica" w:hAnsi="Helvetica"/>
                <w:b/>
                <w:color w:val="1A1A1A"/>
              </w:rPr>
              <w:t>Fundraising due diligence</w:t>
            </w:r>
          </w:p>
        </w:tc>
        <w:tc>
          <w:tcPr>
            <w:tcW w:w="2502" w:type="pct"/>
            <w:shd w:val="clear" w:color="auto" w:fill="FFFFFF" w:themeFill="background1"/>
            <w:vAlign w:val="center"/>
          </w:tcPr>
          <w:p w14:paraId="299AD62E" w14:textId="35543544" w:rsidR="00011CBD" w:rsidRPr="00010CE7" w:rsidRDefault="00011CBD" w:rsidP="000E14BB">
            <w:pPr>
              <w:spacing w:line="300" w:lineRule="auto"/>
              <w:rPr>
                <w:rFonts w:ascii="Helvetica" w:hAnsi="Helvetica"/>
                <w:color w:val="1A1A1A"/>
              </w:rPr>
            </w:pPr>
            <w:r w:rsidRPr="00011CBD">
              <w:rPr>
                <w:rFonts w:ascii="Helvetica" w:hAnsi="Helvetica"/>
                <w:color w:val="1A1A1A"/>
              </w:rPr>
              <w:t>Cap table quality, dilution, option pool governance, and historical grant pricing</w:t>
            </w:r>
          </w:p>
        </w:tc>
      </w:tr>
      <w:tr w:rsidR="00011CBD" w:rsidRPr="00010CE7" w14:paraId="0237FBA2" w14:textId="77777777" w:rsidTr="00011CB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01ECF79A" w14:textId="399C61DE" w:rsidR="00011CBD" w:rsidRPr="00010CE7" w:rsidRDefault="00011CBD" w:rsidP="000E14BB">
            <w:pPr>
              <w:spacing w:line="300" w:lineRule="auto"/>
              <w:rPr>
                <w:rFonts w:ascii="Helvetica" w:hAnsi="Helvetica"/>
                <w:color w:val="1A1A1A"/>
              </w:rPr>
            </w:pPr>
            <w:r w:rsidRPr="00011CBD">
              <w:rPr>
                <w:rFonts w:ascii="Helvetica" w:hAnsi="Helvetica"/>
                <w:b/>
                <w:color w:val="1A1A1A"/>
              </w:rPr>
              <w:t>Board review</w:t>
            </w:r>
          </w:p>
        </w:tc>
        <w:tc>
          <w:tcPr>
            <w:tcW w:w="2502" w:type="pct"/>
            <w:shd w:val="clear" w:color="auto" w:fill="F7F5F2"/>
            <w:vAlign w:val="center"/>
          </w:tcPr>
          <w:p w14:paraId="7AE36F76" w14:textId="56ED6EF2" w:rsidR="00011CBD" w:rsidRPr="00010CE7" w:rsidRDefault="00011CBD" w:rsidP="000E14BB">
            <w:pPr>
              <w:spacing w:line="300" w:lineRule="auto"/>
              <w:rPr>
                <w:rFonts w:ascii="Helvetica" w:hAnsi="Helvetica"/>
                <w:color w:val="1A1A1A"/>
              </w:rPr>
            </w:pPr>
            <w:r w:rsidRPr="00011CBD">
              <w:rPr>
                <w:rFonts w:ascii="Helvetica" w:hAnsi="Helvetica"/>
                <w:color w:val="1A1A1A"/>
              </w:rPr>
              <w:t>Whether option grants were approved on a clear and documented basis</w:t>
            </w:r>
          </w:p>
        </w:tc>
      </w:tr>
      <w:tr w:rsidR="00011CBD" w:rsidRPr="00010CE7" w14:paraId="528777F3" w14:textId="77777777" w:rsidTr="00011CB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FFFFF" w:themeFill="background1"/>
            <w:vAlign w:val="center"/>
          </w:tcPr>
          <w:p w14:paraId="38BD2056" w14:textId="381D8188" w:rsidR="00011CBD" w:rsidRPr="00010CE7" w:rsidRDefault="00011CBD" w:rsidP="000E14BB">
            <w:pPr>
              <w:spacing w:line="300" w:lineRule="auto"/>
              <w:rPr>
                <w:rFonts w:ascii="Helvetica" w:hAnsi="Helvetica"/>
                <w:color w:val="1A1A1A"/>
              </w:rPr>
            </w:pPr>
            <w:r w:rsidRPr="00011CBD">
              <w:rPr>
                <w:rFonts w:ascii="Helvetica" w:hAnsi="Helvetica"/>
                <w:b/>
                <w:color w:val="1A1A1A"/>
              </w:rPr>
              <w:t>Employee communication</w:t>
            </w:r>
          </w:p>
        </w:tc>
        <w:tc>
          <w:tcPr>
            <w:tcW w:w="2502" w:type="pct"/>
            <w:shd w:val="clear" w:color="auto" w:fill="FFFFFF" w:themeFill="background1"/>
            <w:vAlign w:val="center"/>
          </w:tcPr>
          <w:p w14:paraId="4A8E5CB5" w14:textId="361E48C8" w:rsidR="00011CBD" w:rsidRPr="00010CE7" w:rsidRDefault="00011CBD" w:rsidP="000E14BB">
            <w:pPr>
              <w:spacing w:line="300" w:lineRule="auto"/>
              <w:rPr>
                <w:rFonts w:ascii="Helvetica" w:hAnsi="Helvetica"/>
                <w:color w:val="1A1A1A"/>
              </w:rPr>
            </w:pPr>
            <w:r w:rsidRPr="00011CBD">
              <w:rPr>
                <w:rFonts w:ascii="Helvetica" w:hAnsi="Helvetica"/>
                <w:color w:val="1A1A1A"/>
              </w:rPr>
              <w:t>Whether the option value is credible and explainable</w:t>
            </w:r>
          </w:p>
        </w:tc>
      </w:tr>
      <w:tr w:rsidR="00011CBD" w:rsidRPr="00010CE7" w14:paraId="3E81B93F" w14:textId="77777777" w:rsidTr="00011CB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32118A35" w14:textId="341A2239" w:rsidR="00011CBD" w:rsidRPr="00010CE7" w:rsidRDefault="00011CBD" w:rsidP="000E14BB">
            <w:pPr>
              <w:spacing w:line="300" w:lineRule="auto"/>
              <w:rPr>
                <w:rFonts w:ascii="Helvetica" w:hAnsi="Helvetica"/>
                <w:b/>
                <w:color w:val="1A1A1A"/>
              </w:rPr>
            </w:pPr>
            <w:r w:rsidRPr="00011CBD">
              <w:rPr>
                <w:rFonts w:ascii="Helvetica" w:hAnsi="Helvetica"/>
                <w:b/>
                <w:color w:val="1A1A1A"/>
              </w:rPr>
              <w:t>Future grants</w:t>
            </w:r>
          </w:p>
        </w:tc>
        <w:tc>
          <w:tcPr>
            <w:tcW w:w="2502" w:type="pct"/>
            <w:shd w:val="clear" w:color="auto" w:fill="F7F5F2"/>
            <w:vAlign w:val="center"/>
          </w:tcPr>
          <w:p w14:paraId="65EFE06E" w14:textId="0AF1CFFE" w:rsidR="00011CBD" w:rsidRPr="00010CE7" w:rsidRDefault="00011CBD" w:rsidP="000E14BB">
            <w:pPr>
              <w:spacing w:line="300" w:lineRule="auto"/>
              <w:rPr>
                <w:rFonts w:ascii="Helvetica" w:hAnsi="Helvetica"/>
                <w:color w:val="1A1A1A"/>
              </w:rPr>
            </w:pPr>
            <w:r w:rsidRPr="00011CBD">
              <w:rPr>
                <w:rFonts w:ascii="Helvetica" w:hAnsi="Helvetica"/>
                <w:color w:val="1A1A1A"/>
              </w:rPr>
              <w:t>Whether new options are priced using stale or unsupported assumptions</w:t>
            </w:r>
          </w:p>
        </w:tc>
      </w:tr>
    </w:tbl>
    <w:p w14:paraId="56E0508A" w14:textId="4FA260A6" w:rsidR="00010CE7" w:rsidRPr="00010CE7"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E14BB">
        <w:rPr>
          <w:rFonts w:ascii="Helvetica" w:hAnsi="Helvetica"/>
          <w:color w:val="1A1A1A"/>
          <w:sz w:val="20"/>
          <w:szCs w:val="20"/>
        </w:rPr>
        <w:t>3</w:t>
      </w:r>
    </w:p>
    <w:p w14:paraId="0222D5A0" w14:textId="73BE046D" w:rsidR="00350144" w:rsidRPr="00010CE7" w:rsidRDefault="00350144" w:rsidP="00010CE7">
      <w:pPr>
        <w:pStyle w:val="Heading2"/>
        <w:spacing w:before="0" w:after="0" w:line="300" w:lineRule="auto"/>
        <w:jc w:val="both"/>
        <w:rPr>
          <w:rFonts w:ascii="Helvetica" w:hAnsi="Helvetica"/>
          <w:color w:val="1A1A1A"/>
          <w:sz w:val="24"/>
          <w:szCs w:val="24"/>
        </w:rPr>
      </w:pPr>
    </w:p>
    <w:p w14:paraId="4A12ACF7" w14:textId="4C82D029" w:rsidR="00965E5F" w:rsidRPr="00010CE7" w:rsidRDefault="008607D3" w:rsidP="00010CE7">
      <w:pPr>
        <w:pStyle w:val="Heading2"/>
        <w:spacing w:before="0" w:after="0" w:line="240" w:lineRule="auto"/>
        <w:jc w:val="both"/>
        <w:rPr>
          <w:rFonts w:ascii="Helvetica" w:hAnsi="Helvetica"/>
          <w:color w:val="174C3C"/>
          <w:sz w:val="40"/>
          <w:szCs w:val="40"/>
        </w:rPr>
      </w:pPr>
      <w:r w:rsidRPr="008607D3">
        <w:rPr>
          <w:rFonts w:ascii="Helvetica" w:hAnsi="Helvetica"/>
          <w:color w:val="174C3C"/>
          <w:sz w:val="40"/>
          <w:szCs w:val="40"/>
        </w:rPr>
        <w:t>What Cap Table Software Does Not Solve</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5E5F" w:rsidRPr="00010CE7" w14:paraId="2AAB64EA" w14:textId="77777777" w:rsidTr="00D25791">
        <w:tc>
          <w:tcPr>
            <w:tcW w:w="9350" w:type="dxa"/>
            <w:tcBorders>
              <w:bottom w:val="single" w:sz="6" w:space="0" w:color="E5E5E5"/>
            </w:tcBorders>
          </w:tcPr>
          <w:p w14:paraId="35C39156" w14:textId="77777777" w:rsidR="00965E5F" w:rsidRPr="00010CE7" w:rsidRDefault="00965E5F" w:rsidP="00010CE7">
            <w:pPr>
              <w:spacing w:line="300" w:lineRule="auto"/>
              <w:jc w:val="both"/>
              <w:rPr>
                <w:rFonts w:ascii="Helvetica" w:hAnsi="Helvetica"/>
                <w:color w:val="1A1A1A"/>
              </w:rPr>
            </w:pPr>
          </w:p>
        </w:tc>
      </w:tr>
      <w:tr w:rsidR="00965E5F" w:rsidRPr="00010CE7" w14:paraId="396CCDE8" w14:textId="77777777" w:rsidTr="00D25791">
        <w:trPr>
          <w:trHeight w:val="60"/>
        </w:trPr>
        <w:tc>
          <w:tcPr>
            <w:tcW w:w="9350" w:type="dxa"/>
            <w:tcBorders>
              <w:top w:val="single" w:sz="6" w:space="0" w:color="E5E5E5"/>
            </w:tcBorders>
          </w:tcPr>
          <w:p w14:paraId="0C4B223A" w14:textId="77777777" w:rsidR="0025713E" w:rsidRPr="00010CE7" w:rsidRDefault="0025713E" w:rsidP="00010CE7">
            <w:pPr>
              <w:spacing w:line="300" w:lineRule="auto"/>
              <w:jc w:val="both"/>
              <w:rPr>
                <w:rFonts w:ascii="Helvetica" w:hAnsi="Helvetica"/>
                <w:color w:val="1A1A1A"/>
              </w:rPr>
            </w:pPr>
          </w:p>
        </w:tc>
      </w:tr>
    </w:tbl>
    <w:p w14:paraId="5A532B06" w14:textId="77777777" w:rsidR="008607D3" w:rsidRDefault="008607D3" w:rsidP="008607D3">
      <w:pPr>
        <w:spacing w:after="0" w:line="300" w:lineRule="auto"/>
        <w:jc w:val="both"/>
        <w:rPr>
          <w:rFonts w:ascii="Helvetica" w:hAnsi="Helvetica"/>
          <w:color w:val="1A1A1A"/>
        </w:rPr>
      </w:pPr>
      <w:r w:rsidRPr="008607D3">
        <w:rPr>
          <w:rFonts w:ascii="Helvetica" w:hAnsi="Helvetica"/>
          <w:color w:val="1A1A1A"/>
        </w:rPr>
        <w:t>Many founders assume that once they use a cap table management platform, the valuation issue has been handled. That is not correct. Cap table software is useful, but it is not a substitute for independent valuation advice.</w:t>
      </w:r>
    </w:p>
    <w:p w14:paraId="1F953708" w14:textId="77777777" w:rsidR="008607D3" w:rsidRPr="008607D3" w:rsidRDefault="008607D3" w:rsidP="008607D3">
      <w:pPr>
        <w:spacing w:after="0" w:line="300" w:lineRule="auto"/>
        <w:jc w:val="both"/>
        <w:rPr>
          <w:rFonts w:ascii="Helvetica" w:hAnsi="Helvetica"/>
          <w:color w:val="1A1A1A"/>
        </w:rPr>
      </w:pPr>
    </w:p>
    <w:p w14:paraId="43A671C0" w14:textId="7F245D11" w:rsidR="008607D3" w:rsidRDefault="008607D3" w:rsidP="008607D3">
      <w:pPr>
        <w:spacing w:after="0" w:line="300" w:lineRule="auto"/>
        <w:jc w:val="both"/>
        <w:rPr>
          <w:rFonts w:ascii="Helvetica" w:hAnsi="Helvetica"/>
          <w:color w:val="1A1A1A"/>
        </w:rPr>
      </w:pPr>
      <w:r w:rsidRPr="008607D3">
        <w:rPr>
          <w:rFonts w:ascii="Helvetica" w:hAnsi="Helvetica"/>
          <w:color w:val="1A1A1A"/>
        </w:rPr>
        <w:t xml:space="preserve">A cap table system records ownership, tracks vesting schedules, manages option grants, and gives HR or finance a cleaner way to administer the plan. It does not independently value the underlying shares. It does not produce a methodology backed valuation report. It does not defend the assumptions with auditors. It does not explain to employees why their strike price is fair. The software is the register. </w:t>
      </w:r>
    </w:p>
    <w:p w14:paraId="4B5DD767" w14:textId="77777777" w:rsidR="00EF5496" w:rsidRDefault="00EF5496" w:rsidP="008607D3">
      <w:pPr>
        <w:spacing w:after="0" w:line="300" w:lineRule="auto"/>
        <w:jc w:val="both"/>
        <w:rPr>
          <w:rFonts w:ascii="Helvetica" w:hAnsi="Helvetica"/>
          <w:color w:val="1A1A1A"/>
        </w:rPr>
      </w:pPr>
    </w:p>
    <w:p w14:paraId="6082F950" w14:textId="00C893C3" w:rsidR="00EF5496" w:rsidRPr="008607D3" w:rsidRDefault="00EF5496" w:rsidP="008607D3">
      <w:pPr>
        <w:spacing w:after="0" w:line="300" w:lineRule="auto"/>
        <w:jc w:val="both"/>
        <w:rPr>
          <w:rFonts w:ascii="Helvetica" w:hAnsi="Helvetica"/>
          <w:color w:val="1A1A1A"/>
        </w:rPr>
      </w:pPr>
      <w:r w:rsidRPr="00EF5496">
        <w:rPr>
          <w:rFonts w:ascii="Helvetica" w:hAnsi="Helvetica"/>
          <w:color w:val="1A1A1A"/>
        </w:rPr>
        <w:t>A proper ESOP valuation process should connect the legal structure of the plan, the economics of the company, the rights attached to different share classes, and the technical option pricing assumptions. The output should be a formal report or memo that a board, auditor, investor, or finance team can understand and rely on.</w:t>
      </w:r>
    </w:p>
    <w:p w14:paraId="0023065A" w14:textId="77777777" w:rsidR="008607D3" w:rsidRDefault="008607D3" w:rsidP="008607D3">
      <w:pPr>
        <w:spacing w:after="0" w:line="300" w:lineRule="auto"/>
        <w:jc w:val="both"/>
        <w:rPr>
          <w:rFonts w:ascii="Helvetica" w:hAnsi="Helvetica"/>
          <w:color w:val="1A1A1A"/>
        </w:rPr>
      </w:pPr>
    </w:p>
    <w:p w14:paraId="2713EA97" w14:textId="11A8D8BD" w:rsidR="000A5A0F" w:rsidRDefault="008607D3" w:rsidP="008607D3">
      <w:pPr>
        <w:spacing w:after="0" w:line="300" w:lineRule="auto"/>
        <w:jc w:val="both"/>
        <w:rPr>
          <w:rFonts w:ascii="Helvetica" w:hAnsi="Helvetica"/>
          <w:color w:val="1A1A1A"/>
        </w:rPr>
      </w:pPr>
      <w:r w:rsidRPr="008607D3">
        <w:rPr>
          <w:rFonts w:ascii="Helvetica" w:hAnsi="Helvetica"/>
          <w:color w:val="1A1A1A"/>
        </w:rPr>
        <w:t>That advisory gap is where many ESOP issues begin. The company believes the plan is under control because the administration looks organised. Later, during audit, due diligence, or employee communication, management realises the central number in the plan has never been independently substantiated.</w:t>
      </w:r>
      <w:r w:rsidR="00EF5496">
        <w:rPr>
          <w:rFonts w:ascii="Helvetica" w:hAnsi="Helvetica"/>
          <w:color w:val="1A1A1A"/>
        </w:rPr>
        <w:t xml:space="preserve"> </w:t>
      </w:r>
      <w:r w:rsidRPr="008607D3">
        <w:rPr>
          <w:rFonts w:ascii="Helvetica" w:hAnsi="Helvetica"/>
          <w:color w:val="1A1A1A"/>
        </w:rPr>
        <w:t>A proper ESOP valuation process should cover three things that software cannot provide on its own.</w:t>
      </w:r>
    </w:p>
    <w:tbl>
      <w:tblPr>
        <w:tblStyle w:val="TableGrid"/>
        <w:tblW w:w="9355" w:type="dxa"/>
        <w:tblLook w:val="04A0" w:firstRow="1" w:lastRow="0" w:firstColumn="1" w:lastColumn="0" w:noHBand="0" w:noVBand="1"/>
      </w:tblPr>
      <w:tblGrid>
        <w:gridCol w:w="9355"/>
      </w:tblGrid>
      <w:tr w:rsidR="00010CE7" w:rsidRPr="00010CE7" w14:paraId="7FF72B16" w14:textId="77777777" w:rsidTr="00010CE7">
        <w:tc>
          <w:tcPr>
            <w:tcW w:w="9355" w:type="dxa"/>
            <w:tcBorders>
              <w:top w:val="nil"/>
              <w:left w:val="nil"/>
              <w:bottom w:val="nil"/>
              <w:right w:val="nil"/>
            </w:tcBorders>
          </w:tcPr>
          <w:p w14:paraId="2BCA038E" w14:textId="77777777" w:rsidR="00010CE7" w:rsidRPr="00010CE7" w:rsidRDefault="00010CE7" w:rsidP="00010CE7">
            <w:pPr>
              <w:spacing w:line="300" w:lineRule="auto"/>
              <w:jc w:val="both"/>
              <w:rPr>
                <w:rFonts w:ascii="Helvetica" w:hAnsi="Helvetica"/>
                <w:color w:val="1A1A1A"/>
              </w:rPr>
            </w:pPr>
          </w:p>
        </w:tc>
      </w:tr>
      <w:tr w:rsidR="00010CE7" w:rsidRPr="00010CE7" w14:paraId="60F5B2EB" w14:textId="77777777" w:rsidTr="00010CE7">
        <w:trPr>
          <w:trHeight w:val="60"/>
        </w:trPr>
        <w:tc>
          <w:tcPr>
            <w:tcW w:w="9355" w:type="dxa"/>
            <w:tcBorders>
              <w:top w:val="nil"/>
              <w:left w:val="nil"/>
              <w:bottom w:val="nil"/>
              <w:right w:val="nil"/>
            </w:tcBorders>
          </w:tcPr>
          <w:p w14:paraId="483CD64A" w14:textId="77777777" w:rsidR="00010CE7" w:rsidRPr="00010CE7" w:rsidRDefault="00010CE7" w:rsidP="00010CE7">
            <w:pPr>
              <w:spacing w:line="300" w:lineRule="auto"/>
              <w:jc w:val="both"/>
              <w:rPr>
                <w:rFonts w:ascii="Helvetica" w:hAnsi="Helvetica"/>
                <w:color w:val="1A1A1A"/>
              </w:rPr>
            </w:pPr>
          </w:p>
        </w:tc>
      </w:tr>
      <w:tr w:rsidR="000A5A0F" w:rsidRPr="00010CE7" w14:paraId="4C3C1113" w14:textId="77777777" w:rsidTr="000E14BB">
        <w:tblPrEx>
          <w:tblBorders>
            <w:top w:val="none" w:sz="0" w:space="0" w:color="auto"/>
            <w:left w:val="single" w:sz="48" w:space="0" w:color="D97706"/>
            <w:bottom w:val="none" w:sz="0" w:space="0" w:color="auto"/>
            <w:right w:val="none" w:sz="0" w:space="0" w:color="auto"/>
            <w:insideH w:val="none" w:sz="0" w:space="0" w:color="auto"/>
            <w:insideV w:val="none" w:sz="0" w:space="0" w:color="auto"/>
          </w:tblBorders>
          <w:shd w:val="clear" w:color="auto" w:fill="FEF3C7"/>
          <w:tblCellMar>
            <w:top w:w="288" w:type="dxa"/>
            <w:left w:w="720" w:type="dxa"/>
            <w:bottom w:w="288" w:type="dxa"/>
            <w:right w:w="720" w:type="dxa"/>
          </w:tblCellMar>
        </w:tblPrEx>
        <w:tc>
          <w:tcPr>
            <w:tcW w:w="9355" w:type="dxa"/>
            <w:tcBorders>
              <w:top w:val="nil"/>
              <w:bottom w:val="nil"/>
            </w:tcBorders>
            <w:shd w:val="clear" w:color="auto" w:fill="FEF3C7"/>
          </w:tcPr>
          <w:p w14:paraId="6D01B576" w14:textId="77777777" w:rsidR="00EF5496" w:rsidRDefault="00EF5496" w:rsidP="000E14BB">
            <w:pPr>
              <w:spacing w:line="300" w:lineRule="auto"/>
              <w:rPr>
                <w:rFonts w:ascii="Helvetica" w:hAnsi="Helvetica"/>
                <w:b/>
                <w:bCs/>
                <w:color w:val="D97706"/>
              </w:rPr>
            </w:pPr>
            <w:r w:rsidRPr="00EF5496">
              <w:rPr>
                <w:rFonts w:ascii="Helvetica" w:hAnsi="Helvetica"/>
                <w:b/>
                <w:bCs/>
                <w:color w:val="D97706"/>
              </w:rPr>
              <w:t xml:space="preserve">Important Note: </w:t>
            </w:r>
          </w:p>
          <w:p w14:paraId="4D478813" w14:textId="00CA53E9" w:rsidR="000A5A0F" w:rsidRPr="00EF5496" w:rsidRDefault="00EF5496" w:rsidP="000E14BB">
            <w:pPr>
              <w:spacing w:line="300" w:lineRule="auto"/>
              <w:rPr>
                <w:rFonts w:ascii="Helvetica" w:hAnsi="Helvetica"/>
                <w:color w:val="1A1A1A"/>
              </w:rPr>
            </w:pPr>
            <w:r w:rsidRPr="00EF5496">
              <w:rPr>
                <w:rFonts w:ascii="Helvetica" w:hAnsi="Helvetica"/>
                <w:color w:val="1A1A1A"/>
              </w:rPr>
              <w:t>Cap table software is a register, not an advisory opinion. It records ownership, but it cannot defend the strike price to an auditor or explain the methodology to an employee.</w:t>
            </w:r>
          </w:p>
        </w:tc>
      </w:tr>
      <w:tr w:rsidR="000E14BB" w:rsidRPr="00010CE7" w14:paraId="1813569A" w14:textId="77777777" w:rsidTr="000E14BB">
        <w:tc>
          <w:tcPr>
            <w:tcW w:w="9355" w:type="dxa"/>
            <w:tcBorders>
              <w:top w:val="nil"/>
              <w:left w:val="nil"/>
              <w:bottom w:val="nil"/>
              <w:right w:val="nil"/>
            </w:tcBorders>
          </w:tcPr>
          <w:p w14:paraId="5A12A366" w14:textId="77777777" w:rsidR="000E14BB" w:rsidRPr="00010CE7" w:rsidRDefault="000E14BB" w:rsidP="00C9796D">
            <w:pPr>
              <w:spacing w:line="300" w:lineRule="auto"/>
              <w:jc w:val="both"/>
              <w:rPr>
                <w:rFonts w:ascii="Helvetica" w:hAnsi="Helvetica"/>
                <w:color w:val="1A1A1A"/>
              </w:rPr>
            </w:pPr>
          </w:p>
        </w:tc>
      </w:tr>
      <w:tr w:rsidR="000E14BB" w:rsidRPr="00010CE7" w14:paraId="1D24FF7D" w14:textId="77777777" w:rsidTr="000E14BB">
        <w:trPr>
          <w:trHeight w:val="60"/>
        </w:trPr>
        <w:tc>
          <w:tcPr>
            <w:tcW w:w="9355" w:type="dxa"/>
            <w:tcBorders>
              <w:top w:val="nil"/>
              <w:left w:val="nil"/>
              <w:bottom w:val="nil"/>
              <w:right w:val="nil"/>
            </w:tcBorders>
          </w:tcPr>
          <w:p w14:paraId="38EDFD8E" w14:textId="77777777" w:rsidR="000E14BB" w:rsidRPr="00010CE7" w:rsidRDefault="000E14BB" w:rsidP="00C9796D">
            <w:pPr>
              <w:spacing w:line="300" w:lineRule="auto"/>
              <w:jc w:val="both"/>
              <w:rPr>
                <w:rFonts w:ascii="Helvetica" w:hAnsi="Helvetica"/>
                <w:color w:val="1A1A1A"/>
              </w:rPr>
            </w:pPr>
          </w:p>
        </w:tc>
      </w:tr>
    </w:tbl>
    <w:p w14:paraId="706523A0" w14:textId="1BC99386" w:rsidR="00010CE7" w:rsidRPr="008607D3" w:rsidRDefault="007D5EEB" w:rsidP="000E14BB">
      <w:pPr>
        <w:rPr>
          <w:rFonts w:ascii="Helvetica" w:hAnsi="Helvetica"/>
          <w:color w:val="1A1A1A"/>
          <w:sz w:val="20"/>
          <w:szCs w:val="20"/>
        </w:rPr>
      </w:pPr>
      <w:r w:rsidRPr="00010CE7">
        <w:rPr>
          <w:rFonts w:ascii="Helvetica" w:hAnsi="Helvetica"/>
          <w:color w:val="1A1A1A"/>
          <w:sz w:val="20"/>
          <w:szCs w:val="20"/>
        </w:rPr>
        <w:lastRenderedPageBreak/>
        <w:t>Section 0</w:t>
      </w:r>
      <w:r w:rsidR="000E14BB">
        <w:rPr>
          <w:rFonts w:ascii="Helvetica" w:hAnsi="Helvetica"/>
          <w:color w:val="1A1A1A"/>
          <w:sz w:val="20"/>
          <w:szCs w:val="20"/>
        </w:rPr>
        <w:t>4</w:t>
      </w:r>
    </w:p>
    <w:p w14:paraId="0CCB8B33" w14:textId="7CBE2B6E" w:rsidR="007D5EEB" w:rsidRPr="00010CE7" w:rsidRDefault="007D5EEB" w:rsidP="00010CE7">
      <w:pPr>
        <w:pStyle w:val="Heading2"/>
        <w:spacing w:before="0" w:after="0" w:line="300" w:lineRule="auto"/>
        <w:jc w:val="both"/>
        <w:rPr>
          <w:rFonts w:ascii="Helvetica" w:hAnsi="Helvetica"/>
          <w:color w:val="1A1A1A"/>
          <w:sz w:val="24"/>
          <w:szCs w:val="24"/>
        </w:rPr>
      </w:pPr>
    </w:p>
    <w:p w14:paraId="77A7D786" w14:textId="02C9A959" w:rsidR="007D5EEB" w:rsidRPr="00010CE7" w:rsidRDefault="000E14BB" w:rsidP="00010CE7">
      <w:pPr>
        <w:pStyle w:val="Heading2"/>
        <w:spacing w:before="0" w:after="0" w:line="240" w:lineRule="auto"/>
        <w:jc w:val="both"/>
        <w:rPr>
          <w:rFonts w:ascii="Helvetica" w:hAnsi="Helvetica"/>
          <w:color w:val="174C3C"/>
          <w:sz w:val="40"/>
          <w:szCs w:val="40"/>
        </w:rPr>
      </w:pPr>
      <w:r w:rsidRPr="000E14BB">
        <w:rPr>
          <w:rFonts w:ascii="Helvetica" w:hAnsi="Helvetica"/>
          <w:color w:val="174C3C"/>
          <w:sz w:val="40"/>
          <w:szCs w:val="40"/>
        </w:rPr>
        <w:t>What should a defensible ESOP valuation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D5EEB" w:rsidRPr="00010CE7" w14:paraId="2503FEF8" w14:textId="77777777" w:rsidTr="00D25791">
        <w:tc>
          <w:tcPr>
            <w:tcW w:w="9350" w:type="dxa"/>
            <w:tcBorders>
              <w:bottom w:val="single" w:sz="6" w:space="0" w:color="E5E5E5"/>
            </w:tcBorders>
          </w:tcPr>
          <w:p w14:paraId="7D043220" w14:textId="77777777" w:rsidR="007D5EEB" w:rsidRPr="00010CE7" w:rsidRDefault="007D5EEB" w:rsidP="00010CE7">
            <w:pPr>
              <w:spacing w:line="300" w:lineRule="auto"/>
              <w:jc w:val="both"/>
              <w:rPr>
                <w:rFonts w:ascii="Helvetica" w:hAnsi="Helvetica"/>
                <w:color w:val="1A1A1A"/>
              </w:rPr>
            </w:pPr>
          </w:p>
        </w:tc>
      </w:tr>
    </w:tbl>
    <w:p w14:paraId="592D129A" w14:textId="77777777" w:rsidR="0025713E" w:rsidRPr="00010CE7" w:rsidRDefault="0025713E" w:rsidP="00010CE7">
      <w:pPr>
        <w:spacing w:after="0" w:line="300" w:lineRule="auto"/>
        <w:jc w:val="both"/>
        <w:rPr>
          <w:rFonts w:ascii="Helvetica" w:hAnsi="Helvetica"/>
          <w:color w:val="1A1A1A"/>
        </w:rPr>
      </w:pPr>
    </w:p>
    <w:p w14:paraId="2DF5ABC3" w14:textId="77777777" w:rsidR="000E14BB" w:rsidRDefault="000E14BB" w:rsidP="000E14BB">
      <w:pPr>
        <w:spacing w:after="0" w:line="300" w:lineRule="auto"/>
        <w:jc w:val="both"/>
        <w:rPr>
          <w:rFonts w:ascii="Helvetica" w:hAnsi="Helvetica"/>
          <w:color w:val="1A1A1A"/>
        </w:rPr>
      </w:pPr>
      <w:r w:rsidRPr="000E14BB">
        <w:rPr>
          <w:rFonts w:ascii="Helvetica" w:hAnsi="Helvetica"/>
          <w:color w:val="1A1A1A"/>
        </w:rPr>
        <w:t>A defensible ESOP valuation is not just an option pricing calculation. It starts with the value of the company, then translates that value into an option value using assumptions that match the plan, the company, and the timing of the grant.</w:t>
      </w:r>
    </w:p>
    <w:p w14:paraId="27BA0E1F" w14:textId="77777777" w:rsidR="000E14BB" w:rsidRPr="000E14BB" w:rsidRDefault="000E14BB" w:rsidP="000E14BB">
      <w:pPr>
        <w:spacing w:after="0" w:line="300" w:lineRule="auto"/>
        <w:jc w:val="both"/>
        <w:rPr>
          <w:rFonts w:ascii="Helvetica" w:hAnsi="Helvetica"/>
          <w:color w:val="1A1A1A"/>
        </w:rPr>
      </w:pPr>
    </w:p>
    <w:p w14:paraId="43EE1866" w14:textId="2851C335" w:rsidR="0025713E" w:rsidRDefault="000E14BB" w:rsidP="000E14BB">
      <w:pPr>
        <w:spacing w:after="0" w:line="300" w:lineRule="auto"/>
        <w:jc w:val="both"/>
        <w:rPr>
          <w:rFonts w:ascii="Helvetica" w:hAnsi="Helvetica"/>
          <w:color w:val="1A1A1A"/>
        </w:rPr>
      </w:pPr>
      <w:r w:rsidRPr="000E14BB">
        <w:rPr>
          <w:rFonts w:ascii="Helvetica" w:hAnsi="Helvetica"/>
          <w:color w:val="1A1A1A"/>
        </w:rPr>
        <w:t>For a simple option structure, a Black Scholes model may be appropriate. For more complex conditions, a binomial model may provide a better reflection of vesting, exercise behavior, and early exercise assumptions. The right method depends on the facts. The key is that the method must be explained, the assumptions must be supportable, and the conclusion must be usable by the people relying on 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84"/>
      </w:tblGrid>
      <w:tr w:rsidR="00010CE7" w:rsidRPr="00010CE7" w14:paraId="34C64B18" w14:textId="77777777" w:rsidTr="00C9796D">
        <w:tc>
          <w:tcPr>
            <w:tcW w:w="5000" w:type="pct"/>
            <w:gridSpan w:val="2"/>
          </w:tcPr>
          <w:p w14:paraId="6927BE8E" w14:textId="77777777" w:rsidR="00010CE7" w:rsidRPr="00010CE7" w:rsidRDefault="00010CE7" w:rsidP="00C9796D">
            <w:pPr>
              <w:spacing w:line="300" w:lineRule="auto"/>
              <w:jc w:val="both"/>
              <w:rPr>
                <w:rFonts w:ascii="Helvetica" w:hAnsi="Helvetica"/>
                <w:color w:val="1A1A1A"/>
              </w:rPr>
            </w:pPr>
          </w:p>
        </w:tc>
      </w:tr>
      <w:tr w:rsidR="00010CE7" w:rsidRPr="00010CE7" w14:paraId="26C4DE6A" w14:textId="77777777" w:rsidTr="00C9796D">
        <w:trPr>
          <w:trHeight w:val="60"/>
        </w:trPr>
        <w:tc>
          <w:tcPr>
            <w:tcW w:w="5000" w:type="pct"/>
            <w:gridSpan w:val="2"/>
          </w:tcPr>
          <w:p w14:paraId="363B94B6" w14:textId="77777777" w:rsidR="00010CE7" w:rsidRPr="00010CE7" w:rsidRDefault="00010CE7" w:rsidP="00C9796D">
            <w:pPr>
              <w:spacing w:line="300" w:lineRule="auto"/>
              <w:jc w:val="both"/>
              <w:rPr>
                <w:rFonts w:ascii="Helvetica" w:hAnsi="Helvetica"/>
                <w:color w:val="1A1A1A"/>
              </w:rPr>
            </w:pPr>
          </w:p>
        </w:tc>
      </w:tr>
      <w:tr w:rsidR="000A5A0F" w:rsidRPr="00010CE7" w14:paraId="29D4CBAF"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174C3C"/>
            <w:vAlign w:val="center"/>
          </w:tcPr>
          <w:p w14:paraId="69516EDC" w14:textId="7D6918A6" w:rsidR="000A5A0F" w:rsidRPr="00010CE7" w:rsidRDefault="000E14BB" w:rsidP="00010CE7">
            <w:pPr>
              <w:spacing w:line="300" w:lineRule="auto"/>
              <w:jc w:val="both"/>
              <w:rPr>
                <w:rFonts w:ascii="Helvetica" w:hAnsi="Helvetica"/>
                <w:color w:val="1A1A1A"/>
              </w:rPr>
            </w:pPr>
            <w:r w:rsidRPr="000E14BB">
              <w:rPr>
                <w:rFonts w:ascii="Helvetica" w:hAnsi="Helvetica"/>
                <w:b/>
                <w:color w:val="F7F5F2"/>
              </w:rPr>
              <w:t>Valuation component</w:t>
            </w:r>
          </w:p>
        </w:tc>
        <w:tc>
          <w:tcPr>
            <w:tcW w:w="2502" w:type="pct"/>
            <w:shd w:val="clear" w:color="auto" w:fill="174C3C"/>
            <w:vAlign w:val="center"/>
          </w:tcPr>
          <w:p w14:paraId="7416CD74" w14:textId="35C58C56" w:rsidR="000A5A0F" w:rsidRPr="00010CE7" w:rsidRDefault="000E14BB" w:rsidP="00010CE7">
            <w:pPr>
              <w:spacing w:line="300" w:lineRule="auto"/>
              <w:jc w:val="both"/>
              <w:rPr>
                <w:rFonts w:ascii="Helvetica" w:hAnsi="Helvetica"/>
                <w:color w:val="1A1A1A"/>
              </w:rPr>
            </w:pPr>
            <w:r w:rsidRPr="000E14BB">
              <w:rPr>
                <w:rFonts w:ascii="Helvetica" w:hAnsi="Helvetica"/>
                <w:b/>
                <w:color w:val="F7F5F2"/>
              </w:rPr>
              <w:t>What is reviewed</w:t>
            </w:r>
          </w:p>
        </w:tc>
      </w:tr>
      <w:tr w:rsidR="000A5A0F" w:rsidRPr="00010CE7" w14:paraId="2AECC9F1"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6396CBAB" w14:textId="503192BC" w:rsidR="000A5A0F" w:rsidRPr="00010CE7" w:rsidRDefault="000E14BB" w:rsidP="000E14BB">
            <w:pPr>
              <w:spacing w:line="300" w:lineRule="auto"/>
              <w:rPr>
                <w:rFonts w:ascii="Helvetica" w:hAnsi="Helvetica"/>
                <w:color w:val="1A1A1A"/>
              </w:rPr>
            </w:pPr>
            <w:r w:rsidRPr="000E14BB">
              <w:rPr>
                <w:rFonts w:ascii="Helvetica" w:hAnsi="Helvetica"/>
                <w:b/>
                <w:color w:val="1A1A1A"/>
              </w:rPr>
              <w:t>Company value</w:t>
            </w:r>
          </w:p>
        </w:tc>
        <w:tc>
          <w:tcPr>
            <w:tcW w:w="2502" w:type="pct"/>
            <w:shd w:val="clear" w:color="auto" w:fill="F7F5F2"/>
            <w:vAlign w:val="center"/>
          </w:tcPr>
          <w:p w14:paraId="2B1049D2" w14:textId="3FFE30F3" w:rsidR="000A5A0F" w:rsidRPr="00010CE7" w:rsidRDefault="000E14BB" w:rsidP="000E14BB">
            <w:pPr>
              <w:spacing w:line="300" w:lineRule="auto"/>
              <w:rPr>
                <w:rFonts w:ascii="Helvetica" w:hAnsi="Helvetica"/>
                <w:color w:val="1A1A1A"/>
              </w:rPr>
            </w:pPr>
            <w:r w:rsidRPr="000E14BB">
              <w:rPr>
                <w:rFonts w:ascii="Helvetica" w:hAnsi="Helvetica"/>
                <w:color w:val="1A1A1A"/>
              </w:rPr>
              <w:t>Financials, forecasts, latest financing round, market context, and capital structure</w:t>
            </w:r>
          </w:p>
        </w:tc>
      </w:tr>
      <w:tr w:rsidR="000A5A0F" w:rsidRPr="00010CE7" w14:paraId="4C9B138F"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FFFFF" w:themeFill="background1"/>
            <w:vAlign w:val="center"/>
          </w:tcPr>
          <w:p w14:paraId="590BF56C" w14:textId="77A5F922" w:rsidR="000A5A0F" w:rsidRPr="00010CE7" w:rsidRDefault="000E14BB" w:rsidP="000E14BB">
            <w:pPr>
              <w:spacing w:line="300" w:lineRule="auto"/>
              <w:rPr>
                <w:rFonts w:ascii="Helvetica" w:hAnsi="Helvetica"/>
                <w:color w:val="1A1A1A"/>
              </w:rPr>
            </w:pPr>
            <w:r w:rsidRPr="000E14BB">
              <w:rPr>
                <w:rFonts w:ascii="Helvetica" w:hAnsi="Helvetica"/>
                <w:b/>
                <w:color w:val="1A1A1A"/>
              </w:rPr>
              <w:t>Share class rights</w:t>
            </w:r>
          </w:p>
        </w:tc>
        <w:tc>
          <w:tcPr>
            <w:tcW w:w="2502" w:type="pct"/>
            <w:shd w:val="clear" w:color="auto" w:fill="FFFFFF" w:themeFill="background1"/>
            <w:vAlign w:val="center"/>
          </w:tcPr>
          <w:p w14:paraId="3AD30607" w14:textId="02584F34" w:rsidR="000A5A0F" w:rsidRPr="00010CE7" w:rsidRDefault="000E14BB" w:rsidP="000E14BB">
            <w:pPr>
              <w:spacing w:line="300" w:lineRule="auto"/>
              <w:rPr>
                <w:rFonts w:ascii="Helvetica" w:hAnsi="Helvetica"/>
                <w:color w:val="1A1A1A"/>
              </w:rPr>
            </w:pPr>
            <w:r w:rsidRPr="000E14BB">
              <w:rPr>
                <w:rFonts w:ascii="Helvetica" w:hAnsi="Helvetica"/>
                <w:color w:val="1A1A1A"/>
              </w:rPr>
              <w:t>Preference shares, convertibles, liquidation preferences, and control rights</w:t>
            </w:r>
          </w:p>
        </w:tc>
      </w:tr>
      <w:tr w:rsidR="000A5A0F" w:rsidRPr="00010CE7" w14:paraId="3D9FBF49"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744A26B1" w14:textId="0C88673D" w:rsidR="000A5A0F" w:rsidRPr="00010CE7" w:rsidRDefault="000E14BB" w:rsidP="000E14BB">
            <w:pPr>
              <w:spacing w:line="300" w:lineRule="auto"/>
              <w:rPr>
                <w:rFonts w:ascii="Helvetica" w:hAnsi="Helvetica"/>
                <w:color w:val="1A1A1A"/>
              </w:rPr>
            </w:pPr>
            <w:r w:rsidRPr="000E14BB">
              <w:rPr>
                <w:rFonts w:ascii="Helvetica" w:hAnsi="Helvetica"/>
                <w:b/>
                <w:color w:val="1A1A1A"/>
              </w:rPr>
              <w:t>Grant details</w:t>
            </w:r>
          </w:p>
        </w:tc>
        <w:tc>
          <w:tcPr>
            <w:tcW w:w="2502" w:type="pct"/>
            <w:shd w:val="clear" w:color="auto" w:fill="F7F5F2"/>
            <w:vAlign w:val="center"/>
          </w:tcPr>
          <w:p w14:paraId="5BBB5B05" w14:textId="70A957F2" w:rsidR="000A5A0F" w:rsidRPr="00010CE7" w:rsidRDefault="000E14BB" w:rsidP="000E14BB">
            <w:pPr>
              <w:spacing w:line="300" w:lineRule="auto"/>
              <w:rPr>
                <w:rFonts w:ascii="Helvetica" w:hAnsi="Helvetica"/>
                <w:color w:val="1A1A1A"/>
              </w:rPr>
            </w:pPr>
            <w:r w:rsidRPr="000E14BB">
              <w:rPr>
                <w:rFonts w:ascii="Helvetica" w:hAnsi="Helvetica"/>
                <w:color w:val="1A1A1A"/>
              </w:rPr>
              <w:t>Grant date, exercise price, vesting schedule, expiry, and leaver provisions</w:t>
            </w:r>
          </w:p>
        </w:tc>
      </w:tr>
      <w:tr w:rsidR="000A5A0F" w:rsidRPr="00010CE7" w14:paraId="0C8D641F"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FFFFF" w:themeFill="background1"/>
            <w:vAlign w:val="center"/>
          </w:tcPr>
          <w:p w14:paraId="347A1FA6" w14:textId="71C0E510" w:rsidR="000A5A0F" w:rsidRPr="00010CE7" w:rsidRDefault="000E14BB" w:rsidP="000E14BB">
            <w:pPr>
              <w:spacing w:line="300" w:lineRule="auto"/>
              <w:rPr>
                <w:rFonts w:ascii="Helvetica" w:hAnsi="Helvetica"/>
                <w:color w:val="1A1A1A"/>
              </w:rPr>
            </w:pPr>
            <w:r w:rsidRPr="000E14BB">
              <w:rPr>
                <w:rFonts w:ascii="Helvetica" w:hAnsi="Helvetica"/>
                <w:b/>
                <w:color w:val="1A1A1A"/>
              </w:rPr>
              <w:t>Model assumptions</w:t>
            </w:r>
          </w:p>
        </w:tc>
        <w:tc>
          <w:tcPr>
            <w:tcW w:w="2502" w:type="pct"/>
            <w:shd w:val="clear" w:color="auto" w:fill="FFFFFF" w:themeFill="background1"/>
            <w:vAlign w:val="center"/>
          </w:tcPr>
          <w:p w14:paraId="4C1CEBC3" w14:textId="605866FD" w:rsidR="000A5A0F" w:rsidRPr="00010CE7" w:rsidRDefault="000E14BB" w:rsidP="000E14BB">
            <w:pPr>
              <w:spacing w:line="300" w:lineRule="auto"/>
              <w:rPr>
                <w:rFonts w:ascii="Helvetica" w:hAnsi="Helvetica"/>
                <w:color w:val="1A1A1A"/>
              </w:rPr>
            </w:pPr>
            <w:r w:rsidRPr="000E14BB">
              <w:rPr>
                <w:rFonts w:ascii="Helvetica" w:hAnsi="Helvetica"/>
                <w:color w:val="1A1A1A"/>
              </w:rPr>
              <w:t>Volatility, risk free rate, expected term, dividend yield, and exit assumptions where relevant</w:t>
            </w:r>
          </w:p>
        </w:tc>
      </w:tr>
      <w:tr w:rsidR="000A5A0F" w:rsidRPr="00010CE7" w14:paraId="535A9A11"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485332DD" w14:textId="65BE8668" w:rsidR="000A5A0F" w:rsidRPr="00010CE7" w:rsidRDefault="000E14BB" w:rsidP="000E14BB">
            <w:pPr>
              <w:spacing w:line="300" w:lineRule="auto"/>
              <w:rPr>
                <w:rFonts w:ascii="Helvetica" w:hAnsi="Helvetica"/>
                <w:b/>
                <w:color w:val="1A1A1A"/>
              </w:rPr>
            </w:pPr>
            <w:r w:rsidRPr="000E14BB">
              <w:rPr>
                <w:rFonts w:ascii="Helvetica" w:hAnsi="Helvetica"/>
                <w:b/>
                <w:color w:val="1A1A1A"/>
              </w:rPr>
              <w:t>Report use case</w:t>
            </w:r>
          </w:p>
        </w:tc>
        <w:tc>
          <w:tcPr>
            <w:tcW w:w="2502" w:type="pct"/>
            <w:shd w:val="clear" w:color="auto" w:fill="F7F5F2"/>
            <w:vAlign w:val="center"/>
          </w:tcPr>
          <w:p w14:paraId="3AD3330F" w14:textId="05B6A0FC" w:rsidR="000A5A0F" w:rsidRPr="00010CE7" w:rsidRDefault="000E14BB" w:rsidP="000E14BB">
            <w:pPr>
              <w:spacing w:line="300" w:lineRule="auto"/>
              <w:rPr>
                <w:rFonts w:ascii="Helvetica" w:hAnsi="Helvetica"/>
                <w:color w:val="1A1A1A"/>
              </w:rPr>
            </w:pPr>
            <w:r w:rsidRPr="000E14BB">
              <w:rPr>
                <w:rFonts w:ascii="Helvetica" w:hAnsi="Helvetica"/>
                <w:color w:val="1A1A1A"/>
              </w:rPr>
              <w:t>Audit, board approval, investor review, or tax planning</w:t>
            </w:r>
          </w:p>
        </w:tc>
      </w:tr>
    </w:tbl>
    <w:p w14:paraId="691686D6" w14:textId="20116DC7" w:rsidR="00350144"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237CD4">
        <w:rPr>
          <w:rFonts w:ascii="Helvetica" w:hAnsi="Helvetica"/>
          <w:color w:val="1A1A1A"/>
          <w:sz w:val="20"/>
          <w:szCs w:val="20"/>
        </w:rPr>
        <w:t>5</w:t>
      </w:r>
    </w:p>
    <w:p w14:paraId="0B4406BB"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203FAC51" w14:textId="0886197A" w:rsidR="00350144" w:rsidRPr="00010CE7" w:rsidRDefault="008607D3" w:rsidP="00010CE7">
      <w:pPr>
        <w:pStyle w:val="Heading2"/>
        <w:spacing w:before="0" w:after="0" w:line="240" w:lineRule="auto"/>
        <w:jc w:val="both"/>
        <w:rPr>
          <w:rFonts w:ascii="Helvetica" w:hAnsi="Helvetica"/>
          <w:color w:val="174C3C"/>
          <w:sz w:val="40"/>
          <w:szCs w:val="40"/>
        </w:rPr>
      </w:pPr>
      <w:r w:rsidRPr="008607D3">
        <w:rPr>
          <w:rFonts w:ascii="Helvetica" w:hAnsi="Helvetica"/>
          <w:color w:val="174C3C"/>
          <w:sz w:val="40"/>
          <w:szCs w:val="40"/>
        </w:rPr>
        <w:t>The Liquidity Question Founders Ask Too Late</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4C158C87" w14:textId="77777777" w:rsidTr="00D25791">
        <w:tc>
          <w:tcPr>
            <w:tcW w:w="9350" w:type="dxa"/>
            <w:tcBorders>
              <w:bottom w:val="single" w:sz="6" w:space="0" w:color="E5E5E5"/>
            </w:tcBorders>
          </w:tcPr>
          <w:p w14:paraId="45C25A78" w14:textId="275C2A48" w:rsidR="00350144" w:rsidRPr="00010CE7" w:rsidRDefault="00350144" w:rsidP="00010CE7">
            <w:pPr>
              <w:spacing w:line="300" w:lineRule="auto"/>
              <w:jc w:val="both"/>
              <w:rPr>
                <w:rFonts w:ascii="Helvetica" w:hAnsi="Helvetica"/>
                <w:color w:val="1A1A1A"/>
              </w:rPr>
            </w:pPr>
          </w:p>
        </w:tc>
      </w:tr>
      <w:tr w:rsidR="00350144" w:rsidRPr="00010CE7" w14:paraId="793DF697" w14:textId="77777777" w:rsidTr="00D25791">
        <w:trPr>
          <w:trHeight w:val="60"/>
        </w:trPr>
        <w:tc>
          <w:tcPr>
            <w:tcW w:w="9350" w:type="dxa"/>
            <w:tcBorders>
              <w:top w:val="single" w:sz="6" w:space="0" w:color="E5E5E5"/>
            </w:tcBorders>
          </w:tcPr>
          <w:p w14:paraId="71BCF633" w14:textId="77777777" w:rsidR="0025713E" w:rsidRPr="00010CE7" w:rsidRDefault="0025713E" w:rsidP="00010CE7">
            <w:pPr>
              <w:spacing w:line="300" w:lineRule="auto"/>
              <w:jc w:val="both"/>
              <w:rPr>
                <w:rFonts w:ascii="Helvetica" w:hAnsi="Helvetica"/>
                <w:color w:val="1A1A1A"/>
              </w:rPr>
            </w:pPr>
          </w:p>
        </w:tc>
      </w:tr>
    </w:tbl>
    <w:p w14:paraId="27E40370" w14:textId="77777777" w:rsidR="008607D3" w:rsidRDefault="008607D3" w:rsidP="008607D3">
      <w:pPr>
        <w:spacing w:after="0" w:line="300" w:lineRule="auto"/>
        <w:jc w:val="both"/>
        <w:rPr>
          <w:rFonts w:ascii="Helvetica" w:hAnsi="Helvetica"/>
          <w:color w:val="1A1A1A"/>
        </w:rPr>
      </w:pPr>
      <w:r w:rsidRPr="008607D3">
        <w:rPr>
          <w:rFonts w:ascii="Helvetica" w:hAnsi="Helvetica"/>
          <w:color w:val="1A1A1A"/>
        </w:rPr>
        <w:t>The most overlooked ESOP question is not only what the options are worth today. It is how employees eventually turn that value into cash.</w:t>
      </w:r>
    </w:p>
    <w:p w14:paraId="1BF19C91" w14:textId="77777777" w:rsidR="008607D3" w:rsidRPr="008607D3" w:rsidRDefault="008607D3" w:rsidP="008607D3">
      <w:pPr>
        <w:spacing w:after="0" w:line="300" w:lineRule="auto"/>
        <w:jc w:val="both"/>
        <w:rPr>
          <w:rFonts w:ascii="Helvetica" w:hAnsi="Helvetica"/>
          <w:color w:val="1A1A1A"/>
        </w:rPr>
      </w:pPr>
    </w:p>
    <w:p w14:paraId="7164B148" w14:textId="77777777" w:rsidR="008607D3" w:rsidRDefault="008607D3" w:rsidP="008607D3">
      <w:pPr>
        <w:spacing w:after="0" w:line="300" w:lineRule="auto"/>
        <w:jc w:val="both"/>
        <w:rPr>
          <w:rFonts w:ascii="Helvetica" w:hAnsi="Helvetica"/>
          <w:color w:val="1A1A1A"/>
        </w:rPr>
      </w:pPr>
      <w:r w:rsidRPr="008607D3">
        <w:rPr>
          <w:rFonts w:ascii="Helvetica" w:hAnsi="Helvetica"/>
          <w:color w:val="1A1A1A"/>
        </w:rPr>
        <w:t>Options are valuable only if there is a credible path to liquidity. In most companies, that path comes from an IPO, acquisition, secondary sale, share buyback, or other structured liquidity event. If employees cannot see how the value becomes real, they will discount the ESOP heavily, even if the valuation is technically correct.</w:t>
      </w:r>
    </w:p>
    <w:p w14:paraId="4C264988" w14:textId="77777777" w:rsidR="008607D3" w:rsidRPr="008607D3" w:rsidRDefault="008607D3" w:rsidP="008607D3">
      <w:pPr>
        <w:spacing w:after="0" w:line="300" w:lineRule="auto"/>
        <w:jc w:val="both"/>
        <w:rPr>
          <w:rFonts w:ascii="Helvetica" w:hAnsi="Helvetica"/>
          <w:color w:val="1A1A1A"/>
        </w:rPr>
      </w:pPr>
    </w:p>
    <w:p w14:paraId="3EF20FF1" w14:textId="77777777" w:rsidR="008607D3" w:rsidRDefault="008607D3" w:rsidP="008607D3">
      <w:pPr>
        <w:spacing w:after="0" w:line="300" w:lineRule="auto"/>
        <w:jc w:val="both"/>
        <w:rPr>
          <w:rFonts w:ascii="Helvetica" w:hAnsi="Helvetica"/>
          <w:color w:val="1A1A1A"/>
        </w:rPr>
      </w:pPr>
      <w:r w:rsidRPr="008607D3">
        <w:rPr>
          <w:rFonts w:ascii="Helvetica" w:hAnsi="Helvetica"/>
          <w:color w:val="1A1A1A"/>
        </w:rPr>
        <w:t>This matters for retention. A founder may think the company has granted a meaningful incentive package. The employee may see a paper instrument with uncertain value, uncertain timing, and no clear exit route. When those two interpretations diverge, the ESOP stops functioning as an alignment tool.</w:t>
      </w:r>
    </w:p>
    <w:p w14:paraId="6B07153C" w14:textId="77777777" w:rsidR="008607D3" w:rsidRPr="008607D3" w:rsidRDefault="008607D3" w:rsidP="008607D3">
      <w:pPr>
        <w:spacing w:after="0" w:line="300" w:lineRule="auto"/>
        <w:jc w:val="both"/>
        <w:rPr>
          <w:rFonts w:ascii="Helvetica" w:hAnsi="Helvetica"/>
          <w:color w:val="1A1A1A"/>
        </w:rPr>
      </w:pPr>
    </w:p>
    <w:p w14:paraId="7AC19BE7" w14:textId="675A62E5" w:rsidR="000A5A0F" w:rsidRDefault="008607D3" w:rsidP="008607D3">
      <w:pPr>
        <w:spacing w:after="0" w:line="300" w:lineRule="auto"/>
        <w:jc w:val="both"/>
        <w:rPr>
          <w:rFonts w:ascii="Helvetica" w:hAnsi="Helvetica"/>
          <w:color w:val="1A1A1A"/>
        </w:rPr>
      </w:pPr>
      <w:r w:rsidRPr="008607D3">
        <w:rPr>
          <w:rFonts w:ascii="Helvetica" w:hAnsi="Helvetica"/>
          <w:color w:val="1A1A1A"/>
        </w:rPr>
        <w:t>The liquidity question should sit alongside valuation and governance. A stronger ESOP structure does not only answer what the strike price is. It also helps management think through vesting, exercise windows, potential secondary processes, employee communication, and how the plan will remain credible as the company grows.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37CD4" w:rsidRPr="00010CE7" w14:paraId="74F27F90" w14:textId="77777777" w:rsidTr="00C9796D">
        <w:tc>
          <w:tcPr>
            <w:tcW w:w="9350" w:type="dxa"/>
          </w:tcPr>
          <w:p w14:paraId="7A5A4ABF" w14:textId="77777777" w:rsidR="00237CD4" w:rsidRPr="00010CE7" w:rsidRDefault="00237CD4" w:rsidP="00C9796D">
            <w:pPr>
              <w:spacing w:line="300" w:lineRule="auto"/>
              <w:jc w:val="both"/>
              <w:rPr>
                <w:rFonts w:ascii="Helvetica" w:hAnsi="Helvetica"/>
                <w:color w:val="1A1A1A"/>
              </w:rPr>
            </w:pPr>
          </w:p>
        </w:tc>
      </w:tr>
      <w:tr w:rsidR="00237CD4" w:rsidRPr="00010CE7" w14:paraId="33249C76" w14:textId="77777777" w:rsidTr="00C9796D">
        <w:trPr>
          <w:trHeight w:val="60"/>
        </w:trPr>
        <w:tc>
          <w:tcPr>
            <w:tcW w:w="9350" w:type="dxa"/>
          </w:tcPr>
          <w:p w14:paraId="1614B306" w14:textId="77777777" w:rsidR="00237CD4" w:rsidRPr="00010CE7" w:rsidRDefault="00237CD4" w:rsidP="00C9796D">
            <w:pPr>
              <w:spacing w:line="300" w:lineRule="auto"/>
              <w:jc w:val="both"/>
              <w:rPr>
                <w:rFonts w:ascii="Helvetica" w:hAnsi="Helvetica"/>
                <w:color w:val="1A1A1A"/>
              </w:rPr>
            </w:pPr>
          </w:p>
        </w:tc>
      </w:tr>
    </w:tbl>
    <w:p w14:paraId="68B59FAB" w14:textId="2A175F7F" w:rsidR="000A5A0F"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237CD4">
        <w:rPr>
          <w:rFonts w:ascii="Helvetica" w:hAnsi="Helvetica"/>
          <w:color w:val="1A1A1A"/>
          <w:sz w:val="20"/>
          <w:szCs w:val="20"/>
        </w:rPr>
        <w:t>6</w:t>
      </w:r>
    </w:p>
    <w:p w14:paraId="194543C6"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4025D4C1" w14:textId="1ED66AF9" w:rsidR="00350144" w:rsidRPr="00010CE7" w:rsidRDefault="008607D3" w:rsidP="00010CE7">
      <w:pPr>
        <w:pStyle w:val="Heading2"/>
        <w:spacing w:before="0" w:after="0" w:line="240" w:lineRule="auto"/>
        <w:jc w:val="both"/>
        <w:rPr>
          <w:rFonts w:ascii="Helvetica" w:hAnsi="Helvetica"/>
          <w:color w:val="174C3C"/>
          <w:sz w:val="40"/>
          <w:szCs w:val="40"/>
        </w:rPr>
      </w:pPr>
      <w:r w:rsidRPr="008607D3">
        <w:rPr>
          <w:rFonts w:ascii="Helvetica" w:hAnsi="Helvetica"/>
          <w:color w:val="174C3C"/>
          <w:sz w:val="40"/>
          <w:szCs w:val="40"/>
        </w:rPr>
        <w:t>Your Immediate Next Steps</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245ED114" w14:textId="77777777" w:rsidTr="00D25791">
        <w:tc>
          <w:tcPr>
            <w:tcW w:w="9350" w:type="dxa"/>
            <w:tcBorders>
              <w:bottom w:val="single" w:sz="6" w:space="0" w:color="E5E5E5"/>
            </w:tcBorders>
          </w:tcPr>
          <w:p w14:paraId="065FCD97" w14:textId="77777777" w:rsidR="00350144" w:rsidRPr="00010CE7" w:rsidRDefault="00350144" w:rsidP="00010CE7">
            <w:pPr>
              <w:spacing w:line="300" w:lineRule="auto"/>
              <w:jc w:val="both"/>
              <w:rPr>
                <w:rFonts w:ascii="Helvetica" w:hAnsi="Helvetica"/>
                <w:color w:val="1A1A1A"/>
              </w:rPr>
            </w:pPr>
          </w:p>
        </w:tc>
      </w:tr>
      <w:tr w:rsidR="00350144" w:rsidRPr="00010CE7" w14:paraId="47073425" w14:textId="77777777" w:rsidTr="00D25791">
        <w:trPr>
          <w:trHeight w:val="60"/>
        </w:trPr>
        <w:tc>
          <w:tcPr>
            <w:tcW w:w="9350" w:type="dxa"/>
            <w:tcBorders>
              <w:top w:val="single" w:sz="6" w:space="0" w:color="E5E5E5"/>
            </w:tcBorders>
          </w:tcPr>
          <w:p w14:paraId="6487C115" w14:textId="77777777" w:rsidR="0025713E" w:rsidRPr="00010CE7" w:rsidRDefault="0025713E" w:rsidP="00010CE7">
            <w:pPr>
              <w:spacing w:line="300" w:lineRule="auto"/>
              <w:jc w:val="both"/>
              <w:rPr>
                <w:rFonts w:ascii="Helvetica" w:hAnsi="Helvetica"/>
                <w:color w:val="1A1A1A"/>
              </w:rPr>
            </w:pPr>
          </w:p>
        </w:tc>
      </w:tr>
    </w:tbl>
    <w:p w14:paraId="5955E3D3" w14:textId="60EF66AB" w:rsidR="008607D3" w:rsidRDefault="00EF5496" w:rsidP="008607D3">
      <w:pPr>
        <w:spacing w:after="0" w:line="300" w:lineRule="auto"/>
        <w:jc w:val="both"/>
        <w:rPr>
          <w:rFonts w:ascii="Helvetica" w:hAnsi="Helvetica"/>
          <w:color w:val="1A1A1A"/>
        </w:rPr>
      </w:pPr>
      <w:r w:rsidRPr="00EF5496">
        <w:rPr>
          <w:rFonts w:ascii="Helvetica" w:hAnsi="Helvetica"/>
          <w:color w:val="1A1A1A"/>
        </w:rPr>
        <w:t>If you have an existing ESOP but no formal valuation, you are carrying a governance gap. Do not ignore it until an auditor or investor forces the issue. Here is how to contain the exposure.</w:t>
      </w:r>
    </w:p>
    <w:p w14:paraId="233E5057" w14:textId="77777777" w:rsidR="00EF5496" w:rsidRPr="00010CE7" w:rsidRDefault="00EF5496" w:rsidP="008607D3">
      <w:pPr>
        <w:spacing w:after="0" w:line="300" w:lineRule="auto"/>
        <w:jc w:val="both"/>
        <w:rPr>
          <w:rFonts w:ascii="Helvetica" w:hAnsi="Helvetica"/>
          <w:color w:val="1A1A1A"/>
        </w:rPr>
      </w:pPr>
    </w:p>
    <w:tbl>
      <w:tblPr>
        <w:tblStyle w:val="TableGrid"/>
        <w:tblW w:w="0" w:type="auto"/>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Look w:val="04A0" w:firstRow="1" w:lastRow="0" w:firstColumn="1" w:lastColumn="0" w:noHBand="0" w:noVBand="1"/>
      </w:tblPr>
      <w:tblGrid>
        <w:gridCol w:w="1704"/>
        <w:gridCol w:w="7586"/>
        <w:gridCol w:w="70"/>
      </w:tblGrid>
      <w:tr w:rsidR="00436FFF" w:rsidRPr="00010CE7" w14:paraId="5B985A16" w14:textId="77777777" w:rsidTr="00387FED">
        <w:tc>
          <w:tcPr>
            <w:tcW w:w="1704" w:type="dxa"/>
            <w:tcBorders>
              <w:top w:val="nil"/>
              <w:left w:val="nil"/>
              <w:bottom w:val="nil"/>
              <w:right w:val="nil"/>
            </w:tcBorders>
            <w:shd w:val="clear" w:color="auto" w:fill="174C3C"/>
            <w:vAlign w:val="center"/>
          </w:tcPr>
          <w:p w14:paraId="440622AE"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lastRenderedPageBreak/>
              <w:t>Step 1</w:t>
            </w:r>
          </w:p>
        </w:tc>
        <w:tc>
          <w:tcPr>
            <w:tcW w:w="7656" w:type="dxa"/>
            <w:gridSpan w:val="2"/>
            <w:tcBorders>
              <w:top w:val="nil"/>
              <w:left w:val="nil"/>
              <w:bottom w:val="nil"/>
              <w:right w:val="nil"/>
            </w:tcBorders>
            <w:shd w:val="clear" w:color="auto" w:fill="F7F5F2"/>
            <w:vAlign w:val="center"/>
          </w:tcPr>
          <w:p w14:paraId="5A4A4F65" w14:textId="77777777" w:rsidR="008607D3" w:rsidRPr="008607D3" w:rsidRDefault="008607D3" w:rsidP="008607D3">
            <w:pPr>
              <w:spacing w:line="300" w:lineRule="auto"/>
              <w:rPr>
                <w:rFonts w:ascii="Helvetica" w:hAnsi="Helvetica"/>
                <w:b/>
                <w:color w:val="1A1A1A"/>
              </w:rPr>
            </w:pPr>
            <w:r w:rsidRPr="008607D3">
              <w:rPr>
                <w:rFonts w:ascii="Helvetica" w:hAnsi="Helvetica"/>
                <w:b/>
                <w:color w:val="1A1A1A"/>
              </w:rPr>
              <w:t>Pause new grants until the valuation basis is established.</w:t>
            </w:r>
          </w:p>
          <w:p w14:paraId="0F737691" w14:textId="6FD4B718" w:rsidR="00436FFF" w:rsidRPr="008607D3" w:rsidRDefault="008607D3" w:rsidP="008607D3">
            <w:pPr>
              <w:spacing w:line="300" w:lineRule="auto"/>
              <w:rPr>
                <w:rFonts w:ascii="Helvetica" w:hAnsi="Helvetica"/>
                <w:bCs/>
                <w:color w:val="1A1A1A"/>
              </w:rPr>
            </w:pPr>
            <w:r w:rsidRPr="008607D3">
              <w:rPr>
                <w:rFonts w:ascii="Helvetica" w:hAnsi="Helvetica"/>
                <w:bCs/>
                <w:color w:val="1A1A1A"/>
              </w:rPr>
              <w:t>Any new options issued without a formal valuation carry the same governance risk as the earlier grants. Pausing does not mean abandoning the ESOP. It means containing the exposure until the strike price can be supported properly.</w:t>
            </w:r>
          </w:p>
        </w:tc>
      </w:tr>
      <w:tr w:rsidR="00436FFF" w:rsidRPr="00010CE7" w14:paraId="3F8D860B" w14:textId="77777777" w:rsidTr="00D25791">
        <w:tc>
          <w:tcPr>
            <w:tcW w:w="1704" w:type="dxa"/>
            <w:tcBorders>
              <w:top w:val="nil"/>
              <w:left w:val="nil"/>
              <w:bottom w:val="nil"/>
              <w:right w:val="nil"/>
            </w:tcBorders>
            <w:shd w:val="clear" w:color="auto" w:fill="174C3C"/>
            <w:vAlign w:val="center"/>
          </w:tcPr>
          <w:p w14:paraId="7EC4EDC8"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2</w:t>
            </w:r>
          </w:p>
        </w:tc>
        <w:tc>
          <w:tcPr>
            <w:tcW w:w="7656" w:type="dxa"/>
            <w:gridSpan w:val="2"/>
            <w:tcBorders>
              <w:top w:val="nil"/>
              <w:left w:val="nil"/>
              <w:bottom w:val="nil"/>
              <w:right w:val="nil"/>
            </w:tcBorders>
            <w:shd w:val="clear" w:color="auto" w:fill="FFFFFF" w:themeFill="background1"/>
            <w:vAlign w:val="center"/>
          </w:tcPr>
          <w:p w14:paraId="33794D5C" w14:textId="77777777" w:rsidR="008607D3" w:rsidRPr="008607D3" w:rsidRDefault="008607D3" w:rsidP="008607D3">
            <w:pPr>
              <w:shd w:val="clear" w:color="auto" w:fill="FFFFFF" w:themeFill="background1"/>
              <w:spacing w:line="300" w:lineRule="auto"/>
              <w:rPr>
                <w:rFonts w:ascii="Helvetica" w:hAnsi="Helvetica"/>
                <w:b/>
                <w:color w:val="1A1A1A"/>
              </w:rPr>
            </w:pPr>
            <w:r w:rsidRPr="008607D3">
              <w:rPr>
                <w:rFonts w:ascii="Helvetica" w:hAnsi="Helvetica"/>
                <w:b/>
                <w:color w:val="1A1A1A"/>
              </w:rPr>
              <w:t>Gather the existing ESOP documentation.</w:t>
            </w:r>
          </w:p>
          <w:p w14:paraId="193C7627" w14:textId="59BD0C47" w:rsidR="00436FFF" w:rsidRPr="008607D3" w:rsidRDefault="008607D3" w:rsidP="008607D3">
            <w:pPr>
              <w:spacing w:line="300" w:lineRule="auto"/>
              <w:rPr>
                <w:rFonts w:ascii="Helvetica" w:hAnsi="Helvetica"/>
                <w:bCs/>
                <w:color w:val="1A1A1A"/>
              </w:rPr>
            </w:pPr>
            <w:r w:rsidRPr="008607D3">
              <w:rPr>
                <w:rFonts w:ascii="Helvetica" w:hAnsi="Helvetica"/>
                <w:bCs/>
                <w:color w:val="1A1A1A"/>
              </w:rPr>
              <w:t xml:space="preserve">Pull together the option plan rules, grant letters, vesting schedules, cap table, shareholder agreements, latest financial statements, latest management accounts, previous fundraising documents, and any auditor or investor correspondence relating to the ESOP. </w:t>
            </w:r>
          </w:p>
        </w:tc>
      </w:tr>
      <w:tr w:rsidR="00436FFF" w:rsidRPr="00010CE7" w14:paraId="3787CA54" w14:textId="77777777" w:rsidTr="00387FED">
        <w:tc>
          <w:tcPr>
            <w:tcW w:w="1704" w:type="dxa"/>
            <w:tcBorders>
              <w:top w:val="nil"/>
              <w:left w:val="nil"/>
              <w:bottom w:val="nil"/>
              <w:right w:val="nil"/>
            </w:tcBorders>
            <w:shd w:val="clear" w:color="auto" w:fill="174C3C"/>
            <w:vAlign w:val="center"/>
          </w:tcPr>
          <w:p w14:paraId="335C1F9A"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3</w:t>
            </w:r>
          </w:p>
        </w:tc>
        <w:tc>
          <w:tcPr>
            <w:tcW w:w="7656" w:type="dxa"/>
            <w:gridSpan w:val="2"/>
            <w:tcBorders>
              <w:top w:val="nil"/>
              <w:left w:val="nil"/>
              <w:bottom w:val="nil"/>
              <w:right w:val="nil"/>
            </w:tcBorders>
            <w:shd w:val="clear" w:color="auto" w:fill="F7F5F2"/>
            <w:vAlign w:val="center"/>
          </w:tcPr>
          <w:p w14:paraId="00B367FF" w14:textId="77777777" w:rsidR="008607D3" w:rsidRPr="008607D3" w:rsidRDefault="008607D3" w:rsidP="008607D3">
            <w:pPr>
              <w:spacing w:line="300" w:lineRule="auto"/>
              <w:rPr>
                <w:rFonts w:ascii="Helvetica" w:hAnsi="Helvetica"/>
                <w:b/>
                <w:color w:val="1A1A1A"/>
              </w:rPr>
            </w:pPr>
            <w:r w:rsidRPr="008607D3">
              <w:rPr>
                <w:rFonts w:ascii="Helvetica" w:hAnsi="Helvetica"/>
                <w:b/>
                <w:color w:val="1A1A1A"/>
              </w:rPr>
              <w:t>Review the current strike price and grant history.</w:t>
            </w:r>
          </w:p>
          <w:p w14:paraId="3F72F0AC" w14:textId="7DA94F1D" w:rsidR="00436FFF" w:rsidRPr="008607D3" w:rsidRDefault="008607D3" w:rsidP="008607D3">
            <w:pPr>
              <w:spacing w:line="300" w:lineRule="auto"/>
              <w:rPr>
                <w:rFonts w:ascii="Helvetica" w:hAnsi="Helvetica"/>
                <w:bCs/>
                <w:color w:val="1A1A1A"/>
              </w:rPr>
            </w:pPr>
            <w:r w:rsidRPr="008607D3">
              <w:rPr>
                <w:rFonts w:ascii="Helvetica" w:hAnsi="Helvetica"/>
                <w:bCs/>
                <w:color w:val="1A1A1A"/>
              </w:rPr>
              <w:t>The valuation advisor should understand when options were granted, what strike price was used, how the number was determined, whether the business value has changed since then, and whether any grants need to be revisited from a documentation perspective.</w:t>
            </w:r>
          </w:p>
        </w:tc>
      </w:tr>
      <w:tr w:rsidR="00436FFF" w:rsidRPr="00010CE7" w14:paraId="4343BAF5" w14:textId="77777777" w:rsidTr="00C979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gridAfter w:val="1"/>
          <w:wAfter w:w="70" w:type="dxa"/>
        </w:trPr>
        <w:tc>
          <w:tcPr>
            <w:tcW w:w="9290" w:type="dxa"/>
            <w:gridSpan w:val="2"/>
          </w:tcPr>
          <w:p w14:paraId="05C0748B" w14:textId="77777777" w:rsidR="00436FFF" w:rsidRPr="00010CE7" w:rsidRDefault="00436FFF" w:rsidP="00010CE7">
            <w:pPr>
              <w:spacing w:line="300" w:lineRule="auto"/>
              <w:jc w:val="both"/>
              <w:rPr>
                <w:rFonts w:ascii="Helvetica" w:hAnsi="Helvetica"/>
                <w:color w:val="1A1A1A"/>
              </w:rPr>
            </w:pPr>
          </w:p>
        </w:tc>
      </w:tr>
      <w:tr w:rsidR="00436FFF" w:rsidRPr="00010CE7" w14:paraId="6EB72282" w14:textId="77777777" w:rsidTr="00C979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gridAfter w:val="1"/>
          <w:wAfter w:w="70" w:type="dxa"/>
          <w:trHeight w:val="60"/>
        </w:trPr>
        <w:tc>
          <w:tcPr>
            <w:tcW w:w="9290" w:type="dxa"/>
            <w:gridSpan w:val="2"/>
          </w:tcPr>
          <w:p w14:paraId="18682744" w14:textId="77777777" w:rsidR="00436FFF" w:rsidRPr="00010CE7" w:rsidRDefault="00436FFF" w:rsidP="00010CE7">
            <w:pPr>
              <w:spacing w:line="300" w:lineRule="auto"/>
              <w:jc w:val="both"/>
              <w:rPr>
                <w:rFonts w:ascii="Helvetica" w:hAnsi="Helvetica"/>
                <w:color w:val="1A1A1A"/>
              </w:rPr>
            </w:pPr>
          </w:p>
        </w:tc>
      </w:tr>
    </w:tbl>
    <w:p w14:paraId="63D61A33" w14:textId="06F49C1A" w:rsidR="002C145D" w:rsidRDefault="002C145D"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011CBD">
        <w:rPr>
          <w:rFonts w:ascii="Helvetica" w:hAnsi="Helvetica"/>
          <w:color w:val="1A1A1A"/>
          <w:sz w:val="20"/>
          <w:szCs w:val="20"/>
        </w:rPr>
        <w:t>7</w:t>
      </w:r>
    </w:p>
    <w:p w14:paraId="6F7C1E73" w14:textId="77777777" w:rsidR="00010CE7" w:rsidRPr="00010CE7" w:rsidRDefault="00010CE7" w:rsidP="00010CE7">
      <w:pPr>
        <w:spacing w:after="0" w:line="300" w:lineRule="auto"/>
      </w:pPr>
    </w:p>
    <w:p w14:paraId="27B80426" w14:textId="324AD61C" w:rsidR="002C145D" w:rsidRPr="00010CE7" w:rsidRDefault="00AE44B6" w:rsidP="00010CE7">
      <w:pPr>
        <w:pStyle w:val="Heading2"/>
        <w:spacing w:before="0" w:after="0" w:line="240" w:lineRule="auto"/>
        <w:jc w:val="both"/>
        <w:rPr>
          <w:rFonts w:ascii="Helvetica" w:hAnsi="Helvetica"/>
          <w:color w:val="174C3C"/>
          <w:sz w:val="40"/>
          <w:szCs w:val="40"/>
        </w:rPr>
      </w:pPr>
      <w:r w:rsidRPr="00AE44B6">
        <w:rPr>
          <w:rFonts w:ascii="Helvetica" w:hAnsi="Helvetica"/>
          <w:color w:val="174C3C"/>
          <w:sz w:val="40"/>
          <w:szCs w:val="40"/>
        </w:rPr>
        <w:t>Ready to secure your ESOP structure?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C145D" w:rsidRPr="00010CE7" w14:paraId="3674DFD1" w14:textId="77777777" w:rsidTr="00D25791">
        <w:tc>
          <w:tcPr>
            <w:tcW w:w="9350" w:type="dxa"/>
            <w:tcBorders>
              <w:bottom w:val="single" w:sz="6" w:space="0" w:color="E5E5E5"/>
            </w:tcBorders>
          </w:tcPr>
          <w:p w14:paraId="5983F5AD" w14:textId="77777777" w:rsidR="002C145D" w:rsidRPr="00010CE7" w:rsidRDefault="002C145D" w:rsidP="00010CE7">
            <w:pPr>
              <w:spacing w:line="300" w:lineRule="auto"/>
              <w:jc w:val="both"/>
              <w:rPr>
                <w:rFonts w:ascii="Helvetica" w:hAnsi="Helvetica"/>
                <w:color w:val="1A1A1A"/>
              </w:rPr>
            </w:pPr>
          </w:p>
        </w:tc>
      </w:tr>
      <w:tr w:rsidR="002C145D" w:rsidRPr="00010CE7" w14:paraId="6FD376DA" w14:textId="77777777" w:rsidTr="00D25791">
        <w:trPr>
          <w:trHeight w:val="60"/>
        </w:trPr>
        <w:tc>
          <w:tcPr>
            <w:tcW w:w="9350" w:type="dxa"/>
            <w:tcBorders>
              <w:top w:val="single" w:sz="6" w:space="0" w:color="E5E5E5"/>
            </w:tcBorders>
          </w:tcPr>
          <w:p w14:paraId="3CBB12F8" w14:textId="77777777" w:rsidR="0025713E" w:rsidRPr="00010CE7" w:rsidRDefault="0025713E" w:rsidP="00010CE7">
            <w:pPr>
              <w:spacing w:line="300" w:lineRule="auto"/>
              <w:jc w:val="both"/>
              <w:rPr>
                <w:rFonts w:ascii="Helvetica" w:hAnsi="Helvetica"/>
                <w:color w:val="1A1A1A"/>
              </w:rPr>
            </w:pPr>
          </w:p>
        </w:tc>
      </w:tr>
    </w:tbl>
    <w:p w14:paraId="5EC7DF9B" w14:textId="7A47BFD8" w:rsidR="000025CE" w:rsidRDefault="00AE44B6" w:rsidP="00010CE7">
      <w:pPr>
        <w:spacing w:after="0" w:line="300" w:lineRule="auto"/>
        <w:jc w:val="both"/>
        <w:rPr>
          <w:rFonts w:ascii="Helvetica" w:hAnsi="Helvetica"/>
          <w:color w:val="1A1A1A"/>
        </w:rPr>
      </w:pPr>
      <w:r w:rsidRPr="00AE44B6">
        <w:rPr>
          <w:rFonts w:ascii="Helvetica" w:hAnsi="Helvetica"/>
          <w:color w:val="1A1A1A"/>
        </w:rPr>
        <w:t>We will review your current ESOP, identify what valuation support is needed, and manage the auditor relationship directly so you do not have to navigate it alone.</w:t>
      </w:r>
    </w:p>
    <w:p w14:paraId="3301A8D1" w14:textId="77777777" w:rsidR="00AE44B6" w:rsidRPr="00010CE7" w:rsidRDefault="00AE44B6" w:rsidP="00010CE7">
      <w:pPr>
        <w:spacing w:after="0" w:line="300" w:lineRule="auto"/>
        <w:jc w:val="both"/>
        <w:rPr>
          <w:rFonts w:ascii="Helvetica" w:hAnsi="Helvetica"/>
          <w:color w:val="1A1A1A"/>
        </w:rPr>
      </w:pPr>
    </w:p>
    <w:p w14:paraId="58E8C478" w14:textId="13886B69" w:rsidR="00A93348" w:rsidRPr="00010CE7" w:rsidRDefault="00A93348" w:rsidP="00010CE7">
      <w:pPr>
        <w:spacing w:after="0" w:line="300" w:lineRule="auto"/>
        <w:jc w:val="both"/>
        <w:rPr>
          <w:rFonts w:ascii="Helvetica" w:hAnsi="Helvetica"/>
          <w:color w:val="1A1A1A"/>
        </w:rPr>
      </w:pPr>
      <w:r w:rsidRPr="00010CE7">
        <w:rPr>
          <w:rFonts w:ascii="Helvetica" w:hAnsi="Helvetica"/>
          <w:color w:val="1A1A1A"/>
        </w:rPr>
        <w:t xml:space="preserve">Book a call with </w:t>
      </w:r>
      <w:r w:rsidR="008607D3">
        <w:rPr>
          <w:rFonts w:ascii="Helvetica" w:hAnsi="Helvetica"/>
          <w:color w:val="1A1A1A"/>
        </w:rPr>
        <w:t xml:space="preserve">us </w:t>
      </w:r>
      <w:hyperlink r:id="rId7" w:history="1">
        <w:r w:rsidRPr="00010CE7">
          <w:rPr>
            <w:rStyle w:val="Hyperlink"/>
            <w:rFonts w:ascii="Helvetica" w:hAnsi="Helvetica"/>
          </w:rPr>
          <w:t>here</w:t>
        </w:r>
      </w:hyperlink>
      <w:r w:rsidRPr="00010CE7">
        <w:rPr>
          <w:rFonts w:ascii="Helvetica" w:hAnsi="Helvetica"/>
          <w:color w:val="1A1A1A"/>
        </w:rPr>
        <w:t>.</w:t>
      </w:r>
    </w:p>
    <w:p w14:paraId="0C1B59B4" w14:textId="77777777" w:rsidR="00031859" w:rsidRPr="00010CE7" w:rsidRDefault="00031859" w:rsidP="00010CE7">
      <w:pPr>
        <w:spacing w:after="0" w:line="300" w:lineRule="auto"/>
        <w:jc w:val="both"/>
        <w:rPr>
          <w:rFonts w:ascii="Helvetica" w:hAnsi="Helvetica"/>
          <w:color w:val="1A1A1A"/>
        </w:rPr>
      </w:pPr>
    </w:p>
    <w:sectPr w:rsidR="00031859" w:rsidRPr="00010CE7">
      <w:headerReference w:type="even" r:id="rId8"/>
      <w:headerReference w:type="default" r:id="rId9"/>
      <w:footerReference w:type="even"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9B2F1" w14:textId="77777777" w:rsidR="000E7578" w:rsidRDefault="000E7578" w:rsidP="000A5A0F">
      <w:pPr>
        <w:spacing w:after="0" w:line="240" w:lineRule="auto"/>
      </w:pPr>
      <w:r>
        <w:separator/>
      </w:r>
    </w:p>
  </w:endnote>
  <w:endnote w:type="continuationSeparator" w:id="0">
    <w:p w14:paraId="40987894" w14:textId="77777777" w:rsidR="000E7578" w:rsidRDefault="000E7578" w:rsidP="000A5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629" w14:textId="77777777" w:rsidR="001100F8" w:rsidRPr="001100F8" w:rsidRDefault="001100F8" w:rsidP="001100F8">
    <w:pPr>
      <w:pBdr>
        <w:top w:val="single" w:sz="4" w:space="6" w:color="CCCCCC"/>
      </w:pBdr>
      <w:tabs>
        <w:tab w:val="right" w:pos="9000"/>
      </w:tabs>
      <w:rPr>
        <w:rFonts w:ascii="Helvetica" w:hAnsi="Helvetica"/>
        <w:color w:val="1A1A1A"/>
        <w:sz w:val="32"/>
        <w:szCs w:val="32"/>
      </w:rPr>
    </w:pPr>
    <w:r w:rsidRPr="001100F8">
      <w:rPr>
        <w:rFonts w:ascii="Arial" w:eastAsia="Arial" w:hAnsi="Arial" w:cs="Arial"/>
        <w:color w:val="808080" w:themeColor="background1" w:themeShade="80"/>
        <w:sz w:val="16"/>
        <w:szCs w:val="16"/>
      </w:rPr>
      <w:t>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D3DA" w14:textId="00C44D75" w:rsidR="001100F8" w:rsidRPr="00031859" w:rsidRDefault="001100F8" w:rsidP="001100F8">
    <w:pPr>
      <w:pBdr>
        <w:top w:val="single" w:sz="4" w:space="6" w:color="CCCCCC"/>
      </w:pBdr>
      <w:tabs>
        <w:tab w:val="right" w:pos="9000"/>
      </w:tabs>
      <w:rPr>
        <w:rFonts w:ascii="Helvetica" w:hAnsi="Helvetica"/>
        <w:color w:val="1A1A1A"/>
        <w:sz w:val="16"/>
        <w:szCs w:val="16"/>
      </w:rPr>
    </w:pPr>
    <w:r w:rsidRPr="00031859">
      <w:rPr>
        <w:rFonts w:ascii="Helvetica" w:eastAsia="Arial" w:hAnsi="Helvetica" w:cs="Arial"/>
        <w:color w:val="1A1A1A"/>
        <w:sz w:val="16"/>
        <w:szCs w:val="16"/>
      </w:rPr>
      <w:t>2</w:t>
    </w:r>
    <w:r w:rsidR="00031859" w:rsidRPr="00031859">
      <w:rPr>
        <w:rFonts w:ascii="Helvetica" w:eastAsia="Arial" w:hAnsi="Helvetica" w:cs="Arial"/>
        <w:color w:val="1A1A1A"/>
        <w:sz w:val="16"/>
        <w:szCs w:val="16"/>
      </w:rPr>
      <w:t>02</w:t>
    </w:r>
    <w:r w:rsidRPr="00031859">
      <w:rPr>
        <w:rFonts w:ascii="Helvetica" w:eastAsia="Arial" w:hAnsi="Helvetica" w:cs="Arial"/>
        <w:color w:val="1A1A1A"/>
        <w:sz w:val="16"/>
        <w:szCs w:val="16"/>
      </w:rPr>
      <w:t xml:space="preserve">6 Bain Squared | </w:t>
    </w:r>
    <w:hyperlink r:id="rId1" w:history="1">
      <w:r w:rsidRPr="00031859">
        <w:rPr>
          <w:rStyle w:val="Hyperlink"/>
          <w:rFonts w:ascii="Helvetica" w:eastAsia="Arial" w:hAnsi="Helvetica" w:cs="Arial"/>
          <w:color w:val="1A1A1A"/>
          <w:sz w:val="16"/>
          <w:szCs w:val="16"/>
        </w:rPr>
        <w:t>www.bainsquared.com</w:t>
      </w:r>
    </w:hyperlink>
    <w:r w:rsidRPr="00031859">
      <w:rPr>
        <w:rFonts w:ascii="Helvetica" w:eastAsia="Arial" w:hAnsi="Helvetica" w:cs="Arial"/>
        <w:color w:val="1A1A1A"/>
        <w:sz w:val="16"/>
        <w:szCs w:val="16"/>
      </w:rPr>
      <w:t xml:space="preserve"> </w:t>
    </w:r>
    <w:r w:rsidRPr="00031859">
      <w:rPr>
        <w:rFonts w:ascii="Helvetica" w:eastAsia="Arial" w:hAnsi="Helvetica" w:cs="Arial"/>
        <w:color w:val="1A1A1A"/>
        <w:sz w:val="16"/>
        <w:szCs w:val="16"/>
      </w:rPr>
      <w:tab/>
      <w:t xml:space="preserve">Page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PAGE</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w:t>
    </w:r>
    <w:r w:rsidRPr="00031859">
      <w:rPr>
        <w:rFonts w:ascii="Helvetica" w:eastAsia="Arial" w:hAnsi="Helvetica" w:cs="Arial"/>
        <w:color w:val="1A1A1A"/>
        <w:sz w:val="16"/>
        <w:szCs w:val="16"/>
      </w:rPr>
      <w:fldChar w:fldCharType="end"/>
    </w:r>
    <w:r w:rsidRPr="00031859">
      <w:rPr>
        <w:rFonts w:ascii="Helvetica" w:eastAsia="Arial" w:hAnsi="Helvetica" w:cs="Arial"/>
        <w:color w:val="1A1A1A"/>
        <w:sz w:val="16"/>
        <w:szCs w:val="16"/>
      </w:rPr>
      <w:t xml:space="preserve"> of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NUMPAGES</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16</w:t>
    </w:r>
    <w:r w:rsidRPr="00031859">
      <w:rPr>
        <w:rFonts w:ascii="Helvetica" w:eastAsia="Arial" w:hAnsi="Helvetica" w:cs="Arial"/>
        <w:color w:val="1A1A1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431AB" w14:textId="77777777" w:rsidR="000E7578" w:rsidRDefault="000E7578" w:rsidP="000A5A0F">
      <w:pPr>
        <w:spacing w:after="0" w:line="240" w:lineRule="auto"/>
      </w:pPr>
      <w:r>
        <w:separator/>
      </w:r>
    </w:p>
  </w:footnote>
  <w:footnote w:type="continuationSeparator" w:id="0">
    <w:p w14:paraId="73685A31" w14:textId="77777777" w:rsidR="000E7578" w:rsidRDefault="000E7578" w:rsidP="000A5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2B56" w14:textId="77777777" w:rsidR="000A5A0F" w:rsidRDefault="000A5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2B1C" w14:textId="1CC5984D" w:rsidR="00031859" w:rsidRPr="00031859" w:rsidRDefault="00237CD4" w:rsidP="00031859">
    <w:pPr>
      <w:pBdr>
        <w:bottom w:val="single" w:sz="4" w:space="6" w:color="CCCCCC"/>
      </w:pBdr>
      <w:tabs>
        <w:tab w:val="right" w:pos="9000"/>
      </w:tabs>
      <w:jc w:val="right"/>
      <w:rPr>
        <w:rFonts w:ascii="Helvetica" w:hAnsi="Helvetica"/>
        <w:color w:val="1A1A1A"/>
        <w:sz w:val="16"/>
        <w:szCs w:val="16"/>
      </w:rPr>
    </w:pPr>
    <w:r w:rsidRPr="00237CD4">
      <w:rPr>
        <w:rFonts w:ascii="Helvetica" w:hAnsi="Helvetica"/>
        <w:color w:val="1A1A1A"/>
        <w:sz w:val="16"/>
        <w:szCs w:val="16"/>
      </w:rPr>
      <w:t>ESOP Valuation Advisory Report</w:t>
    </w:r>
    <w:r w:rsidR="00031859" w:rsidRPr="00031859">
      <w:rPr>
        <w:rFonts w:ascii="Helvetica" w:hAnsi="Helvetica"/>
        <w:color w:val="1A1A1A"/>
        <w:sz w:val="16"/>
        <w:szCs w:val="16"/>
      </w:rPr>
      <w:t xml:space="preserve">: </w:t>
    </w:r>
    <w:r w:rsidRPr="00237CD4">
      <w:rPr>
        <w:rFonts w:ascii="Helvetica" w:hAnsi="Helvetica"/>
        <w:color w:val="1A1A1A"/>
        <w:sz w:val="16"/>
        <w:szCs w:val="16"/>
      </w:rPr>
      <w:t>ESOP Compliance</w:t>
    </w:r>
    <w:r w:rsidR="00924C2A">
      <w:rPr>
        <w:rFonts w:ascii="Helvetica" w:hAnsi="Helvetica"/>
        <w:color w:val="1A1A1A"/>
        <w:sz w:val="16"/>
        <w:szCs w:val="16"/>
      </w:rPr>
      <w:t xml:space="preserve"> and</w:t>
    </w:r>
    <w:r w:rsidRPr="00237CD4">
      <w:rPr>
        <w:rFonts w:ascii="Helvetica" w:hAnsi="Helvetica"/>
        <w:color w:val="1A1A1A"/>
        <w:sz w:val="16"/>
        <w:szCs w:val="16"/>
      </w:rPr>
      <w:t xml:space="preserve"> Governance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283B" w14:textId="77777777" w:rsidR="000A5A0F" w:rsidRDefault="000A5A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5C"/>
    <w:rsid w:val="000025CE"/>
    <w:rsid w:val="00010CE7"/>
    <w:rsid w:val="00011CBD"/>
    <w:rsid w:val="000254D9"/>
    <w:rsid w:val="00031859"/>
    <w:rsid w:val="000A5A0F"/>
    <w:rsid w:val="000B65DC"/>
    <w:rsid w:val="000C2FD7"/>
    <w:rsid w:val="000E14BB"/>
    <w:rsid w:val="000E7578"/>
    <w:rsid w:val="001100F8"/>
    <w:rsid w:val="001B052F"/>
    <w:rsid w:val="001C19CB"/>
    <w:rsid w:val="001C7889"/>
    <w:rsid w:val="00237CD4"/>
    <w:rsid w:val="0025713E"/>
    <w:rsid w:val="00293358"/>
    <w:rsid w:val="002A3DAD"/>
    <w:rsid w:val="002C145D"/>
    <w:rsid w:val="0034532B"/>
    <w:rsid w:val="00350144"/>
    <w:rsid w:val="00382DC8"/>
    <w:rsid w:val="00387FED"/>
    <w:rsid w:val="00435F90"/>
    <w:rsid w:val="00436FFF"/>
    <w:rsid w:val="00501D0A"/>
    <w:rsid w:val="005B3A89"/>
    <w:rsid w:val="0060274C"/>
    <w:rsid w:val="00666589"/>
    <w:rsid w:val="006A7B5C"/>
    <w:rsid w:val="0073709B"/>
    <w:rsid w:val="007A6F1C"/>
    <w:rsid w:val="007D5EEB"/>
    <w:rsid w:val="008607D3"/>
    <w:rsid w:val="008B4850"/>
    <w:rsid w:val="008E2A6F"/>
    <w:rsid w:val="00924C2A"/>
    <w:rsid w:val="00926540"/>
    <w:rsid w:val="009429BB"/>
    <w:rsid w:val="00965E5F"/>
    <w:rsid w:val="009E58F1"/>
    <w:rsid w:val="00A1627F"/>
    <w:rsid w:val="00A93348"/>
    <w:rsid w:val="00AE44B6"/>
    <w:rsid w:val="00B45EA6"/>
    <w:rsid w:val="00D25791"/>
    <w:rsid w:val="00D74AE5"/>
    <w:rsid w:val="00DD06FE"/>
    <w:rsid w:val="00E04339"/>
    <w:rsid w:val="00E82BCD"/>
    <w:rsid w:val="00EF5496"/>
    <w:rsid w:val="00FD495A"/>
    <w:rsid w:val="00FF5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C0BD"/>
  <w15:chartTrackingRefBased/>
  <w15:docId w15:val="{5D278724-BBCF-9A41-9D02-B8962BCD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5C"/>
    <w:rPr>
      <w:rFonts w:eastAsiaTheme="majorEastAsia" w:cstheme="majorBidi"/>
      <w:color w:val="272727" w:themeColor="text1" w:themeTint="D8"/>
    </w:rPr>
  </w:style>
  <w:style w:type="paragraph" w:styleId="Title">
    <w:name w:val="Title"/>
    <w:basedOn w:val="Normal"/>
    <w:next w:val="Normal"/>
    <w:link w:val="TitleChar"/>
    <w:uiPriority w:val="10"/>
    <w:qFormat/>
    <w:rsid w:val="006A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5C"/>
    <w:pPr>
      <w:spacing w:before="160"/>
      <w:jc w:val="center"/>
    </w:pPr>
    <w:rPr>
      <w:i/>
      <w:iCs/>
      <w:color w:val="404040" w:themeColor="text1" w:themeTint="BF"/>
    </w:rPr>
  </w:style>
  <w:style w:type="character" w:customStyle="1" w:styleId="QuoteChar">
    <w:name w:val="Quote Char"/>
    <w:basedOn w:val="DefaultParagraphFont"/>
    <w:link w:val="Quote"/>
    <w:uiPriority w:val="29"/>
    <w:rsid w:val="006A7B5C"/>
    <w:rPr>
      <w:i/>
      <w:iCs/>
      <w:color w:val="404040" w:themeColor="text1" w:themeTint="BF"/>
    </w:rPr>
  </w:style>
  <w:style w:type="paragraph" w:styleId="ListParagraph">
    <w:name w:val="List Paragraph"/>
    <w:basedOn w:val="Normal"/>
    <w:uiPriority w:val="34"/>
    <w:qFormat/>
    <w:rsid w:val="006A7B5C"/>
    <w:pPr>
      <w:ind w:left="720"/>
      <w:contextualSpacing/>
    </w:pPr>
  </w:style>
  <w:style w:type="character" w:styleId="IntenseEmphasis">
    <w:name w:val="Intense Emphasis"/>
    <w:basedOn w:val="DefaultParagraphFont"/>
    <w:uiPriority w:val="21"/>
    <w:qFormat/>
    <w:rsid w:val="006A7B5C"/>
    <w:rPr>
      <w:i/>
      <w:iCs/>
      <w:color w:val="0F4761" w:themeColor="accent1" w:themeShade="BF"/>
    </w:rPr>
  </w:style>
  <w:style w:type="paragraph" w:styleId="IntenseQuote">
    <w:name w:val="Intense Quote"/>
    <w:basedOn w:val="Normal"/>
    <w:next w:val="Normal"/>
    <w:link w:val="IntenseQuoteChar"/>
    <w:uiPriority w:val="30"/>
    <w:qFormat/>
    <w:rsid w:val="006A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B5C"/>
    <w:rPr>
      <w:i/>
      <w:iCs/>
      <w:color w:val="0F4761" w:themeColor="accent1" w:themeShade="BF"/>
    </w:rPr>
  </w:style>
  <w:style w:type="character" w:styleId="IntenseReference">
    <w:name w:val="Intense Reference"/>
    <w:basedOn w:val="DefaultParagraphFont"/>
    <w:uiPriority w:val="32"/>
    <w:qFormat/>
    <w:rsid w:val="006A7B5C"/>
    <w:rPr>
      <w:b/>
      <w:bCs/>
      <w:smallCaps/>
      <w:color w:val="0F4761" w:themeColor="accent1" w:themeShade="BF"/>
      <w:spacing w:val="5"/>
    </w:rPr>
  </w:style>
  <w:style w:type="table" w:styleId="TableGrid">
    <w:name w:val="Table Grid"/>
    <w:basedOn w:val="TableNormal"/>
    <w:uiPriority w:val="59"/>
    <w:rsid w:val="006A7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F"/>
  </w:style>
  <w:style w:type="paragraph" w:styleId="Footer">
    <w:name w:val="footer"/>
    <w:basedOn w:val="Normal"/>
    <w:link w:val="FooterChar"/>
    <w:uiPriority w:val="99"/>
    <w:unhideWhenUsed/>
    <w:rsid w:val="000A5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F"/>
  </w:style>
  <w:style w:type="character" w:styleId="Hyperlink">
    <w:name w:val="Hyperlink"/>
    <w:basedOn w:val="DefaultParagraphFont"/>
    <w:uiPriority w:val="99"/>
    <w:unhideWhenUsed/>
    <w:rsid w:val="001100F8"/>
    <w:rPr>
      <w:color w:val="467886" w:themeColor="hyperlink"/>
      <w:u w:val="single"/>
    </w:rPr>
  </w:style>
  <w:style w:type="character" w:styleId="UnresolvedMention">
    <w:name w:val="Unresolved Mention"/>
    <w:basedOn w:val="DefaultParagraphFont"/>
    <w:uiPriority w:val="99"/>
    <w:semiHidden/>
    <w:unhideWhenUsed/>
    <w:rsid w:val="001100F8"/>
    <w:rPr>
      <w:color w:val="605E5C"/>
      <w:shd w:val="clear" w:color="auto" w:fill="E1DFDD"/>
    </w:rPr>
  </w:style>
  <w:style w:type="table" w:customStyle="1" w:styleId="TableGrid1">
    <w:name w:val="Table Grid1"/>
    <w:basedOn w:val="TableNormal"/>
    <w:next w:val="TableGrid"/>
    <w:uiPriority w:val="59"/>
    <w:rsid w:val="00011CBD"/>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al.com/bain-squared/ia-valuation"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bainsqua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Tan</dc:creator>
  <cp:keywords/>
  <dc:description/>
  <cp:lastModifiedBy>Nicholas Tan</cp:lastModifiedBy>
  <cp:revision>3</cp:revision>
  <cp:lastPrinted>2026-05-08T13:28:00Z</cp:lastPrinted>
  <dcterms:created xsi:type="dcterms:W3CDTF">2026-05-08T13:28:00Z</dcterms:created>
  <dcterms:modified xsi:type="dcterms:W3CDTF">2026-05-08T13:28:00Z</dcterms:modified>
</cp:coreProperties>
</file>