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5F2"/>
  <w:body>
    <w:p w14:paraId="58412447" w14:textId="03A3FB93" w:rsidR="007D5EEB" w:rsidRPr="00010CE7" w:rsidRDefault="00031859" w:rsidP="00010CE7">
      <w:pPr>
        <w:spacing w:after="0" w:line="300" w:lineRule="auto"/>
        <w:jc w:val="both"/>
        <w:rPr>
          <w:rFonts w:ascii="Helvetica" w:hAnsi="Helvetica"/>
          <w:color w:val="F7F5F2"/>
        </w:rPr>
      </w:pPr>
      <w:r w:rsidRPr="00010CE7">
        <w:rPr>
          <w:rFonts w:ascii="Helvetica" w:hAnsi="Helvetica"/>
          <w:noProof/>
          <w:color w:val="F7F5F2"/>
        </w:rPr>
        <mc:AlternateContent>
          <mc:Choice Requires="wps">
            <w:drawing>
              <wp:anchor distT="0" distB="0" distL="114300" distR="114300" simplePos="0" relativeHeight="251659264" behindDoc="1" locked="0" layoutInCell="1" allowOverlap="1" wp14:anchorId="2969FF22" wp14:editId="1DEE4D4A">
                <wp:simplePos x="0" y="0"/>
                <wp:positionH relativeFrom="column">
                  <wp:posOffset>-913130</wp:posOffset>
                </wp:positionH>
                <wp:positionV relativeFrom="paragraph">
                  <wp:posOffset>-1099185</wp:posOffset>
                </wp:positionV>
                <wp:extent cx="7772400" cy="10515600"/>
                <wp:effectExtent l="0" t="0" r="12700" b="12700"/>
                <wp:wrapNone/>
                <wp:docPr id="403793553" name="Rectangle 2"/>
                <wp:cNvGraphicFramePr/>
                <a:graphic xmlns:a="http://schemas.openxmlformats.org/drawingml/2006/main">
                  <a:graphicData uri="http://schemas.microsoft.com/office/word/2010/wordprocessingShape">
                    <wps:wsp>
                      <wps:cNvSpPr/>
                      <wps:spPr>
                        <a:xfrm>
                          <a:off x="0" y="0"/>
                          <a:ext cx="7772400" cy="10515600"/>
                        </a:xfrm>
                        <a:prstGeom prst="rect">
                          <a:avLst/>
                        </a:prstGeom>
                        <a:solidFill>
                          <a:srgbClr val="174C3C"/>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9B00E9" id="Rectangle 2" o:spid="_x0000_s1026" style="position:absolute;margin-left:-71.9pt;margin-top:-86.55pt;width:612pt;height:828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" fillcolor="#174c3c" strokecolor="#030e13 [484]" strokeweight="1pt"/>
            </w:pict>
          </mc:Fallback>
        </mc:AlternateContent>
      </w:r>
      <w:r w:rsidRPr="00010CE7">
        <w:rPr>
          <w:rFonts w:ascii="Helvetica" w:hAnsi="Helvetica"/>
          <w:noProof/>
          <w:color w:val="1A1A1A"/>
        </w:rPr>
        <w:drawing>
          <wp:inline distT="0" distB="0" distL="0" distR="0" wp14:anchorId="5AA18B32" wp14:editId="2AE144F6">
            <wp:extent cx="2560320" cy="595493"/>
            <wp:effectExtent l="0" t="0" r="0" b="1905"/>
            <wp:docPr id="257914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4837" name="Picture 2579148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0320" cy="595493"/>
                    </a:xfrm>
                    <a:prstGeom prst="rect">
                      <a:avLst/>
                    </a:prstGeom>
                  </pic:spPr>
                </pic:pic>
              </a:graphicData>
            </a:graphic>
          </wp:inline>
        </w:drawing>
      </w:r>
    </w:p>
    <w:p w14:paraId="3072E8D0" w14:textId="77777777" w:rsidR="007D5EEB" w:rsidRPr="00010CE7" w:rsidRDefault="007D5EEB" w:rsidP="00010CE7">
      <w:pPr>
        <w:spacing w:after="0" w:line="300" w:lineRule="auto"/>
        <w:jc w:val="both"/>
        <w:rPr>
          <w:rFonts w:ascii="Helvetica" w:hAnsi="Helvetica"/>
          <w:color w:val="F7F5F2"/>
        </w:rPr>
      </w:pPr>
    </w:p>
    <w:p w14:paraId="7B2730C6" w14:textId="5888B7B8" w:rsidR="007D5EEB" w:rsidRPr="00010CE7" w:rsidRDefault="007D5EEB" w:rsidP="00010CE7">
      <w:pPr>
        <w:spacing w:after="0" w:line="300" w:lineRule="auto"/>
        <w:jc w:val="both"/>
        <w:rPr>
          <w:rFonts w:ascii="Helvetica" w:hAnsi="Helvetica"/>
          <w:color w:val="F7F5F2"/>
        </w:rPr>
      </w:pPr>
    </w:p>
    <w:p w14:paraId="52E1FB70" w14:textId="77777777" w:rsidR="00010CE7" w:rsidRDefault="00010CE7" w:rsidP="00010CE7">
      <w:pPr>
        <w:spacing w:after="0" w:line="300" w:lineRule="auto"/>
        <w:jc w:val="both"/>
        <w:rPr>
          <w:rFonts w:ascii="Helvetica" w:hAnsi="Helvetica"/>
          <w:color w:val="F7F5F2"/>
        </w:rPr>
      </w:pPr>
    </w:p>
    <w:p w14:paraId="0B20C909" w14:textId="77777777" w:rsidR="00010CE7" w:rsidRDefault="00010CE7" w:rsidP="00010CE7">
      <w:pPr>
        <w:spacing w:after="0" w:line="300" w:lineRule="auto"/>
        <w:jc w:val="both"/>
        <w:rPr>
          <w:rFonts w:ascii="Helvetica" w:hAnsi="Helvetica"/>
          <w:color w:val="F7F5F2"/>
        </w:rPr>
      </w:pPr>
    </w:p>
    <w:p w14:paraId="1071C9EB" w14:textId="77777777" w:rsidR="00010CE7" w:rsidRDefault="00010CE7" w:rsidP="00010CE7">
      <w:pPr>
        <w:spacing w:after="0" w:line="300" w:lineRule="auto"/>
        <w:jc w:val="both"/>
        <w:rPr>
          <w:rFonts w:ascii="Helvetica" w:hAnsi="Helvetica"/>
          <w:color w:val="F7F5F2"/>
          <w:sz w:val="20"/>
          <w:szCs w:val="20"/>
        </w:rPr>
      </w:pPr>
    </w:p>
    <w:p w14:paraId="7CD3298F" w14:textId="77777777" w:rsidR="00010CE7" w:rsidRDefault="00010CE7" w:rsidP="00010CE7">
      <w:pPr>
        <w:spacing w:after="0" w:line="300" w:lineRule="auto"/>
        <w:jc w:val="both"/>
        <w:rPr>
          <w:rFonts w:ascii="Helvetica" w:hAnsi="Helvetica"/>
          <w:color w:val="F7F5F2"/>
          <w:sz w:val="20"/>
          <w:szCs w:val="20"/>
        </w:rPr>
      </w:pPr>
    </w:p>
    <w:p w14:paraId="15D8E42D" w14:textId="2AA4C391" w:rsidR="007D5EEB" w:rsidRPr="00010CE7" w:rsidRDefault="00011CBD" w:rsidP="00010CE7">
      <w:pPr>
        <w:spacing w:after="0" w:line="300" w:lineRule="auto"/>
        <w:jc w:val="both"/>
        <w:rPr>
          <w:rFonts w:ascii="Helvetica" w:hAnsi="Helvetica"/>
          <w:color w:val="F7F5F2"/>
          <w:sz w:val="20"/>
          <w:szCs w:val="20"/>
        </w:rPr>
      </w:pPr>
      <w:r>
        <w:rPr>
          <w:rFonts w:ascii="Helvetica" w:hAnsi="Helvetica"/>
          <w:color w:val="F7F5F2"/>
          <w:sz w:val="20"/>
          <w:szCs w:val="20"/>
        </w:rPr>
        <w:t>ESOP Valuation</w:t>
      </w:r>
      <w:r w:rsidR="00436FFF" w:rsidRPr="00010CE7">
        <w:rPr>
          <w:rFonts w:ascii="Helvetica" w:hAnsi="Helvetica"/>
          <w:color w:val="F7F5F2"/>
          <w:sz w:val="20"/>
          <w:szCs w:val="20"/>
        </w:rPr>
        <w:t xml:space="preserve"> Advisory Report</w:t>
      </w:r>
    </w:p>
    <w:p w14:paraId="36EF4958" w14:textId="20485E72" w:rsidR="007D5EEB" w:rsidRPr="00010CE7" w:rsidRDefault="007D5EEB" w:rsidP="00010CE7">
      <w:pPr>
        <w:spacing w:after="0" w:line="300" w:lineRule="auto"/>
        <w:jc w:val="both"/>
        <w:rPr>
          <w:rFonts w:ascii="Helvetica" w:hAnsi="Helvetica"/>
          <w:color w:val="F7F5F2"/>
        </w:rPr>
      </w:pPr>
    </w:p>
    <w:p w14:paraId="0632F39E" w14:textId="49FC1502" w:rsidR="007D5EEB" w:rsidRPr="00010CE7" w:rsidRDefault="00EE5C06" w:rsidP="00EE5C06">
      <w:pPr>
        <w:spacing w:after="0" w:line="300" w:lineRule="auto"/>
        <w:rPr>
          <w:rFonts w:ascii="Helvetica" w:hAnsi="Helvetica"/>
          <w:color w:val="F7F5F2"/>
        </w:rPr>
      </w:pPr>
      <w:r w:rsidRPr="00EE5C06">
        <w:rPr>
          <w:rFonts w:ascii="Helvetica" w:hAnsi="Helvetica"/>
          <w:b/>
          <w:bCs/>
          <w:color w:val="F7F5F2"/>
          <w:sz w:val="96"/>
          <w:szCs w:val="96"/>
        </w:rPr>
        <w:t>ESOP Starter Guide</w:t>
      </w:r>
    </w:p>
    <w:p w14:paraId="6DEF3564" w14:textId="77777777" w:rsidR="00010CE7" w:rsidRDefault="00010CE7" w:rsidP="00010CE7">
      <w:pPr>
        <w:spacing w:after="0" w:line="300" w:lineRule="auto"/>
        <w:jc w:val="both"/>
        <w:rPr>
          <w:rFonts w:ascii="Helvetica" w:hAnsi="Helvetica"/>
          <w:color w:val="F7F5F2"/>
        </w:rPr>
      </w:pPr>
    </w:p>
    <w:p w14:paraId="24EF991F" w14:textId="715E602B" w:rsidR="007D5EEB" w:rsidRDefault="00E021F5" w:rsidP="00010CE7">
      <w:pPr>
        <w:spacing w:after="0" w:line="300" w:lineRule="auto"/>
        <w:jc w:val="both"/>
        <w:rPr>
          <w:rFonts w:ascii="Helvetica" w:hAnsi="Helvetica"/>
          <w:color w:val="E5E5E5"/>
        </w:rPr>
      </w:pPr>
      <w:r w:rsidRPr="00E021F5">
        <w:rPr>
          <w:rFonts w:ascii="Helvetica" w:hAnsi="Helvetica"/>
          <w:color w:val="E5E5E5"/>
        </w:rPr>
        <w:t>Prepared for founders and finance leaders who are in the early stages of ESOP planning and want to understand the process before making commitments.</w:t>
      </w:r>
    </w:p>
    <w:p w14:paraId="2135DD45" w14:textId="77777777" w:rsidR="00E021F5" w:rsidRPr="00010CE7" w:rsidRDefault="00E021F5" w:rsidP="00010CE7">
      <w:pPr>
        <w:spacing w:after="0" w:line="300" w:lineRule="auto"/>
        <w:jc w:val="both"/>
        <w:rPr>
          <w:rFonts w:ascii="Helvetica" w:hAnsi="Helvetica"/>
          <w:color w:val="E5E5E5"/>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tblGrid>
      <w:tr w:rsidR="007D5EEB" w:rsidRPr="00010CE7" w14:paraId="5965C067" w14:textId="77777777" w:rsidTr="007D5EEB">
        <w:tc>
          <w:tcPr>
            <w:tcW w:w="1440" w:type="dxa"/>
            <w:tcBorders>
              <w:bottom w:val="single" w:sz="24" w:space="0" w:color="F7F5F2"/>
            </w:tcBorders>
          </w:tcPr>
          <w:p w14:paraId="4E2415D1" w14:textId="77777777" w:rsidR="007D5EEB" w:rsidRPr="00010CE7" w:rsidRDefault="007D5EEB" w:rsidP="00010CE7">
            <w:pPr>
              <w:spacing w:line="300" w:lineRule="auto"/>
              <w:jc w:val="both"/>
              <w:rPr>
                <w:rFonts w:ascii="Helvetica" w:hAnsi="Helvetica"/>
                <w:color w:val="F7F5F2"/>
              </w:rPr>
            </w:pPr>
          </w:p>
        </w:tc>
      </w:tr>
      <w:tr w:rsidR="007D5EEB" w:rsidRPr="00010CE7" w14:paraId="35C8C6CE" w14:textId="77777777" w:rsidTr="007D5EEB">
        <w:trPr>
          <w:trHeight w:val="60"/>
        </w:trPr>
        <w:tc>
          <w:tcPr>
            <w:tcW w:w="1440" w:type="dxa"/>
            <w:tcBorders>
              <w:top w:val="single" w:sz="24" w:space="0" w:color="F7F5F2"/>
            </w:tcBorders>
          </w:tcPr>
          <w:p w14:paraId="2F930237" w14:textId="77777777" w:rsidR="007D5EEB" w:rsidRPr="00010CE7" w:rsidRDefault="007D5EEB" w:rsidP="00010CE7">
            <w:pPr>
              <w:spacing w:line="300" w:lineRule="auto"/>
              <w:jc w:val="both"/>
              <w:rPr>
                <w:rFonts w:ascii="Helvetica" w:hAnsi="Helvetica"/>
                <w:color w:val="F7F5F2"/>
              </w:rPr>
            </w:pPr>
          </w:p>
        </w:tc>
      </w:tr>
    </w:tbl>
    <w:p w14:paraId="1052098C" w14:textId="77777777" w:rsidR="007D5EEB" w:rsidRPr="00010CE7" w:rsidRDefault="007D5EEB" w:rsidP="00010CE7">
      <w:pPr>
        <w:spacing w:after="0" w:line="300" w:lineRule="auto"/>
        <w:jc w:val="both"/>
        <w:rPr>
          <w:rFonts w:ascii="Helvetica" w:hAnsi="Helvetica"/>
          <w:color w:val="F7F5F2"/>
        </w:rPr>
      </w:pPr>
    </w:p>
    <w:p w14:paraId="3D095221" w14:textId="13AF9504" w:rsidR="007D5EEB" w:rsidRPr="00010CE7" w:rsidRDefault="007D5EEB" w:rsidP="00010CE7">
      <w:pPr>
        <w:spacing w:after="0" w:line="300" w:lineRule="auto"/>
        <w:jc w:val="both"/>
        <w:rPr>
          <w:rFonts w:ascii="Helvetica" w:hAnsi="Helvetica"/>
          <w:color w:val="F7F5F2"/>
          <w:sz w:val="20"/>
          <w:szCs w:val="20"/>
        </w:rPr>
      </w:pPr>
      <w:r w:rsidRPr="00010CE7">
        <w:rPr>
          <w:rFonts w:ascii="Helvetica" w:hAnsi="Helvetica"/>
          <w:color w:val="F7F5F2"/>
          <w:sz w:val="20"/>
          <w:szCs w:val="20"/>
        </w:rPr>
        <w:t>Prepared by: Bain Squared Valuation Advisory</w:t>
      </w:r>
    </w:p>
    <w:p w14:paraId="76BDB638" w14:textId="77777777" w:rsidR="00436FFF" w:rsidRPr="00010CE7" w:rsidRDefault="00436FFF" w:rsidP="00010CE7">
      <w:pPr>
        <w:spacing w:after="0" w:line="300" w:lineRule="auto"/>
        <w:jc w:val="both"/>
        <w:rPr>
          <w:rFonts w:ascii="Helvetica" w:hAnsi="Helvetica"/>
          <w:color w:val="F7F5F2"/>
        </w:rPr>
      </w:pPr>
    </w:p>
    <w:p w14:paraId="12FA37EE" w14:textId="77777777" w:rsidR="00436FFF" w:rsidRPr="00010CE7" w:rsidRDefault="00436FFF" w:rsidP="00010CE7">
      <w:pPr>
        <w:spacing w:after="0" w:line="300" w:lineRule="auto"/>
        <w:jc w:val="both"/>
        <w:rPr>
          <w:rFonts w:ascii="Helvetica" w:hAnsi="Helvetica"/>
          <w:color w:val="F7F5F2"/>
        </w:rPr>
      </w:pPr>
    </w:p>
    <w:p w14:paraId="5205B35A" w14:textId="77777777" w:rsidR="00436FFF" w:rsidRPr="00010CE7" w:rsidRDefault="00436FFF" w:rsidP="00010CE7">
      <w:pPr>
        <w:spacing w:after="0" w:line="300" w:lineRule="auto"/>
        <w:jc w:val="both"/>
        <w:rPr>
          <w:rFonts w:ascii="Helvetica" w:hAnsi="Helvetica"/>
          <w:color w:val="F7F5F2"/>
        </w:rPr>
      </w:pPr>
    </w:p>
    <w:p w14:paraId="23BAF020" w14:textId="77777777" w:rsidR="00011CBD" w:rsidRDefault="00011CBD" w:rsidP="00010CE7">
      <w:pPr>
        <w:spacing w:after="0" w:line="300" w:lineRule="auto"/>
        <w:jc w:val="both"/>
        <w:rPr>
          <w:rFonts w:ascii="Helvetica" w:hAnsi="Helvetica"/>
          <w:i/>
          <w:iCs/>
          <w:color w:val="F7F5F2"/>
          <w:sz w:val="20"/>
          <w:szCs w:val="20"/>
        </w:rPr>
      </w:pPr>
      <w:r w:rsidRPr="00011CBD">
        <w:rPr>
          <w:rFonts w:ascii="Helvetica" w:hAnsi="Helvetica"/>
          <w:i/>
          <w:iCs/>
          <w:color w:val="F7F5F2"/>
          <w:sz w:val="20"/>
          <w:szCs w:val="20"/>
        </w:rPr>
        <w:t>Important notice: This guide is general guidance based on assessment responses. It is not a valuation report, audit opinion, legal advice, tax advice, investment advice, or employee communication advice. Formal advice requires a separate engagement and review of source documentation. For legal, tax, audit, or corporate secretarial matters, consult the relevant qualified professional.</w:t>
      </w:r>
    </w:p>
    <w:p w14:paraId="14A064F6" w14:textId="77777777" w:rsidR="008607D3" w:rsidRDefault="008607D3">
      <w:pPr>
        <w:rPr>
          <w:rFonts w:ascii="Helvetica" w:hAnsi="Helvetica"/>
          <w:color w:val="1A1A1A"/>
          <w:sz w:val="20"/>
          <w:szCs w:val="20"/>
        </w:rPr>
      </w:pPr>
      <w:r>
        <w:rPr>
          <w:rFonts w:ascii="Helvetica" w:hAnsi="Helvetica"/>
          <w:color w:val="1A1A1A"/>
          <w:sz w:val="20"/>
          <w:szCs w:val="20"/>
        </w:rPr>
        <w:br w:type="page"/>
      </w:r>
    </w:p>
    <w:p w14:paraId="149DB88E" w14:textId="77777777" w:rsidR="00E021F5" w:rsidRPr="00010CE7" w:rsidRDefault="00E021F5" w:rsidP="00E021F5">
      <w:pPr>
        <w:spacing w:after="0" w:line="240" w:lineRule="auto"/>
        <w:jc w:val="both"/>
        <w:rPr>
          <w:rFonts w:ascii="Helvetica" w:hAnsi="Helvetica"/>
          <w:color w:val="174C3C"/>
          <w:sz w:val="40"/>
          <w:szCs w:val="40"/>
        </w:rPr>
      </w:pPr>
      <w:r w:rsidRPr="000025CE">
        <w:rPr>
          <w:rFonts w:ascii="Helvetica" w:hAnsi="Helvetica"/>
          <w:color w:val="174C3C"/>
          <w:sz w:val="40"/>
          <w:szCs w:val="40"/>
        </w:rPr>
        <w:lastRenderedPageBreak/>
        <w:t>Your Assessment Summary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E021F5" w:rsidRPr="00010CE7" w14:paraId="6D19FEAB" w14:textId="77777777" w:rsidTr="00527C4E">
        <w:tc>
          <w:tcPr>
            <w:tcW w:w="9350" w:type="dxa"/>
            <w:tcBorders>
              <w:bottom w:val="single" w:sz="6" w:space="0" w:color="E5E5E5"/>
            </w:tcBorders>
          </w:tcPr>
          <w:p w14:paraId="01BDE580" w14:textId="77777777" w:rsidR="00E021F5" w:rsidRPr="00010CE7" w:rsidRDefault="00E021F5" w:rsidP="00527C4E">
            <w:pPr>
              <w:spacing w:line="300" w:lineRule="auto"/>
              <w:jc w:val="both"/>
              <w:rPr>
                <w:rFonts w:ascii="Helvetica" w:hAnsi="Helvetica"/>
                <w:color w:val="1A1A1A"/>
              </w:rPr>
            </w:pPr>
          </w:p>
        </w:tc>
      </w:tr>
      <w:tr w:rsidR="00E021F5" w:rsidRPr="00010CE7" w14:paraId="0D4C03CD" w14:textId="77777777" w:rsidTr="00527C4E">
        <w:trPr>
          <w:trHeight w:val="60"/>
        </w:trPr>
        <w:tc>
          <w:tcPr>
            <w:tcW w:w="9350" w:type="dxa"/>
            <w:tcBorders>
              <w:top w:val="single" w:sz="6" w:space="0" w:color="E5E5E5"/>
            </w:tcBorders>
          </w:tcPr>
          <w:p w14:paraId="194BD58B" w14:textId="77777777" w:rsidR="00E021F5" w:rsidRPr="00010CE7" w:rsidRDefault="00E021F5" w:rsidP="00527C4E">
            <w:pPr>
              <w:spacing w:line="300" w:lineRule="auto"/>
              <w:jc w:val="both"/>
              <w:rPr>
                <w:rFonts w:ascii="Helvetica" w:hAnsi="Helvetica"/>
                <w:color w:val="1A1A1A"/>
              </w:rPr>
            </w:pPr>
          </w:p>
        </w:tc>
      </w:tr>
    </w:tbl>
    <w:p w14:paraId="383A7BD5" w14:textId="2398A6F5" w:rsidR="00E021F5" w:rsidRDefault="00E021F5" w:rsidP="00E021F5">
      <w:pPr>
        <w:spacing w:after="0" w:line="300" w:lineRule="auto"/>
        <w:jc w:val="both"/>
        <w:rPr>
          <w:rFonts w:ascii="Helvetica" w:hAnsi="Helvetica"/>
          <w:color w:val="1A1A1A"/>
        </w:rPr>
      </w:pPr>
      <w:r w:rsidRPr="00E021F5">
        <w:rPr>
          <w:rFonts w:ascii="Helvetica" w:hAnsi="Helvetica"/>
          <w:color w:val="1A1A1A"/>
        </w:rPr>
        <w:t>Based on your responses, you are in the early stages of ESOP exploration. You do not have an active demand for equity from employees and no immediate timeline to implement a plan. You do not need a valuation today. This guide explains what triggers the need for a formal valuation so you are prepared when the time 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E021F5" w:rsidRPr="00010CE7" w14:paraId="349E790E" w14:textId="77777777" w:rsidTr="00527C4E">
        <w:tc>
          <w:tcPr>
            <w:tcW w:w="9350" w:type="dxa"/>
          </w:tcPr>
          <w:p w14:paraId="36AD623C" w14:textId="77777777" w:rsidR="00E021F5" w:rsidRPr="00010CE7" w:rsidRDefault="00E021F5" w:rsidP="00527C4E">
            <w:pPr>
              <w:spacing w:line="300" w:lineRule="auto"/>
              <w:jc w:val="both"/>
              <w:rPr>
                <w:rFonts w:ascii="Helvetica" w:hAnsi="Helvetica"/>
                <w:color w:val="1A1A1A"/>
              </w:rPr>
            </w:pPr>
          </w:p>
        </w:tc>
      </w:tr>
      <w:tr w:rsidR="00E021F5" w:rsidRPr="00010CE7" w14:paraId="3CF91008" w14:textId="77777777" w:rsidTr="00527C4E">
        <w:trPr>
          <w:trHeight w:val="60"/>
        </w:trPr>
        <w:tc>
          <w:tcPr>
            <w:tcW w:w="9350" w:type="dxa"/>
          </w:tcPr>
          <w:p w14:paraId="3E96DF15" w14:textId="77777777" w:rsidR="00E021F5" w:rsidRPr="00010CE7" w:rsidRDefault="00E021F5" w:rsidP="00527C4E">
            <w:pPr>
              <w:spacing w:line="300" w:lineRule="auto"/>
              <w:jc w:val="both"/>
              <w:rPr>
                <w:rFonts w:ascii="Helvetica" w:hAnsi="Helvetica"/>
                <w:color w:val="1A1A1A"/>
              </w:rPr>
            </w:pPr>
          </w:p>
        </w:tc>
      </w:tr>
    </w:tbl>
    <w:p w14:paraId="4D2BF309" w14:textId="70CD7222" w:rsidR="000E14BB" w:rsidRPr="00010CE7" w:rsidRDefault="000E14BB" w:rsidP="000E14BB">
      <w:pPr>
        <w:spacing w:after="0" w:line="300" w:lineRule="auto"/>
        <w:jc w:val="both"/>
        <w:rPr>
          <w:rFonts w:ascii="Helvetica" w:hAnsi="Helvetica"/>
          <w:color w:val="1A1A1A"/>
          <w:sz w:val="20"/>
          <w:szCs w:val="20"/>
        </w:rPr>
      </w:pPr>
      <w:r w:rsidRPr="00010CE7">
        <w:rPr>
          <w:rFonts w:ascii="Helvetica" w:hAnsi="Helvetica"/>
          <w:color w:val="1A1A1A"/>
          <w:sz w:val="20"/>
          <w:szCs w:val="20"/>
        </w:rPr>
        <w:t>Section 01</w:t>
      </w:r>
    </w:p>
    <w:p w14:paraId="2A1773E4" w14:textId="77777777" w:rsidR="000E14BB" w:rsidRPr="00010CE7" w:rsidRDefault="000E14BB" w:rsidP="000E14BB">
      <w:pPr>
        <w:spacing w:after="0" w:line="300" w:lineRule="auto"/>
        <w:jc w:val="both"/>
        <w:rPr>
          <w:rFonts w:ascii="Helvetica" w:hAnsi="Helvetica"/>
          <w:color w:val="1A1A1A"/>
        </w:rPr>
      </w:pPr>
    </w:p>
    <w:p w14:paraId="60C5C093" w14:textId="0437E29B" w:rsidR="000E14BB" w:rsidRPr="00010CE7" w:rsidRDefault="00EE5C06" w:rsidP="000E14BB">
      <w:pPr>
        <w:spacing w:after="0" w:line="240" w:lineRule="auto"/>
        <w:jc w:val="both"/>
        <w:rPr>
          <w:rFonts w:ascii="Helvetica" w:hAnsi="Helvetica"/>
          <w:color w:val="174C3C"/>
          <w:sz w:val="40"/>
          <w:szCs w:val="40"/>
        </w:rPr>
      </w:pPr>
      <w:r w:rsidRPr="00EE5C06">
        <w:rPr>
          <w:rFonts w:ascii="Helvetica" w:hAnsi="Helvetica"/>
          <w:color w:val="174C3C"/>
          <w:sz w:val="40"/>
          <w:szCs w:val="40"/>
        </w:rPr>
        <w:t>You are early, which means you still have time to structure this properly.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E14BB" w:rsidRPr="00010CE7" w14:paraId="635E7D51" w14:textId="77777777" w:rsidTr="00C9796D">
        <w:tc>
          <w:tcPr>
            <w:tcW w:w="9350" w:type="dxa"/>
            <w:tcBorders>
              <w:bottom w:val="single" w:sz="6" w:space="0" w:color="E5E5E5"/>
            </w:tcBorders>
          </w:tcPr>
          <w:p w14:paraId="1D79C3F0" w14:textId="77777777" w:rsidR="000E14BB" w:rsidRPr="00010CE7" w:rsidRDefault="000E14BB" w:rsidP="00C9796D">
            <w:pPr>
              <w:spacing w:line="300" w:lineRule="auto"/>
              <w:jc w:val="both"/>
              <w:rPr>
                <w:rFonts w:ascii="Helvetica" w:hAnsi="Helvetica"/>
                <w:color w:val="1A1A1A"/>
              </w:rPr>
            </w:pPr>
          </w:p>
        </w:tc>
      </w:tr>
      <w:tr w:rsidR="000E14BB" w:rsidRPr="00010CE7" w14:paraId="34A4DFB1" w14:textId="77777777" w:rsidTr="00C9796D">
        <w:trPr>
          <w:trHeight w:val="60"/>
        </w:trPr>
        <w:tc>
          <w:tcPr>
            <w:tcW w:w="9350" w:type="dxa"/>
            <w:tcBorders>
              <w:top w:val="single" w:sz="6" w:space="0" w:color="E5E5E5"/>
            </w:tcBorders>
          </w:tcPr>
          <w:p w14:paraId="3AFA6FEE" w14:textId="77777777" w:rsidR="000E14BB" w:rsidRPr="00010CE7" w:rsidRDefault="000E14BB" w:rsidP="00C9796D">
            <w:pPr>
              <w:spacing w:line="300" w:lineRule="auto"/>
              <w:jc w:val="both"/>
              <w:rPr>
                <w:rFonts w:ascii="Helvetica" w:hAnsi="Helvetica"/>
                <w:color w:val="1A1A1A"/>
              </w:rPr>
            </w:pPr>
          </w:p>
        </w:tc>
      </w:tr>
    </w:tbl>
    <w:p w14:paraId="566D31A6" w14:textId="77777777" w:rsidR="00EE5C06" w:rsidRDefault="00EE5C06" w:rsidP="00EE5C06">
      <w:pPr>
        <w:spacing w:after="0" w:line="300" w:lineRule="auto"/>
        <w:jc w:val="both"/>
        <w:rPr>
          <w:rFonts w:ascii="Helvetica" w:hAnsi="Helvetica"/>
          <w:color w:val="1A1A1A"/>
        </w:rPr>
      </w:pPr>
      <w:r w:rsidRPr="00EE5C06">
        <w:rPr>
          <w:rFonts w:ascii="Helvetica" w:hAnsi="Helvetica"/>
          <w:color w:val="1A1A1A"/>
        </w:rPr>
        <w:t>Your assessment responses suggest that employee retention matters to you, but you do not yet have an active demand for equity from employees and there is no immediate timeline to implement an Employee Share Option Plan.</w:t>
      </w:r>
    </w:p>
    <w:p w14:paraId="6B6DA3B5" w14:textId="77777777" w:rsidR="00EE5C06" w:rsidRPr="00EE5C06" w:rsidRDefault="00EE5C06" w:rsidP="00EE5C06">
      <w:pPr>
        <w:spacing w:after="0" w:line="300" w:lineRule="auto"/>
        <w:jc w:val="both"/>
        <w:rPr>
          <w:rFonts w:ascii="Helvetica" w:hAnsi="Helvetica"/>
          <w:color w:val="1A1A1A"/>
        </w:rPr>
      </w:pPr>
    </w:p>
    <w:p w14:paraId="361691A2" w14:textId="77777777" w:rsidR="00EE5C06" w:rsidRDefault="00EE5C06" w:rsidP="00EE5C06">
      <w:pPr>
        <w:spacing w:after="0" w:line="300" w:lineRule="auto"/>
        <w:jc w:val="both"/>
        <w:rPr>
          <w:rFonts w:ascii="Helvetica" w:hAnsi="Helvetica"/>
          <w:color w:val="1A1A1A"/>
        </w:rPr>
      </w:pPr>
      <w:r w:rsidRPr="00EE5C06">
        <w:rPr>
          <w:rFonts w:ascii="Helvetica" w:hAnsi="Helvetica"/>
          <w:color w:val="1A1A1A"/>
        </w:rPr>
        <w:t>That means you probably do not need a formal ESOP valuation today. But you should understand the triggers that make valuation urgent, because once a senior hire asks for equity, an investor reviews your cap table, or your auditor asks for support, the timeline compresses quickly.</w:t>
      </w:r>
    </w:p>
    <w:p w14:paraId="5388D53C" w14:textId="77777777" w:rsidR="00EE5C06" w:rsidRPr="00EE5C06" w:rsidRDefault="00EE5C06" w:rsidP="00EE5C06">
      <w:pPr>
        <w:spacing w:after="0" w:line="300" w:lineRule="auto"/>
        <w:jc w:val="both"/>
        <w:rPr>
          <w:rFonts w:ascii="Helvetica" w:hAnsi="Helvetica"/>
          <w:color w:val="1A1A1A"/>
        </w:rPr>
      </w:pPr>
    </w:p>
    <w:p w14:paraId="0DE5E7CA" w14:textId="1ADDD603" w:rsidR="000E14BB" w:rsidRPr="000E14BB" w:rsidRDefault="00EE5C06" w:rsidP="00EE5C06">
      <w:pPr>
        <w:spacing w:after="0" w:line="300" w:lineRule="auto"/>
        <w:jc w:val="both"/>
        <w:rPr>
          <w:rFonts w:ascii="Helvetica" w:hAnsi="Helvetica"/>
          <w:color w:val="1A1A1A"/>
        </w:rPr>
      </w:pPr>
      <w:r w:rsidRPr="00EE5C06">
        <w:rPr>
          <w:rFonts w:ascii="Helvetica" w:hAnsi="Helvetica"/>
          <w:color w:val="1A1A1A"/>
        </w:rPr>
        <w:t>This guide explains what an ESOP is, why valuation matters, when the need becomes urgent, and what you should prepare before moving from planning to execution.</w:t>
      </w:r>
    </w:p>
    <w:p w14:paraId="520BCEC9" w14:textId="77777777" w:rsidR="00E021F5" w:rsidRDefault="00E021F5">
      <w:pPr>
        <w:rPr>
          <w:rFonts w:ascii="Helvetica" w:hAnsi="Helvetica"/>
          <w:color w:val="1A1A1A"/>
          <w:sz w:val="20"/>
          <w:szCs w:val="20"/>
        </w:rPr>
      </w:pPr>
      <w:r>
        <w:rPr>
          <w:rFonts w:ascii="Helvetica" w:hAnsi="Helvetica"/>
          <w:color w:val="1A1A1A"/>
          <w:sz w:val="20"/>
          <w:szCs w:val="20"/>
        </w:rPr>
        <w:br w:type="page"/>
      </w:r>
    </w:p>
    <w:p w14:paraId="0608B6E6" w14:textId="3249BE07" w:rsidR="006A7B5C" w:rsidRPr="00010CE7" w:rsidRDefault="006A7B5C" w:rsidP="00010CE7">
      <w:pPr>
        <w:spacing w:after="0" w:line="300" w:lineRule="auto"/>
        <w:jc w:val="both"/>
        <w:rPr>
          <w:rFonts w:ascii="Helvetica" w:hAnsi="Helvetica"/>
          <w:color w:val="1A1A1A"/>
          <w:sz w:val="20"/>
          <w:szCs w:val="20"/>
        </w:rPr>
      </w:pPr>
      <w:r w:rsidRPr="00010CE7">
        <w:rPr>
          <w:rFonts w:ascii="Helvetica" w:hAnsi="Helvetica"/>
          <w:color w:val="1A1A1A"/>
          <w:sz w:val="20"/>
          <w:szCs w:val="20"/>
        </w:rPr>
        <w:lastRenderedPageBreak/>
        <w:t>Section 0</w:t>
      </w:r>
      <w:r w:rsidR="000E14BB">
        <w:rPr>
          <w:rFonts w:ascii="Helvetica" w:hAnsi="Helvetica"/>
          <w:color w:val="1A1A1A"/>
          <w:sz w:val="20"/>
          <w:szCs w:val="20"/>
        </w:rPr>
        <w:t>2</w:t>
      </w:r>
    </w:p>
    <w:p w14:paraId="01D4D23B" w14:textId="77777777" w:rsidR="00010CE7" w:rsidRPr="00010CE7" w:rsidRDefault="00010CE7" w:rsidP="00010CE7">
      <w:pPr>
        <w:spacing w:after="0" w:line="300" w:lineRule="auto"/>
        <w:jc w:val="both"/>
        <w:rPr>
          <w:rFonts w:ascii="Helvetica" w:hAnsi="Helvetica"/>
          <w:color w:val="1A1A1A"/>
        </w:rPr>
      </w:pPr>
    </w:p>
    <w:p w14:paraId="1880C4A8" w14:textId="2E55489B" w:rsidR="00FF57BA" w:rsidRPr="00010CE7" w:rsidRDefault="00EE5C06" w:rsidP="00010CE7">
      <w:pPr>
        <w:spacing w:after="0" w:line="240" w:lineRule="auto"/>
        <w:jc w:val="both"/>
        <w:rPr>
          <w:rFonts w:ascii="Helvetica" w:hAnsi="Helvetica"/>
          <w:color w:val="174C3C"/>
          <w:sz w:val="40"/>
          <w:szCs w:val="40"/>
        </w:rPr>
      </w:pPr>
      <w:r w:rsidRPr="00EE5C06">
        <w:rPr>
          <w:rFonts w:ascii="Helvetica" w:hAnsi="Helvetica"/>
          <w:color w:val="174C3C"/>
          <w:sz w:val="40"/>
          <w:szCs w:val="40"/>
        </w:rPr>
        <w:t>What an ESOP actually does</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A7B5C" w:rsidRPr="00010CE7" w14:paraId="699247C5" w14:textId="77777777" w:rsidTr="00D25791">
        <w:tc>
          <w:tcPr>
            <w:tcW w:w="9350" w:type="dxa"/>
            <w:tcBorders>
              <w:bottom w:val="single" w:sz="6" w:space="0" w:color="E5E5E5"/>
            </w:tcBorders>
          </w:tcPr>
          <w:p w14:paraId="2FDA6CF2" w14:textId="77777777" w:rsidR="006A7B5C" w:rsidRPr="00010CE7" w:rsidRDefault="006A7B5C" w:rsidP="00010CE7">
            <w:pPr>
              <w:spacing w:line="300" w:lineRule="auto"/>
              <w:jc w:val="both"/>
              <w:rPr>
                <w:rFonts w:ascii="Helvetica" w:hAnsi="Helvetica"/>
                <w:color w:val="1A1A1A"/>
              </w:rPr>
            </w:pPr>
          </w:p>
        </w:tc>
      </w:tr>
      <w:tr w:rsidR="006A7B5C" w:rsidRPr="00010CE7" w14:paraId="4B3C5D20" w14:textId="77777777" w:rsidTr="00D25791">
        <w:trPr>
          <w:trHeight w:val="60"/>
        </w:trPr>
        <w:tc>
          <w:tcPr>
            <w:tcW w:w="9350" w:type="dxa"/>
            <w:tcBorders>
              <w:top w:val="single" w:sz="6" w:space="0" w:color="E5E5E5"/>
            </w:tcBorders>
          </w:tcPr>
          <w:p w14:paraId="34375ECB" w14:textId="77777777" w:rsidR="0025713E" w:rsidRPr="00010CE7" w:rsidRDefault="0025713E" w:rsidP="00010CE7">
            <w:pPr>
              <w:spacing w:line="300" w:lineRule="auto"/>
              <w:jc w:val="both"/>
              <w:rPr>
                <w:rFonts w:ascii="Helvetica" w:hAnsi="Helvetica"/>
                <w:color w:val="1A1A1A"/>
              </w:rPr>
            </w:pPr>
          </w:p>
        </w:tc>
      </w:tr>
    </w:tbl>
    <w:p w14:paraId="714D3CBB" w14:textId="77777777" w:rsidR="00EE5C06" w:rsidRDefault="00EE5C06" w:rsidP="00EE5C06">
      <w:pPr>
        <w:spacing w:after="0" w:line="300" w:lineRule="auto"/>
        <w:jc w:val="both"/>
        <w:rPr>
          <w:rFonts w:ascii="Helvetica" w:hAnsi="Helvetica"/>
          <w:color w:val="1A1A1A"/>
        </w:rPr>
      </w:pPr>
      <w:r w:rsidRPr="00EE5C06">
        <w:rPr>
          <w:rFonts w:ascii="Helvetica" w:hAnsi="Helvetica"/>
          <w:color w:val="1A1A1A"/>
        </w:rPr>
        <w:t>An Employee Share Option Plan allows employees to buy shares in your company at a predetermined price after certain vesting conditions are met. The purpose is alignment. Employees participate in the future value they help create, while the company can attract and retain talent without relying only on cash compensation.</w:t>
      </w:r>
    </w:p>
    <w:p w14:paraId="5AF4F039" w14:textId="77777777" w:rsidR="00EE5C06" w:rsidRPr="00EE5C06" w:rsidRDefault="00EE5C06" w:rsidP="00EE5C06">
      <w:pPr>
        <w:spacing w:after="0" w:line="300" w:lineRule="auto"/>
        <w:jc w:val="both"/>
        <w:rPr>
          <w:rFonts w:ascii="Helvetica" w:hAnsi="Helvetica"/>
          <w:color w:val="1A1A1A"/>
        </w:rPr>
      </w:pPr>
    </w:p>
    <w:p w14:paraId="3B1FBF68" w14:textId="77777777" w:rsidR="00EE5C06" w:rsidRDefault="00EE5C06" w:rsidP="00EE5C06">
      <w:pPr>
        <w:spacing w:after="0" w:line="300" w:lineRule="auto"/>
        <w:jc w:val="both"/>
        <w:rPr>
          <w:rFonts w:ascii="Helvetica" w:hAnsi="Helvetica"/>
          <w:color w:val="1A1A1A"/>
        </w:rPr>
      </w:pPr>
      <w:r w:rsidRPr="00EE5C06">
        <w:rPr>
          <w:rFonts w:ascii="Helvetica" w:hAnsi="Helvetica"/>
          <w:color w:val="1A1A1A"/>
        </w:rPr>
        <w:t>The central number in an ESOP is the strike price. This is the price employees must pay to exercise their options in the future. If the company grows meaningfully above that price, the options become economically valuable. If the company does not grow above that price, the options may be worth little or nothing.</w:t>
      </w:r>
    </w:p>
    <w:p w14:paraId="72FC99F4" w14:textId="77777777" w:rsidR="00EE5C06" w:rsidRPr="00EE5C06" w:rsidRDefault="00EE5C06" w:rsidP="00EE5C06">
      <w:pPr>
        <w:spacing w:after="0" w:line="300" w:lineRule="auto"/>
        <w:jc w:val="both"/>
        <w:rPr>
          <w:rFonts w:ascii="Helvetica" w:hAnsi="Helvetica"/>
          <w:color w:val="1A1A1A"/>
        </w:rPr>
      </w:pPr>
    </w:p>
    <w:p w14:paraId="4BFEBACB" w14:textId="77777777" w:rsidR="00EE5C06" w:rsidRDefault="00EE5C06" w:rsidP="00EE5C06">
      <w:pPr>
        <w:spacing w:after="0" w:line="300" w:lineRule="auto"/>
        <w:jc w:val="both"/>
        <w:rPr>
          <w:rFonts w:ascii="Helvetica" w:hAnsi="Helvetica"/>
          <w:color w:val="1A1A1A"/>
        </w:rPr>
      </w:pPr>
      <w:r w:rsidRPr="00EE5C06">
        <w:rPr>
          <w:rFonts w:ascii="Helvetica" w:hAnsi="Helvetica"/>
          <w:color w:val="1A1A1A"/>
        </w:rPr>
        <w:t>That is why an ESOP is not just a legal document. It is a financial promise. Employees need to understand the grant, the strike price, the vesting schedule, and the path to liquidity. Founders need to understand the dilution, tax treatment, accounting impact, and governance expectations that come with issuing options.</w:t>
      </w:r>
    </w:p>
    <w:p w14:paraId="41DDCEE8" w14:textId="77777777" w:rsidR="00EE5C06" w:rsidRPr="00EE5C06" w:rsidRDefault="00EE5C06" w:rsidP="00EE5C06">
      <w:pPr>
        <w:spacing w:after="0" w:line="300" w:lineRule="auto"/>
        <w:jc w:val="both"/>
        <w:rPr>
          <w:rFonts w:ascii="Helvetica" w:hAnsi="Helvetica"/>
          <w:color w:val="1A1A1A"/>
        </w:rPr>
      </w:pPr>
    </w:p>
    <w:p w14:paraId="479F1AA9" w14:textId="77777777" w:rsidR="00EE5C06" w:rsidRDefault="00EE5C06" w:rsidP="00EE5C06">
      <w:pPr>
        <w:spacing w:after="0" w:line="300" w:lineRule="auto"/>
        <w:jc w:val="both"/>
        <w:rPr>
          <w:rFonts w:ascii="Helvetica" w:hAnsi="Helvetica"/>
          <w:color w:val="1A1A1A"/>
          <w:sz w:val="20"/>
          <w:szCs w:val="20"/>
        </w:rPr>
      </w:pPr>
      <w:r w:rsidRPr="00EE5C06">
        <w:rPr>
          <w:rFonts w:ascii="Helvetica" w:hAnsi="Helvetica"/>
          <w:color w:val="1A1A1A"/>
        </w:rPr>
        <w:t>At the planning stage, your job is not to solve everything immediately. Your job is to avoid creating commitments before the commercial structure is clear.</w:t>
      </w:r>
      <w:r>
        <w:rPr>
          <w:rFonts w:ascii="Helvetica" w:hAnsi="Helvetica"/>
          <w:color w:val="1A1A1A"/>
        </w:rPr>
        <w:t xml:space="preserve"> </w:t>
      </w:r>
      <w:r w:rsidR="007A6F1C" w:rsidRPr="007A6F1C">
        <w:rPr>
          <w:rFonts w:ascii="Helvetica" w:hAnsi="Helvetica"/>
          <w:color w:val="1A1A1A"/>
        </w:rPr>
        <w:t>Without that documentation, several risks can surface at once.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EE5C06" w:rsidRPr="00010CE7" w14:paraId="3CE499C5" w14:textId="77777777" w:rsidTr="00C9796D">
        <w:tc>
          <w:tcPr>
            <w:tcW w:w="5000" w:type="pct"/>
          </w:tcPr>
          <w:p w14:paraId="3DCEAD8C" w14:textId="77777777" w:rsidR="00EE5C06" w:rsidRPr="00010CE7" w:rsidRDefault="00EE5C06" w:rsidP="00C9796D">
            <w:pPr>
              <w:spacing w:line="300" w:lineRule="auto"/>
              <w:jc w:val="both"/>
              <w:rPr>
                <w:rFonts w:ascii="Helvetica" w:hAnsi="Helvetica"/>
                <w:color w:val="1A1A1A"/>
              </w:rPr>
            </w:pPr>
          </w:p>
        </w:tc>
      </w:tr>
      <w:tr w:rsidR="00EE5C06" w:rsidRPr="00010CE7" w14:paraId="7C010E7F" w14:textId="77777777" w:rsidTr="00C9796D">
        <w:trPr>
          <w:trHeight w:val="60"/>
        </w:trPr>
        <w:tc>
          <w:tcPr>
            <w:tcW w:w="5000" w:type="pct"/>
          </w:tcPr>
          <w:p w14:paraId="28EBE01A" w14:textId="77777777" w:rsidR="00EE5C06" w:rsidRPr="00010CE7" w:rsidRDefault="00EE5C06" w:rsidP="00C9796D">
            <w:pPr>
              <w:spacing w:line="300" w:lineRule="auto"/>
              <w:jc w:val="both"/>
              <w:rPr>
                <w:rFonts w:ascii="Helvetica" w:hAnsi="Helvetica"/>
                <w:color w:val="1A1A1A"/>
              </w:rPr>
            </w:pPr>
          </w:p>
        </w:tc>
      </w:tr>
    </w:tbl>
    <w:p w14:paraId="56E0508A" w14:textId="2DA5AB08" w:rsidR="00010CE7" w:rsidRPr="00EE5C06" w:rsidRDefault="00350144" w:rsidP="00EE5C06">
      <w:pPr>
        <w:spacing w:after="0" w:line="300" w:lineRule="auto"/>
        <w:jc w:val="both"/>
        <w:rPr>
          <w:rFonts w:ascii="Helvetica" w:hAnsi="Helvetica"/>
          <w:color w:val="1A1A1A"/>
        </w:rPr>
      </w:pPr>
      <w:r w:rsidRPr="00010CE7">
        <w:rPr>
          <w:rFonts w:ascii="Helvetica" w:hAnsi="Helvetica"/>
          <w:color w:val="1A1A1A"/>
          <w:sz w:val="20"/>
          <w:szCs w:val="20"/>
        </w:rPr>
        <w:t>Section 0</w:t>
      </w:r>
      <w:r w:rsidR="000E14BB">
        <w:rPr>
          <w:rFonts w:ascii="Helvetica" w:hAnsi="Helvetica"/>
          <w:color w:val="1A1A1A"/>
          <w:sz w:val="20"/>
          <w:szCs w:val="20"/>
        </w:rPr>
        <w:t>3</w:t>
      </w:r>
    </w:p>
    <w:p w14:paraId="0222D5A0" w14:textId="73BE046D" w:rsidR="00350144" w:rsidRPr="00010CE7" w:rsidRDefault="00350144" w:rsidP="00010CE7">
      <w:pPr>
        <w:pStyle w:val="Heading2"/>
        <w:spacing w:before="0" w:after="0" w:line="300" w:lineRule="auto"/>
        <w:jc w:val="both"/>
        <w:rPr>
          <w:rFonts w:ascii="Helvetica" w:hAnsi="Helvetica"/>
          <w:color w:val="1A1A1A"/>
          <w:sz w:val="24"/>
          <w:szCs w:val="24"/>
        </w:rPr>
      </w:pPr>
    </w:p>
    <w:p w14:paraId="4A12ACF7" w14:textId="1778672A" w:rsidR="00965E5F" w:rsidRPr="00010CE7" w:rsidRDefault="00EE5C06" w:rsidP="00010CE7">
      <w:pPr>
        <w:pStyle w:val="Heading2"/>
        <w:spacing w:before="0" w:after="0" w:line="240" w:lineRule="auto"/>
        <w:jc w:val="both"/>
        <w:rPr>
          <w:rFonts w:ascii="Helvetica" w:hAnsi="Helvetica"/>
          <w:color w:val="174C3C"/>
          <w:sz w:val="40"/>
          <w:szCs w:val="40"/>
        </w:rPr>
      </w:pPr>
      <w:r w:rsidRPr="00EE5C06">
        <w:rPr>
          <w:rFonts w:ascii="Helvetica" w:hAnsi="Helvetica"/>
          <w:color w:val="174C3C"/>
          <w:sz w:val="40"/>
          <w:szCs w:val="40"/>
        </w:rPr>
        <w:t>Why valuation becomes the foundation</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65E5F" w:rsidRPr="00010CE7" w14:paraId="2AAB64EA" w14:textId="77777777" w:rsidTr="00D25791">
        <w:tc>
          <w:tcPr>
            <w:tcW w:w="9350" w:type="dxa"/>
            <w:tcBorders>
              <w:bottom w:val="single" w:sz="6" w:space="0" w:color="E5E5E5"/>
            </w:tcBorders>
          </w:tcPr>
          <w:p w14:paraId="35C39156" w14:textId="77777777" w:rsidR="00965E5F" w:rsidRPr="00010CE7" w:rsidRDefault="00965E5F" w:rsidP="00010CE7">
            <w:pPr>
              <w:spacing w:line="300" w:lineRule="auto"/>
              <w:jc w:val="both"/>
              <w:rPr>
                <w:rFonts w:ascii="Helvetica" w:hAnsi="Helvetica"/>
                <w:color w:val="1A1A1A"/>
              </w:rPr>
            </w:pPr>
          </w:p>
        </w:tc>
      </w:tr>
      <w:tr w:rsidR="00965E5F" w:rsidRPr="00010CE7" w14:paraId="396CCDE8" w14:textId="77777777" w:rsidTr="00D25791">
        <w:trPr>
          <w:trHeight w:val="60"/>
        </w:trPr>
        <w:tc>
          <w:tcPr>
            <w:tcW w:w="9350" w:type="dxa"/>
            <w:tcBorders>
              <w:top w:val="single" w:sz="6" w:space="0" w:color="E5E5E5"/>
            </w:tcBorders>
          </w:tcPr>
          <w:p w14:paraId="0C4B223A" w14:textId="77777777" w:rsidR="0025713E" w:rsidRPr="00010CE7" w:rsidRDefault="0025713E" w:rsidP="00010CE7">
            <w:pPr>
              <w:spacing w:line="300" w:lineRule="auto"/>
              <w:jc w:val="both"/>
              <w:rPr>
                <w:rFonts w:ascii="Helvetica" w:hAnsi="Helvetica"/>
                <w:color w:val="1A1A1A"/>
              </w:rPr>
            </w:pPr>
          </w:p>
        </w:tc>
      </w:tr>
    </w:tbl>
    <w:p w14:paraId="7FA370B3" w14:textId="77777777" w:rsidR="00EE5C06" w:rsidRDefault="00EE5C06" w:rsidP="00EE5C06">
      <w:pPr>
        <w:spacing w:after="0" w:line="300" w:lineRule="auto"/>
        <w:jc w:val="both"/>
        <w:rPr>
          <w:rFonts w:ascii="Helvetica" w:hAnsi="Helvetica"/>
          <w:color w:val="1A1A1A"/>
        </w:rPr>
      </w:pPr>
      <w:r w:rsidRPr="00EE5C06">
        <w:rPr>
          <w:rFonts w:ascii="Helvetica" w:hAnsi="Helvetica"/>
          <w:color w:val="1A1A1A"/>
        </w:rPr>
        <w:t>The valuation determines whether the ESOP is credible. It provides the basis for the strike price and gives the board, auditors, investors, and employees a defensible explanation for how the number was set.</w:t>
      </w:r>
    </w:p>
    <w:p w14:paraId="192CAFC1" w14:textId="77777777" w:rsidR="00EE5C06" w:rsidRPr="00EE5C06" w:rsidRDefault="00EE5C06" w:rsidP="00EE5C06">
      <w:pPr>
        <w:spacing w:after="0" w:line="300" w:lineRule="auto"/>
        <w:jc w:val="both"/>
        <w:rPr>
          <w:rFonts w:ascii="Helvetica" w:hAnsi="Helvetica"/>
          <w:color w:val="1A1A1A"/>
        </w:rPr>
      </w:pPr>
    </w:p>
    <w:p w14:paraId="3C276D47" w14:textId="77777777" w:rsidR="00EE5C06" w:rsidRDefault="00EE5C06" w:rsidP="00EE5C06">
      <w:pPr>
        <w:spacing w:after="0" w:line="300" w:lineRule="auto"/>
        <w:jc w:val="both"/>
        <w:rPr>
          <w:rFonts w:ascii="Helvetica" w:hAnsi="Helvetica"/>
          <w:color w:val="1A1A1A"/>
        </w:rPr>
      </w:pPr>
      <w:r w:rsidRPr="00EE5C06">
        <w:rPr>
          <w:rFonts w:ascii="Helvetica" w:hAnsi="Helvetica"/>
          <w:color w:val="1A1A1A"/>
        </w:rPr>
        <w:lastRenderedPageBreak/>
        <w:t>If the strike price is set too high, the options may feel meaningless because employees cannot see how they will ever be in the money. If the strike price is set too low, the company may transfer value unnecessarily, increase dilution pressure, and create tax or governance questions later.</w:t>
      </w:r>
    </w:p>
    <w:p w14:paraId="7935DBC0" w14:textId="77777777" w:rsidR="00EE5C06" w:rsidRPr="00EE5C06" w:rsidRDefault="00EE5C06" w:rsidP="00EE5C06">
      <w:pPr>
        <w:spacing w:after="0" w:line="300" w:lineRule="auto"/>
        <w:jc w:val="both"/>
        <w:rPr>
          <w:rFonts w:ascii="Helvetica" w:hAnsi="Helvetica"/>
          <w:color w:val="1A1A1A"/>
        </w:rPr>
      </w:pPr>
    </w:p>
    <w:p w14:paraId="7508B29A" w14:textId="2A08D05C" w:rsidR="00EE5C06" w:rsidRDefault="00EE5C06" w:rsidP="00EE5C06">
      <w:pPr>
        <w:spacing w:after="0" w:line="300" w:lineRule="auto"/>
        <w:jc w:val="both"/>
        <w:rPr>
          <w:rFonts w:ascii="Helvetica" w:hAnsi="Helvetica"/>
          <w:color w:val="1A1A1A"/>
        </w:rPr>
      </w:pPr>
      <w:r w:rsidRPr="00EE5C06">
        <w:rPr>
          <w:rFonts w:ascii="Helvetica" w:hAnsi="Helvetica"/>
          <w:color w:val="1A1A1A"/>
        </w:rPr>
        <w:t>Founders sometimes assume they can use an internal spreadsheet, the last fundraising price, or a cap table platform to determine the strike price. That is risky. Cap table software can record ownership and vesting schedules, but it does not replace an independent valuation report. A formal ESOP valuation usually requires recognised option pricing models such as Black Scholes or binomial pricing, supported by an assessment of the underlying share value.</w:t>
      </w:r>
    </w:p>
    <w:tbl>
      <w:tblPr>
        <w:tblStyle w:val="TableGrid"/>
        <w:tblW w:w="9355" w:type="dxa"/>
        <w:tblLook w:val="04A0" w:firstRow="1" w:lastRow="0" w:firstColumn="1" w:lastColumn="0" w:noHBand="0" w:noVBand="1"/>
      </w:tblPr>
      <w:tblGrid>
        <w:gridCol w:w="9355"/>
      </w:tblGrid>
      <w:tr w:rsidR="00010CE7" w:rsidRPr="00010CE7" w14:paraId="7FF72B16" w14:textId="77777777" w:rsidTr="00010CE7">
        <w:tc>
          <w:tcPr>
            <w:tcW w:w="9355" w:type="dxa"/>
            <w:tcBorders>
              <w:top w:val="nil"/>
              <w:left w:val="nil"/>
              <w:bottom w:val="nil"/>
              <w:right w:val="nil"/>
            </w:tcBorders>
          </w:tcPr>
          <w:p w14:paraId="2BCA038E" w14:textId="77777777" w:rsidR="00010CE7" w:rsidRPr="00010CE7" w:rsidRDefault="00010CE7" w:rsidP="00010CE7">
            <w:pPr>
              <w:spacing w:line="300" w:lineRule="auto"/>
              <w:jc w:val="both"/>
              <w:rPr>
                <w:rFonts w:ascii="Helvetica" w:hAnsi="Helvetica"/>
                <w:color w:val="1A1A1A"/>
              </w:rPr>
            </w:pPr>
          </w:p>
        </w:tc>
      </w:tr>
      <w:tr w:rsidR="00010CE7" w:rsidRPr="00010CE7" w14:paraId="60F5B2EB" w14:textId="77777777" w:rsidTr="00010CE7">
        <w:trPr>
          <w:trHeight w:val="60"/>
        </w:trPr>
        <w:tc>
          <w:tcPr>
            <w:tcW w:w="9355" w:type="dxa"/>
            <w:tcBorders>
              <w:top w:val="nil"/>
              <w:left w:val="nil"/>
              <w:bottom w:val="nil"/>
              <w:right w:val="nil"/>
            </w:tcBorders>
          </w:tcPr>
          <w:p w14:paraId="483CD64A" w14:textId="77777777" w:rsidR="00010CE7" w:rsidRPr="00010CE7" w:rsidRDefault="00010CE7" w:rsidP="00010CE7">
            <w:pPr>
              <w:spacing w:line="300" w:lineRule="auto"/>
              <w:jc w:val="both"/>
              <w:rPr>
                <w:rFonts w:ascii="Helvetica" w:hAnsi="Helvetica"/>
                <w:color w:val="1A1A1A"/>
              </w:rPr>
            </w:pPr>
          </w:p>
        </w:tc>
      </w:tr>
      <w:tr w:rsidR="000A5A0F" w:rsidRPr="00010CE7" w14:paraId="4C3C1113" w14:textId="77777777" w:rsidTr="000E14BB">
        <w:tblPrEx>
          <w:tblBorders>
            <w:top w:val="none" w:sz="0" w:space="0" w:color="auto"/>
            <w:left w:val="single" w:sz="48" w:space="0" w:color="D97706"/>
            <w:bottom w:val="none" w:sz="0" w:space="0" w:color="auto"/>
            <w:right w:val="none" w:sz="0" w:space="0" w:color="auto"/>
            <w:insideH w:val="none" w:sz="0" w:space="0" w:color="auto"/>
            <w:insideV w:val="none" w:sz="0" w:space="0" w:color="auto"/>
          </w:tblBorders>
          <w:shd w:val="clear" w:color="auto" w:fill="FEF3C7"/>
          <w:tblCellMar>
            <w:top w:w="288" w:type="dxa"/>
            <w:left w:w="720" w:type="dxa"/>
            <w:bottom w:w="288" w:type="dxa"/>
            <w:right w:w="720" w:type="dxa"/>
          </w:tblCellMar>
        </w:tblPrEx>
        <w:tc>
          <w:tcPr>
            <w:tcW w:w="9355" w:type="dxa"/>
            <w:tcBorders>
              <w:top w:val="nil"/>
              <w:bottom w:val="nil"/>
            </w:tcBorders>
            <w:shd w:val="clear" w:color="auto" w:fill="FEF3C7"/>
          </w:tcPr>
          <w:p w14:paraId="5481B088" w14:textId="77777777" w:rsidR="00EE5C06" w:rsidRDefault="00EE5C06" w:rsidP="000E14BB">
            <w:pPr>
              <w:spacing w:line="300" w:lineRule="auto"/>
              <w:rPr>
                <w:rFonts w:ascii="Helvetica" w:hAnsi="Helvetica"/>
                <w:b/>
                <w:bCs/>
                <w:color w:val="D97706"/>
              </w:rPr>
            </w:pPr>
            <w:r>
              <w:rPr>
                <w:rFonts w:ascii="Helvetica" w:hAnsi="Helvetica"/>
                <w:b/>
                <w:bCs/>
                <w:color w:val="D97706"/>
              </w:rPr>
              <w:t>Important Note:</w:t>
            </w:r>
          </w:p>
          <w:p w14:paraId="4D478813" w14:textId="52279B67" w:rsidR="000A5A0F" w:rsidRPr="00EE5C06" w:rsidRDefault="00EE5C06" w:rsidP="000E14BB">
            <w:pPr>
              <w:spacing w:line="300" w:lineRule="auto"/>
              <w:rPr>
                <w:rFonts w:ascii="Helvetica" w:hAnsi="Helvetica"/>
                <w:color w:val="1A1A1A"/>
              </w:rPr>
            </w:pPr>
            <w:r w:rsidRPr="00EE5C06">
              <w:rPr>
                <w:rFonts w:ascii="Helvetica" w:hAnsi="Helvetica"/>
                <w:color w:val="174C3C"/>
              </w:rPr>
              <w:t>For Singapore companies, this becomes especially important when ESOP accounting, audit review, and employee tax treatment come into scope. A valuation prepared at the right time gives you a cleaner governance trail and a stronger basis for future conversations.</w:t>
            </w:r>
          </w:p>
        </w:tc>
      </w:tr>
      <w:tr w:rsidR="000E14BB" w:rsidRPr="00010CE7" w14:paraId="1813569A" w14:textId="77777777" w:rsidTr="000E14BB">
        <w:tc>
          <w:tcPr>
            <w:tcW w:w="9355" w:type="dxa"/>
            <w:tcBorders>
              <w:top w:val="nil"/>
              <w:left w:val="nil"/>
              <w:bottom w:val="nil"/>
              <w:right w:val="nil"/>
            </w:tcBorders>
          </w:tcPr>
          <w:p w14:paraId="5A12A366" w14:textId="77777777" w:rsidR="000E14BB" w:rsidRPr="00010CE7" w:rsidRDefault="000E14BB" w:rsidP="00C9796D">
            <w:pPr>
              <w:spacing w:line="300" w:lineRule="auto"/>
              <w:jc w:val="both"/>
              <w:rPr>
                <w:rFonts w:ascii="Helvetica" w:hAnsi="Helvetica"/>
                <w:color w:val="1A1A1A"/>
              </w:rPr>
            </w:pPr>
          </w:p>
        </w:tc>
      </w:tr>
      <w:tr w:rsidR="000E14BB" w:rsidRPr="00010CE7" w14:paraId="1D24FF7D" w14:textId="77777777" w:rsidTr="000E14BB">
        <w:trPr>
          <w:trHeight w:val="60"/>
        </w:trPr>
        <w:tc>
          <w:tcPr>
            <w:tcW w:w="9355" w:type="dxa"/>
            <w:tcBorders>
              <w:top w:val="nil"/>
              <w:left w:val="nil"/>
              <w:bottom w:val="nil"/>
              <w:right w:val="nil"/>
            </w:tcBorders>
          </w:tcPr>
          <w:p w14:paraId="38EDFD8E" w14:textId="77777777" w:rsidR="000E14BB" w:rsidRPr="00010CE7" w:rsidRDefault="000E14BB" w:rsidP="00C9796D">
            <w:pPr>
              <w:spacing w:line="300" w:lineRule="auto"/>
              <w:jc w:val="both"/>
              <w:rPr>
                <w:rFonts w:ascii="Helvetica" w:hAnsi="Helvetica"/>
                <w:color w:val="1A1A1A"/>
              </w:rPr>
            </w:pPr>
          </w:p>
        </w:tc>
      </w:tr>
    </w:tbl>
    <w:p w14:paraId="706523A0" w14:textId="69B8C5A3" w:rsidR="00010CE7" w:rsidRPr="008607D3" w:rsidRDefault="007D5EEB" w:rsidP="000E14BB">
      <w:pPr>
        <w:rPr>
          <w:rFonts w:ascii="Helvetica" w:hAnsi="Helvetica"/>
          <w:color w:val="1A1A1A"/>
          <w:sz w:val="20"/>
          <w:szCs w:val="20"/>
        </w:rPr>
      </w:pPr>
      <w:r w:rsidRPr="00010CE7">
        <w:rPr>
          <w:rFonts w:ascii="Helvetica" w:hAnsi="Helvetica"/>
          <w:color w:val="1A1A1A"/>
          <w:sz w:val="20"/>
          <w:szCs w:val="20"/>
        </w:rPr>
        <w:t>Section 0</w:t>
      </w:r>
      <w:r w:rsidR="000E14BB">
        <w:rPr>
          <w:rFonts w:ascii="Helvetica" w:hAnsi="Helvetica"/>
          <w:color w:val="1A1A1A"/>
          <w:sz w:val="20"/>
          <w:szCs w:val="20"/>
        </w:rPr>
        <w:t>4</w:t>
      </w:r>
    </w:p>
    <w:p w14:paraId="0CCB8B33" w14:textId="7CBE2B6E" w:rsidR="007D5EEB" w:rsidRPr="00010CE7" w:rsidRDefault="007D5EEB" w:rsidP="00010CE7">
      <w:pPr>
        <w:pStyle w:val="Heading2"/>
        <w:spacing w:before="0" w:after="0" w:line="300" w:lineRule="auto"/>
        <w:jc w:val="both"/>
        <w:rPr>
          <w:rFonts w:ascii="Helvetica" w:hAnsi="Helvetica"/>
          <w:color w:val="1A1A1A"/>
          <w:sz w:val="24"/>
          <w:szCs w:val="24"/>
        </w:rPr>
      </w:pPr>
    </w:p>
    <w:p w14:paraId="77A7D786" w14:textId="06641D16" w:rsidR="007D5EEB" w:rsidRPr="00010CE7" w:rsidRDefault="00EE5C06" w:rsidP="00010CE7">
      <w:pPr>
        <w:pStyle w:val="Heading2"/>
        <w:spacing w:before="0" w:after="0" w:line="240" w:lineRule="auto"/>
        <w:jc w:val="both"/>
        <w:rPr>
          <w:rFonts w:ascii="Helvetica" w:hAnsi="Helvetica"/>
          <w:color w:val="174C3C"/>
          <w:sz w:val="40"/>
          <w:szCs w:val="40"/>
        </w:rPr>
      </w:pPr>
      <w:r w:rsidRPr="00EE5C06">
        <w:rPr>
          <w:rFonts w:ascii="Helvetica" w:hAnsi="Helvetica"/>
          <w:color w:val="174C3C"/>
          <w:sz w:val="40"/>
          <w:szCs w:val="40"/>
        </w:rPr>
        <w:t xml:space="preserve">When </w:t>
      </w:r>
      <w:r>
        <w:rPr>
          <w:rFonts w:ascii="Helvetica" w:hAnsi="Helvetica"/>
          <w:color w:val="174C3C"/>
          <w:sz w:val="40"/>
          <w:szCs w:val="40"/>
        </w:rPr>
        <w:t xml:space="preserve">does </w:t>
      </w:r>
      <w:r w:rsidRPr="00EE5C06">
        <w:rPr>
          <w:rFonts w:ascii="Helvetica" w:hAnsi="Helvetica"/>
          <w:color w:val="174C3C"/>
          <w:sz w:val="40"/>
          <w:szCs w:val="40"/>
        </w:rPr>
        <w:t>ESOP valuation becomes urgent</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D5EEB" w:rsidRPr="00010CE7" w14:paraId="2503FEF8" w14:textId="77777777" w:rsidTr="00D25791">
        <w:tc>
          <w:tcPr>
            <w:tcW w:w="9350" w:type="dxa"/>
            <w:tcBorders>
              <w:bottom w:val="single" w:sz="6" w:space="0" w:color="E5E5E5"/>
            </w:tcBorders>
          </w:tcPr>
          <w:p w14:paraId="7D043220" w14:textId="77777777" w:rsidR="007D5EEB" w:rsidRPr="00010CE7" w:rsidRDefault="007D5EEB" w:rsidP="00010CE7">
            <w:pPr>
              <w:spacing w:line="300" w:lineRule="auto"/>
              <w:jc w:val="both"/>
              <w:rPr>
                <w:rFonts w:ascii="Helvetica" w:hAnsi="Helvetica"/>
                <w:color w:val="1A1A1A"/>
              </w:rPr>
            </w:pPr>
          </w:p>
        </w:tc>
      </w:tr>
    </w:tbl>
    <w:p w14:paraId="592D129A" w14:textId="77777777" w:rsidR="0025713E" w:rsidRPr="00010CE7" w:rsidRDefault="0025713E" w:rsidP="00010CE7">
      <w:pPr>
        <w:spacing w:after="0" w:line="300" w:lineRule="auto"/>
        <w:jc w:val="both"/>
        <w:rPr>
          <w:rFonts w:ascii="Helvetica" w:hAnsi="Helvetica"/>
          <w:color w:val="1A1A1A"/>
        </w:rPr>
      </w:pPr>
    </w:p>
    <w:p w14:paraId="28EA5D2D" w14:textId="77777777" w:rsidR="00EE5C06" w:rsidRDefault="00EE5C06" w:rsidP="00EE5C06">
      <w:pPr>
        <w:spacing w:after="0" w:line="300" w:lineRule="auto"/>
        <w:jc w:val="both"/>
        <w:rPr>
          <w:rFonts w:ascii="Helvetica" w:hAnsi="Helvetica"/>
          <w:color w:val="1A1A1A"/>
        </w:rPr>
      </w:pPr>
      <w:r w:rsidRPr="00EE5C06">
        <w:rPr>
          <w:rFonts w:ascii="Helvetica" w:hAnsi="Helvetica"/>
          <w:color w:val="1A1A1A"/>
        </w:rPr>
        <w:t>The first trigger is a senior hire or key employee asking for equity. Once equity becomes part of the compensation discussion, you need a credible way to explain what the grant is worth. Without a valuation, the conversation usually collapses into percentages, which can create unnecessary dilution and unrealistic expectations.</w:t>
      </w:r>
    </w:p>
    <w:p w14:paraId="3E578AE2" w14:textId="77777777" w:rsidR="00EE5C06" w:rsidRPr="00EE5C06" w:rsidRDefault="00EE5C06" w:rsidP="00EE5C06">
      <w:pPr>
        <w:spacing w:after="0" w:line="300" w:lineRule="auto"/>
        <w:jc w:val="both"/>
        <w:rPr>
          <w:rFonts w:ascii="Helvetica" w:hAnsi="Helvetica"/>
          <w:color w:val="1A1A1A"/>
        </w:rPr>
      </w:pPr>
    </w:p>
    <w:p w14:paraId="42055755" w14:textId="77777777" w:rsidR="00EE5C06" w:rsidRDefault="00EE5C06" w:rsidP="00EE5C06">
      <w:pPr>
        <w:spacing w:after="0" w:line="300" w:lineRule="auto"/>
        <w:jc w:val="both"/>
        <w:rPr>
          <w:rFonts w:ascii="Helvetica" w:hAnsi="Helvetica"/>
          <w:color w:val="1A1A1A"/>
        </w:rPr>
      </w:pPr>
      <w:r w:rsidRPr="00EE5C06">
        <w:rPr>
          <w:rFonts w:ascii="Helvetica" w:hAnsi="Helvetica"/>
          <w:color w:val="1A1A1A"/>
        </w:rPr>
        <w:t xml:space="preserve">The second trigger is a fundraising round. Institutional investors will review your option pool, grant history, and cap table during due diligence. If options have been issued without </w:t>
      </w:r>
      <w:r w:rsidRPr="00EE5C06">
        <w:rPr>
          <w:rFonts w:ascii="Helvetica" w:hAnsi="Helvetica"/>
          <w:color w:val="1A1A1A"/>
        </w:rPr>
        <w:lastRenderedPageBreak/>
        <w:t>a defensible basis for the strike price, they may ask whether the company has a governance problem, an accounting problem, or both.</w:t>
      </w:r>
    </w:p>
    <w:p w14:paraId="73AEA732" w14:textId="77777777" w:rsidR="00EE5C06" w:rsidRPr="00EE5C06" w:rsidRDefault="00EE5C06" w:rsidP="00EE5C06">
      <w:pPr>
        <w:spacing w:after="0" w:line="300" w:lineRule="auto"/>
        <w:jc w:val="both"/>
        <w:rPr>
          <w:rFonts w:ascii="Helvetica" w:hAnsi="Helvetica"/>
          <w:color w:val="1A1A1A"/>
        </w:rPr>
      </w:pPr>
    </w:p>
    <w:p w14:paraId="61F4411D" w14:textId="77777777" w:rsidR="00EE5C06" w:rsidRDefault="00EE5C06" w:rsidP="00EE5C06">
      <w:pPr>
        <w:spacing w:after="0" w:line="300" w:lineRule="auto"/>
        <w:jc w:val="both"/>
        <w:rPr>
          <w:rFonts w:ascii="Helvetica" w:hAnsi="Helvetica"/>
          <w:color w:val="1A1A1A"/>
        </w:rPr>
      </w:pPr>
      <w:r w:rsidRPr="00EE5C06">
        <w:rPr>
          <w:rFonts w:ascii="Helvetica" w:hAnsi="Helvetica"/>
          <w:color w:val="1A1A1A"/>
        </w:rPr>
        <w:t>The third trigger is audit. If options have been granted during the financial year, the auditor may need support for the option expense recorded in the accounts. A proper ESOP valuation helps support the grant date fair value and reduces the risk of last minute delays during sign off.</w:t>
      </w:r>
    </w:p>
    <w:p w14:paraId="579090A4" w14:textId="77777777" w:rsidR="00EE5C06" w:rsidRPr="00EE5C06" w:rsidRDefault="00EE5C06" w:rsidP="00EE5C06">
      <w:pPr>
        <w:spacing w:after="0" w:line="300" w:lineRule="auto"/>
        <w:jc w:val="both"/>
        <w:rPr>
          <w:rFonts w:ascii="Helvetica" w:hAnsi="Helvetica"/>
          <w:color w:val="1A1A1A"/>
        </w:rPr>
      </w:pPr>
    </w:p>
    <w:p w14:paraId="43EE1866" w14:textId="7272E6F9" w:rsidR="0025713E" w:rsidRDefault="00EE5C06" w:rsidP="00EE5C06">
      <w:pPr>
        <w:spacing w:after="0" w:line="300" w:lineRule="auto"/>
        <w:jc w:val="both"/>
        <w:rPr>
          <w:rFonts w:ascii="Helvetica" w:hAnsi="Helvetica"/>
          <w:color w:val="1A1A1A"/>
        </w:rPr>
      </w:pPr>
      <w:r w:rsidRPr="00EE5C06">
        <w:rPr>
          <w:rFonts w:ascii="Helvetica" w:hAnsi="Helvetica"/>
          <w:color w:val="1A1A1A"/>
        </w:rPr>
        <w:t>The fourth trigger is board approval. A board should not be asked to approve an ESOP pool, grant package, or strike price without understanding the valuation basis and dilution impact. The earlier that logic is prepared, the easier the approval process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gridCol w:w="4684"/>
      </w:tblGrid>
      <w:tr w:rsidR="00010CE7" w:rsidRPr="00010CE7" w14:paraId="34C64B18" w14:textId="77777777" w:rsidTr="00C9796D">
        <w:tc>
          <w:tcPr>
            <w:tcW w:w="5000" w:type="pct"/>
            <w:gridSpan w:val="2"/>
          </w:tcPr>
          <w:p w14:paraId="6927BE8E" w14:textId="77777777" w:rsidR="00010CE7" w:rsidRPr="00010CE7" w:rsidRDefault="00010CE7" w:rsidP="00C9796D">
            <w:pPr>
              <w:spacing w:line="300" w:lineRule="auto"/>
              <w:jc w:val="both"/>
              <w:rPr>
                <w:rFonts w:ascii="Helvetica" w:hAnsi="Helvetica"/>
                <w:color w:val="1A1A1A"/>
              </w:rPr>
            </w:pPr>
          </w:p>
        </w:tc>
      </w:tr>
      <w:tr w:rsidR="00010CE7" w:rsidRPr="00010CE7" w14:paraId="26C4DE6A" w14:textId="77777777" w:rsidTr="00C9796D">
        <w:trPr>
          <w:trHeight w:val="60"/>
        </w:trPr>
        <w:tc>
          <w:tcPr>
            <w:tcW w:w="5000" w:type="pct"/>
            <w:gridSpan w:val="2"/>
          </w:tcPr>
          <w:p w14:paraId="363B94B6" w14:textId="77777777" w:rsidR="00010CE7" w:rsidRPr="00010CE7" w:rsidRDefault="00010CE7" w:rsidP="00C9796D">
            <w:pPr>
              <w:spacing w:line="300" w:lineRule="auto"/>
              <w:jc w:val="both"/>
              <w:rPr>
                <w:rFonts w:ascii="Helvetica" w:hAnsi="Helvetica"/>
                <w:color w:val="1A1A1A"/>
              </w:rPr>
            </w:pPr>
          </w:p>
        </w:tc>
      </w:tr>
      <w:tr w:rsidR="000A5A0F" w:rsidRPr="00010CE7" w14:paraId="29D4CBAF" w14:textId="77777777" w:rsidTr="00010CE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174C3C"/>
            <w:vAlign w:val="center"/>
          </w:tcPr>
          <w:p w14:paraId="69516EDC" w14:textId="7D6918A6" w:rsidR="000A5A0F" w:rsidRPr="00010CE7" w:rsidRDefault="000E14BB" w:rsidP="00010CE7">
            <w:pPr>
              <w:spacing w:line="300" w:lineRule="auto"/>
              <w:jc w:val="both"/>
              <w:rPr>
                <w:rFonts w:ascii="Helvetica" w:hAnsi="Helvetica"/>
                <w:color w:val="1A1A1A"/>
              </w:rPr>
            </w:pPr>
            <w:r w:rsidRPr="000E14BB">
              <w:rPr>
                <w:rFonts w:ascii="Helvetica" w:hAnsi="Helvetica"/>
                <w:b/>
                <w:color w:val="F7F5F2"/>
              </w:rPr>
              <w:t>Valuation component</w:t>
            </w:r>
          </w:p>
        </w:tc>
        <w:tc>
          <w:tcPr>
            <w:tcW w:w="2502" w:type="pct"/>
            <w:shd w:val="clear" w:color="auto" w:fill="174C3C"/>
            <w:vAlign w:val="center"/>
          </w:tcPr>
          <w:p w14:paraId="7416CD74" w14:textId="35C58C56" w:rsidR="000A5A0F" w:rsidRPr="00010CE7" w:rsidRDefault="000E14BB" w:rsidP="00010CE7">
            <w:pPr>
              <w:spacing w:line="300" w:lineRule="auto"/>
              <w:jc w:val="both"/>
              <w:rPr>
                <w:rFonts w:ascii="Helvetica" w:hAnsi="Helvetica"/>
                <w:color w:val="1A1A1A"/>
              </w:rPr>
            </w:pPr>
            <w:r w:rsidRPr="000E14BB">
              <w:rPr>
                <w:rFonts w:ascii="Helvetica" w:hAnsi="Helvetica"/>
                <w:b/>
                <w:color w:val="F7F5F2"/>
              </w:rPr>
              <w:t>What is reviewed</w:t>
            </w:r>
          </w:p>
        </w:tc>
      </w:tr>
      <w:tr w:rsidR="000A5A0F" w:rsidRPr="00010CE7" w14:paraId="2AECC9F1" w14:textId="77777777" w:rsidTr="00010CE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F7F5F2"/>
            <w:vAlign w:val="center"/>
          </w:tcPr>
          <w:p w14:paraId="6396CBAB" w14:textId="655BF361" w:rsidR="000A5A0F" w:rsidRPr="00010CE7" w:rsidRDefault="00EE5C06" w:rsidP="000E14BB">
            <w:pPr>
              <w:spacing w:line="300" w:lineRule="auto"/>
              <w:rPr>
                <w:rFonts w:ascii="Helvetica" w:hAnsi="Helvetica"/>
                <w:color w:val="1A1A1A"/>
              </w:rPr>
            </w:pPr>
            <w:r w:rsidRPr="00EE5C06">
              <w:rPr>
                <w:rFonts w:ascii="Helvetica" w:hAnsi="Helvetica"/>
                <w:b/>
                <w:color w:val="1A1A1A"/>
              </w:rPr>
              <w:t>Senior hire asks for equity</w:t>
            </w:r>
          </w:p>
        </w:tc>
        <w:tc>
          <w:tcPr>
            <w:tcW w:w="2502" w:type="pct"/>
            <w:shd w:val="clear" w:color="auto" w:fill="F7F5F2"/>
            <w:vAlign w:val="center"/>
          </w:tcPr>
          <w:p w14:paraId="2B1049D2" w14:textId="4CDC5FD4" w:rsidR="000A5A0F" w:rsidRPr="00010CE7" w:rsidRDefault="00EE5C06" w:rsidP="000E14BB">
            <w:pPr>
              <w:spacing w:line="300" w:lineRule="auto"/>
              <w:rPr>
                <w:rFonts w:ascii="Helvetica" w:hAnsi="Helvetica"/>
                <w:color w:val="1A1A1A"/>
              </w:rPr>
            </w:pPr>
            <w:r w:rsidRPr="00EE5C06">
              <w:rPr>
                <w:rFonts w:ascii="Helvetica" w:hAnsi="Helvetica"/>
                <w:color w:val="1A1A1A"/>
              </w:rPr>
              <w:t>You need a credible basis for explaining the grant value and strike price.</w:t>
            </w:r>
          </w:p>
        </w:tc>
      </w:tr>
      <w:tr w:rsidR="000A5A0F" w:rsidRPr="00010CE7" w14:paraId="4C9B138F" w14:textId="77777777" w:rsidTr="00010CE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FFFFFF" w:themeFill="background1"/>
            <w:vAlign w:val="center"/>
          </w:tcPr>
          <w:p w14:paraId="590BF56C" w14:textId="764EF8B7" w:rsidR="000A5A0F" w:rsidRPr="00010CE7" w:rsidRDefault="00EE5C06" w:rsidP="000E14BB">
            <w:pPr>
              <w:spacing w:line="300" w:lineRule="auto"/>
              <w:rPr>
                <w:rFonts w:ascii="Helvetica" w:hAnsi="Helvetica"/>
                <w:color w:val="1A1A1A"/>
              </w:rPr>
            </w:pPr>
            <w:r w:rsidRPr="00EE5C06">
              <w:rPr>
                <w:rFonts w:ascii="Helvetica" w:hAnsi="Helvetica"/>
                <w:b/>
                <w:color w:val="1A1A1A"/>
              </w:rPr>
              <w:t>Fundraising is approaching</w:t>
            </w:r>
          </w:p>
        </w:tc>
        <w:tc>
          <w:tcPr>
            <w:tcW w:w="2502" w:type="pct"/>
            <w:shd w:val="clear" w:color="auto" w:fill="FFFFFF" w:themeFill="background1"/>
            <w:vAlign w:val="center"/>
          </w:tcPr>
          <w:p w14:paraId="3AD30607" w14:textId="333B45F6" w:rsidR="000A5A0F" w:rsidRPr="00010CE7" w:rsidRDefault="00EE5C06" w:rsidP="000E14BB">
            <w:pPr>
              <w:spacing w:line="300" w:lineRule="auto"/>
              <w:rPr>
                <w:rFonts w:ascii="Helvetica" w:hAnsi="Helvetica"/>
                <w:color w:val="1A1A1A"/>
              </w:rPr>
            </w:pPr>
            <w:r w:rsidRPr="00EE5C06">
              <w:rPr>
                <w:rFonts w:ascii="Helvetica" w:hAnsi="Helvetica"/>
                <w:color w:val="1A1A1A"/>
              </w:rPr>
              <w:t>Investors will review the option pool, cap table, grant history, and governance process.</w:t>
            </w:r>
          </w:p>
        </w:tc>
      </w:tr>
      <w:tr w:rsidR="000A5A0F" w:rsidRPr="00010CE7" w14:paraId="3D9FBF49" w14:textId="77777777" w:rsidTr="00010CE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F7F5F2"/>
            <w:vAlign w:val="center"/>
          </w:tcPr>
          <w:p w14:paraId="744A26B1" w14:textId="01B76F96" w:rsidR="000A5A0F" w:rsidRPr="00010CE7" w:rsidRDefault="00EE5C06" w:rsidP="000E14BB">
            <w:pPr>
              <w:spacing w:line="300" w:lineRule="auto"/>
              <w:rPr>
                <w:rFonts w:ascii="Helvetica" w:hAnsi="Helvetica"/>
                <w:color w:val="1A1A1A"/>
              </w:rPr>
            </w:pPr>
            <w:r w:rsidRPr="00EE5C06">
              <w:rPr>
                <w:rFonts w:ascii="Helvetica" w:hAnsi="Helvetica"/>
                <w:b/>
                <w:color w:val="1A1A1A"/>
              </w:rPr>
              <w:t>Audit review begins</w:t>
            </w:r>
          </w:p>
        </w:tc>
        <w:tc>
          <w:tcPr>
            <w:tcW w:w="2502" w:type="pct"/>
            <w:shd w:val="clear" w:color="auto" w:fill="F7F5F2"/>
            <w:vAlign w:val="center"/>
          </w:tcPr>
          <w:p w14:paraId="5BBB5B05" w14:textId="37578423" w:rsidR="000A5A0F" w:rsidRPr="00010CE7" w:rsidRDefault="00EE5C06" w:rsidP="000E14BB">
            <w:pPr>
              <w:spacing w:line="300" w:lineRule="auto"/>
              <w:rPr>
                <w:rFonts w:ascii="Helvetica" w:hAnsi="Helvetica"/>
                <w:color w:val="1A1A1A"/>
              </w:rPr>
            </w:pPr>
            <w:r w:rsidRPr="00EE5C06">
              <w:rPr>
                <w:rFonts w:ascii="Helvetica" w:hAnsi="Helvetica"/>
                <w:color w:val="1A1A1A"/>
              </w:rPr>
              <w:t>Auditors may need support for the grant date fair value and share based payment expense.</w:t>
            </w:r>
          </w:p>
        </w:tc>
      </w:tr>
      <w:tr w:rsidR="000A5A0F" w:rsidRPr="00010CE7" w14:paraId="0C8D641F" w14:textId="77777777" w:rsidTr="00010CE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FFFFFF" w:themeFill="background1"/>
            <w:vAlign w:val="center"/>
          </w:tcPr>
          <w:p w14:paraId="347A1FA6" w14:textId="0BFB6C0F" w:rsidR="000A5A0F" w:rsidRPr="00010CE7" w:rsidRDefault="00EE5C06" w:rsidP="000E14BB">
            <w:pPr>
              <w:spacing w:line="300" w:lineRule="auto"/>
              <w:rPr>
                <w:rFonts w:ascii="Helvetica" w:hAnsi="Helvetica"/>
                <w:color w:val="1A1A1A"/>
              </w:rPr>
            </w:pPr>
            <w:r w:rsidRPr="00EE5C06">
              <w:rPr>
                <w:rFonts w:ascii="Helvetica" w:hAnsi="Helvetica"/>
                <w:b/>
                <w:color w:val="1A1A1A"/>
              </w:rPr>
              <w:t>Board approval is required</w:t>
            </w:r>
          </w:p>
        </w:tc>
        <w:tc>
          <w:tcPr>
            <w:tcW w:w="2502" w:type="pct"/>
            <w:shd w:val="clear" w:color="auto" w:fill="FFFFFF" w:themeFill="background1"/>
            <w:vAlign w:val="center"/>
          </w:tcPr>
          <w:p w14:paraId="4C1CEBC3" w14:textId="1F40CEC0" w:rsidR="000A5A0F" w:rsidRPr="00010CE7" w:rsidRDefault="00EE5C06" w:rsidP="000E14BB">
            <w:pPr>
              <w:spacing w:line="300" w:lineRule="auto"/>
              <w:rPr>
                <w:rFonts w:ascii="Helvetica" w:hAnsi="Helvetica"/>
                <w:color w:val="1A1A1A"/>
              </w:rPr>
            </w:pPr>
            <w:r w:rsidRPr="00EE5C06">
              <w:rPr>
                <w:rFonts w:ascii="Helvetica" w:hAnsi="Helvetica"/>
                <w:color w:val="1A1A1A"/>
              </w:rPr>
              <w:t>Directors need to understand valuation basis, dilution impact, and commercial rationale before approving grants.</w:t>
            </w:r>
          </w:p>
        </w:tc>
      </w:tr>
      <w:tr w:rsidR="00EE5C06" w:rsidRPr="00010CE7" w14:paraId="1D06B77A" w14:textId="77777777" w:rsidTr="00C9796D">
        <w:tc>
          <w:tcPr>
            <w:tcW w:w="5000" w:type="pct"/>
            <w:gridSpan w:val="2"/>
          </w:tcPr>
          <w:p w14:paraId="61413121" w14:textId="77777777" w:rsidR="00EE5C06" w:rsidRPr="00010CE7" w:rsidRDefault="00EE5C06" w:rsidP="00C9796D">
            <w:pPr>
              <w:spacing w:line="300" w:lineRule="auto"/>
              <w:jc w:val="both"/>
              <w:rPr>
                <w:rFonts w:ascii="Helvetica" w:hAnsi="Helvetica"/>
                <w:color w:val="1A1A1A"/>
              </w:rPr>
            </w:pPr>
          </w:p>
        </w:tc>
      </w:tr>
      <w:tr w:rsidR="00EE5C06" w:rsidRPr="00010CE7" w14:paraId="57823C9B" w14:textId="77777777" w:rsidTr="00C9796D">
        <w:trPr>
          <w:trHeight w:val="60"/>
        </w:trPr>
        <w:tc>
          <w:tcPr>
            <w:tcW w:w="5000" w:type="pct"/>
            <w:gridSpan w:val="2"/>
          </w:tcPr>
          <w:p w14:paraId="25B979CC" w14:textId="77777777" w:rsidR="00EE5C06" w:rsidRPr="00010CE7" w:rsidRDefault="00EE5C06" w:rsidP="00C9796D">
            <w:pPr>
              <w:spacing w:line="300" w:lineRule="auto"/>
              <w:jc w:val="both"/>
              <w:rPr>
                <w:rFonts w:ascii="Helvetica" w:hAnsi="Helvetica"/>
                <w:color w:val="1A1A1A"/>
              </w:rPr>
            </w:pPr>
          </w:p>
        </w:tc>
      </w:tr>
    </w:tbl>
    <w:p w14:paraId="691686D6" w14:textId="20116DC7" w:rsidR="00350144"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lastRenderedPageBreak/>
        <w:t>Section 0</w:t>
      </w:r>
      <w:r w:rsidR="00237CD4">
        <w:rPr>
          <w:rFonts w:ascii="Helvetica" w:hAnsi="Helvetica"/>
          <w:color w:val="1A1A1A"/>
          <w:sz w:val="20"/>
          <w:szCs w:val="20"/>
        </w:rPr>
        <w:t>5</w:t>
      </w:r>
    </w:p>
    <w:p w14:paraId="0B4406BB" w14:textId="77777777" w:rsidR="00010CE7" w:rsidRPr="00010CE7" w:rsidRDefault="00010CE7" w:rsidP="00010CE7">
      <w:pPr>
        <w:pStyle w:val="Heading2"/>
        <w:spacing w:before="0" w:after="0" w:line="300" w:lineRule="auto"/>
        <w:jc w:val="both"/>
        <w:rPr>
          <w:rFonts w:ascii="Helvetica" w:hAnsi="Helvetica"/>
          <w:color w:val="174C3C"/>
          <w:sz w:val="24"/>
          <w:szCs w:val="24"/>
        </w:rPr>
      </w:pPr>
    </w:p>
    <w:p w14:paraId="203FAC51" w14:textId="0886197A" w:rsidR="00350144" w:rsidRPr="00010CE7" w:rsidRDefault="008607D3" w:rsidP="00010CE7">
      <w:pPr>
        <w:pStyle w:val="Heading2"/>
        <w:spacing w:before="0" w:after="0" w:line="240" w:lineRule="auto"/>
        <w:jc w:val="both"/>
        <w:rPr>
          <w:rFonts w:ascii="Helvetica" w:hAnsi="Helvetica"/>
          <w:color w:val="174C3C"/>
          <w:sz w:val="40"/>
          <w:szCs w:val="40"/>
        </w:rPr>
      </w:pPr>
      <w:r w:rsidRPr="008607D3">
        <w:rPr>
          <w:rFonts w:ascii="Helvetica" w:hAnsi="Helvetica"/>
          <w:color w:val="174C3C"/>
          <w:sz w:val="40"/>
          <w:szCs w:val="40"/>
        </w:rPr>
        <w:t>The Liquidity Question Founders Ask Too Late</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50144" w:rsidRPr="00010CE7" w14:paraId="4C158C87" w14:textId="77777777" w:rsidTr="00D25791">
        <w:tc>
          <w:tcPr>
            <w:tcW w:w="9350" w:type="dxa"/>
            <w:tcBorders>
              <w:bottom w:val="single" w:sz="6" w:space="0" w:color="E5E5E5"/>
            </w:tcBorders>
          </w:tcPr>
          <w:p w14:paraId="45C25A78" w14:textId="275C2A48" w:rsidR="00350144" w:rsidRPr="00010CE7" w:rsidRDefault="00350144" w:rsidP="00010CE7">
            <w:pPr>
              <w:spacing w:line="300" w:lineRule="auto"/>
              <w:jc w:val="both"/>
              <w:rPr>
                <w:rFonts w:ascii="Helvetica" w:hAnsi="Helvetica"/>
                <w:color w:val="1A1A1A"/>
              </w:rPr>
            </w:pPr>
          </w:p>
        </w:tc>
      </w:tr>
      <w:tr w:rsidR="00350144" w:rsidRPr="00010CE7" w14:paraId="793DF697" w14:textId="77777777" w:rsidTr="00D25791">
        <w:trPr>
          <w:trHeight w:val="60"/>
        </w:trPr>
        <w:tc>
          <w:tcPr>
            <w:tcW w:w="9350" w:type="dxa"/>
            <w:tcBorders>
              <w:top w:val="single" w:sz="6" w:space="0" w:color="E5E5E5"/>
            </w:tcBorders>
          </w:tcPr>
          <w:p w14:paraId="71BCF633" w14:textId="77777777" w:rsidR="0025713E" w:rsidRPr="00010CE7" w:rsidRDefault="0025713E" w:rsidP="00010CE7">
            <w:pPr>
              <w:spacing w:line="300" w:lineRule="auto"/>
              <w:jc w:val="both"/>
              <w:rPr>
                <w:rFonts w:ascii="Helvetica" w:hAnsi="Helvetica"/>
                <w:color w:val="1A1A1A"/>
              </w:rPr>
            </w:pPr>
          </w:p>
        </w:tc>
      </w:tr>
    </w:tbl>
    <w:p w14:paraId="27E40370" w14:textId="77777777" w:rsidR="008607D3" w:rsidRDefault="008607D3" w:rsidP="008607D3">
      <w:pPr>
        <w:spacing w:after="0" w:line="300" w:lineRule="auto"/>
        <w:jc w:val="both"/>
        <w:rPr>
          <w:rFonts w:ascii="Helvetica" w:hAnsi="Helvetica"/>
          <w:color w:val="1A1A1A"/>
        </w:rPr>
      </w:pPr>
      <w:r w:rsidRPr="008607D3">
        <w:rPr>
          <w:rFonts w:ascii="Helvetica" w:hAnsi="Helvetica"/>
          <w:color w:val="1A1A1A"/>
        </w:rPr>
        <w:t>The most overlooked ESOP question is not only what the options are worth today. It is how employees eventually turn that value into cash.</w:t>
      </w:r>
    </w:p>
    <w:p w14:paraId="1BF19C91" w14:textId="77777777" w:rsidR="008607D3" w:rsidRPr="008607D3" w:rsidRDefault="008607D3" w:rsidP="008607D3">
      <w:pPr>
        <w:spacing w:after="0" w:line="300" w:lineRule="auto"/>
        <w:jc w:val="both"/>
        <w:rPr>
          <w:rFonts w:ascii="Helvetica" w:hAnsi="Helvetica"/>
          <w:color w:val="1A1A1A"/>
        </w:rPr>
      </w:pPr>
    </w:p>
    <w:p w14:paraId="7164B148" w14:textId="77777777" w:rsidR="008607D3" w:rsidRDefault="008607D3" w:rsidP="008607D3">
      <w:pPr>
        <w:spacing w:after="0" w:line="300" w:lineRule="auto"/>
        <w:jc w:val="both"/>
        <w:rPr>
          <w:rFonts w:ascii="Helvetica" w:hAnsi="Helvetica"/>
          <w:color w:val="1A1A1A"/>
        </w:rPr>
      </w:pPr>
      <w:r w:rsidRPr="008607D3">
        <w:rPr>
          <w:rFonts w:ascii="Helvetica" w:hAnsi="Helvetica"/>
          <w:color w:val="1A1A1A"/>
        </w:rPr>
        <w:t>Options are valuable only if there is a credible path to liquidity. In most companies, that path comes from an IPO, acquisition, secondary sale, share buyback, or other structured liquidity event. If employees cannot see how the value becomes real, they will discount the ESOP heavily, even if the valuation is technically correct.</w:t>
      </w:r>
    </w:p>
    <w:p w14:paraId="4C264988" w14:textId="77777777" w:rsidR="008607D3" w:rsidRPr="008607D3" w:rsidRDefault="008607D3" w:rsidP="008607D3">
      <w:pPr>
        <w:spacing w:after="0" w:line="300" w:lineRule="auto"/>
        <w:jc w:val="both"/>
        <w:rPr>
          <w:rFonts w:ascii="Helvetica" w:hAnsi="Helvetica"/>
          <w:color w:val="1A1A1A"/>
        </w:rPr>
      </w:pPr>
    </w:p>
    <w:p w14:paraId="3EF20FF1" w14:textId="77777777" w:rsidR="008607D3" w:rsidRDefault="008607D3" w:rsidP="008607D3">
      <w:pPr>
        <w:spacing w:after="0" w:line="300" w:lineRule="auto"/>
        <w:jc w:val="both"/>
        <w:rPr>
          <w:rFonts w:ascii="Helvetica" w:hAnsi="Helvetica"/>
          <w:color w:val="1A1A1A"/>
        </w:rPr>
      </w:pPr>
      <w:r w:rsidRPr="008607D3">
        <w:rPr>
          <w:rFonts w:ascii="Helvetica" w:hAnsi="Helvetica"/>
          <w:color w:val="1A1A1A"/>
        </w:rPr>
        <w:t>This matters for retention. A founder may think the company has granted a meaningful incentive package. The employee may see a paper instrument with uncertain value, uncertain timing, and no clear exit route. When those two interpretations diverge, the ESOP stops functioning as an alignment tool.</w:t>
      </w:r>
    </w:p>
    <w:p w14:paraId="6B07153C" w14:textId="77777777" w:rsidR="008607D3" w:rsidRPr="008607D3" w:rsidRDefault="008607D3" w:rsidP="008607D3">
      <w:pPr>
        <w:spacing w:after="0" w:line="300" w:lineRule="auto"/>
        <w:jc w:val="both"/>
        <w:rPr>
          <w:rFonts w:ascii="Helvetica" w:hAnsi="Helvetica"/>
          <w:color w:val="1A1A1A"/>
        </w:rPr>
      </w:pPr>
    </w:p>
    <w:p w14:paraId="7AC19BE7" w14:textId="675A62E5" w:rsidR="000A5A0F" w:rsidRDefault="008607D3" w:rsidP="008607D3">
      <w:pPr>
        <w:spacing w:after="0" w:line="300" w:lineRule="auto"/>
        <w:jc w:val="both"/>
        <w:rPr>
          <w:rFonts w:ascii="Helvetica" w:hAnsi="Helvetica"/>
          <w:color w:val="1A1A1A"/>
        </w:rPr>
      </w:pPr>
      <w:r w:rsidRPr="008607D3">
        <w:rPr>
          <w:rFonts w:ascii="Helvetica" w:hAnsi="Helvetica"/>
          <w:color w:val="1A1A1A"/>
        </w:rPr>
        <w:t>The liquidity question should sit alongside valuation and governance. A stronger ESOP structure does not only answer what the strike price is. It also helps management think through vesting, exercise windows, potential secondary processes, employee communication, and how the plan will remain credible as the company grows.</w:t>
      </w:r>
    </w:p>
    <w:p w14:paraId="171BA96D" w14:textId="77777777" w:rsidR="00E021F5" w:rsidRDefault="00E021F5">
      <w:pPr>
        <w:rPr>
          <w:rFonts w:ascii="Helvetica" w:eastAsiaTheme="majorEastAsia" w:hAnsi="Helvetica" w:cstheme="majorBidi"/>
          <w:color w:val="1A1A1A"/>
          <w:sz w:val="20"/>
          <w:szCs w:val="20"/>
        </w:rPr>
      </w:pPr>
      <w:r>
        <w:rPr>
          <w:rFonts w:ascii="Helvetica" w:hAnsi="Helvetica"/>
          <w:color w:val="1A1A1A"/>
          <w:sz w:val="20"/>
          <w:szCs w:val="20"/>
        </w:rPr>
        <w:br w:type="page"/>
      </w:r>
    </w:p>
    <w:p w14:paraId="68B59FAB" w14:textId="2F2E1D02" w:rsidR="000A5A0F"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lastRenderedPageBreak/>
        <w:t>Section 0</w:t>
      </w:r>
      <w:r w:rsidR="00237CD4">
        <w:rPr>
          <w:rFonts w:ascii="Helvetica" w:hAnsi="Helvetica"/>
          <w:color w:val="1A1A1A"/>
          <w:sz w:val="20"/>
          <w:szCs w:val="20"/>
        </w:rPr>
        <w:t>6</w:t>
      </w:r>
    </w:p>
    <w:p w14:paraId="194543C6" w14:textId="77777777" w:rsidR="00010CE7" w:rsidRPr="00010CE7" w:rsidRDefault="00010CE7" w:rsidP="00010CE7">
      <w:pPr>
        <w:pStyle w:val="Heading2"/>
        <w:spacing w:before="0" w:after="0" w:line="300" w:lineRule="auto"/>
        <w:jc w:val="both"/>
        <w:rPr>
          <w:rFonts w:ascii="Helvetica" w:hAnsi="Helvetica"/>
          <w:color w:val="174C3C"/>
          <w:sz w:val="24"/>
          <w:szCs w:val="24"/>
        </w:rPr>
      </w:pPr>
    </w:p>
    <w:p w14:paraId="4025D4C1" w14:textId="1ED66AF9" w:rsidR="00350144" w:rsidRPr="00010CE7" w:rsidRDefault="008607D3" w:rsidP="00010CE7">
      <w:pPr>
        <w:pStyle w:val="Heading2"/>
        <w:spacing w:before="0" w:after="0" w:line="240" w:lineRule="auto"/>
        <w:jc w:val="both"/>
        <w:rPr>
          <w:rFonts w:ascii="Helvetica" w:hAnsi="Helvetica"/>
          <w:color w:val="174C3C"/>
          <w:sz w:val="40"/>
          <w:szCs w:val="40"/>
        </w:rPr>
      </w:pPr>
      <w:r w:rsidRPr="008607D3">
        <w:rPr>
          <w:rFonts w:ascii="Helvetica" w:hAnsi="Helvetica"/>
          <w:color w:val="174C3C"/>
          <w:sz w:val="40"/>
          <w:szCs w:val="40"/>
        </w:rPr>
        <w:t>Your Immediate Next Steps</w:t>
      </w:r>
      <w:r>
        <w:rPr>
          <w:rFonts w:ascii="Helvetica" w:hAnsi="Helvetica"/>
          <w:color w:val="174C3C"/>
          <w:sz w:val="40"/>
          <w:szCs w:val="4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50144" w:rsidRPr="00010CE7" w14:paraId="245ED114" w14:textId="77777777" w:rsidTr="00D25791">
        <w:tc>
          <w:tcPr>
            <w:tcW w:w="9350" w:type="dxa"/>
            <w:tcBorders>
              <w:bottom w:val="single" w:sz="6" w:space="0" w:color="E5E5E5"/>
            </w:tcBorders>
          </w:tcPr>
          <w:p w14:paraId="065FCD97" w14:textId="77777777" w:rsidR="00350144" w:rsidRPr="00010CE7" w:rsidRDefault="00350144" w:rsidP="00010CE7">
            <w:pPr>
              <w:spacing w:line="300" w:lineRule="auto"/>
              <w:jc w:val="both"/>
              <w:rPr>
                <w:rFonts w:ascii="Helvetica" w:hAnsi="Helvetica"/>
                <w:color w:val="1A1A1A"/>
              </w:rPr>
            </w:pPr>
          </w:p>
        </w:tc>
      </w:tr>
      <w:tr w:rsidR="00350144" w:rsidRPr="00010CE7" w14:paraId="47073425" w14:textId="77777777" w:rsidTr="00D25791">
        <w:trPr>
          <w:trHeight w:val="60"/>
        </w:trPr>
        <w:tc>
          <w:tcPr>
            <w:tcW w:w="9350" w:type="dxa"/>
            <w:tcBorders>
              <w:top w:val="single" w:sz="6" w:space="0" w:color="E5E5E5"/>
            </w:tcBorders>
          </w:tcPr>
          <w:p w14:paraId="6487C115" w14:textId="77777777" w:rsidR="0025713E" w:rsidRPr="00010CE7" w:rsidRDefault="0025713E" w:rsidP="00010CE7">
            <w:pPr>
              <w:spacing w:line="300" w:lineRule="auto"/>
              <w:jc w:val="both"/>
              <w:rPr>
                <w:rFonts w:ascii="Helvetica" w:hAnsi="Helvetica"/>
                <w:color w:val="1A1A1A"/>
              </w:rPr>
            </w:pPr>
          </w:p>
        </w:tc>
      </w:tr>
    </w:tbl>
    <w:p w14:paraId="3AB45CFF" w14:textId="7082FC9E" w:rsidR="00EE5C06" w:rsidRPr="00010CE7" w:rsidRDefault="00EE5C06" w:rsidP="008607D3">
      <w:pPr>
        <w:spacing w:after="0" w:line="300" w:lineRule="auto"/>
        <w:jc w:val="both"/>
        <w:rPr>
          <w:rFonts w:ascii="Helvetica" w:hAnsi="Helvetica"/>
          <w:color w:val="1A1A1A"/>
        </w:rPr>
      </w:pPr>
    </w:p>
    <w:tbl>
      <w:tblPr>
        <w:tblStyle w:val="TableGrid"/>
        <w:tblW w:w="0" w:type="auto"/>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288" w:type="dxa"/>
          <w:left w:w="288" w:type="dxa"/>
          <w:bottom w:w="288" w:type="dxa"/>
          <w:right w:w="288" w:type="dxa"/>
        </w:tblCellMar>
        <w:tblLook w:val="04A0" w:firstRow="1" w:lastRow="0" w:firstColumn="1" w:lastColumn="0" w:noHBand="0" w:noVBand="1"/>
      </w:tblPr>
      <w:tblGrid>
        <w:gridCol w:w="1704"/>
        <w:gridCol w:w="7586"/>
        <w:gridCol w:w="70"/>
      </w:tblGrid>
      <w:tr w:rsidR="00436FFF" w:rsidRPr="00010CE7" w14:paraId="5B985A16" w14:textId="77777777" w:rsidTr="00387FED">
        <w:tc>
          <w:tcPr>
            <w:tcW w:w="1704" w:type="dxa"/>
            <w:tcBorders>
              <w:top w:val="nil"/>
              <w:left w:val="nil"/>
              <w:bottom w:val="nil"/>
              <w:right w:val="nil"/>
            </w:tcBorders>
            <w:shd w:val="clear" w:color="auto" w:fill="174C3C"/>
            <w:vAlign w:val="center"/>
          </w:tcPr>
          <w:p w14:paraId="440622AE"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t>Step 1</w:t>
            </w:r>
          </w:p>
        </w:tc>
        <w:tc>
          <w:tcPr>
            <w:tcW w:w="7656" w:type="dxa"/>
            <w:gridSpan w:val="2"/>
            <w:tcBorders>
              <w:top w:val="nil"/>
              <w:left w:val="nil"/>
              <w:bottom w:val="nil"/>
              <w:right w:val="nil"/>
            </w:tcBorders>
            <w:shd w:val="clear" w:color="auto" w:fill="F7F5F2"/>
            <w:vAlign w:val="center"/>
          </w:tcPr>
          <w:p w14:paraId="0F737691" w14:textId="79901176" w:rsidR="00436FFF" w:rsidRPr="008607D3" w:rsidRDefault="00EE5C06" w:rsidP="008607D3">
            <w:pPr>
              <w:spacing w:line="300" w:lineRule="auto"/>
              <w:rPr>
                <w:rFonts w:ascii="Helvetica" w:hAnsi="Helvetica"/>
                <w:bCs/>
                <w:color w:val="1A1A1A"/>
              </w:rPr>
            </w:pPr>
            <w:r w:rsidRPr="00EE5C06">
              <w:rPr>
                <w:rFonts w:ascii="Helvetica" w:hAnsi="Helvetica"/>
                <w:bCs/>
                <w:color w:val="1A1A1A"/>
              </w:rPr>
              <w:t>Start by aligning with your cofounders and board on whether equity should be part of your long term talent strategy. Not every company needs an ESOP immediately. But if you expect to hire senior talent, raise institutional capital, or build a long term retention culture, the question will eventually surface.</w:t>
            </w:r>
          </w:p>
        </w:tc>
      </w:tr>
      <w:tr w:rsidR="00436FFF" w:rsidRPr="00010CE7" w14:paraId="3F8D860B" w14:textId="77777777" w:rsidTr="00D25791">
        <w:tc>
          <w:tcPr>
            <w:tcW w:w="1704" w:type="dxa"/>
            <w:tcBorders>
              <w:top w:val="nil"/>
              <w:left w:val="nil"/>
              <w:bottom w:val="nil"/>
              <w:right w:val="nil"/>
            </w:tcBorders>
            <w:shd w:val="clear" w:color="auto" w:fill="174C3C"/>
            <w:vAlign w:val="center"/>
          </w:tcPr>
          <w:p w14:paraId="7EC4EDC8"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t>Step 2</w:t>
            </w:r>
          </w:p>
        </w:tc>
        <w:tc>
          <w:tcPr>
            <w:tcW w:w="7656" w:type="dxa"/>
            <w:gridSpan w:val="2"/>
            <w:tcBorders>
              <w:top w:val="nil"/>
              <w:left w:val="nil"/>
              <w:bottom w:val="nil"/>
              <w:right w:val="nil"/>
            </w:tcBorders>
            <w:shd w:val="clear" w:color="auto" w:fill="FFFFFF" w:themeFill="background1"/>
            <w:vAlign w:val="center"/>
          </w:tcPr>
          <w:p w14:paraId="193C7627" w14:textId="6C2223A5" w:rsidR="00436FFF" w:rsidRPr="008607D3" w:rsidRDefault="00EE5C06" w:rsidP="008607D3">
            <w:pPr>
              <w:spacing w:line="300" w:lineRule="auto"/>
              <w:rPr>
                <w:rFonts w:ascii="Helvetica" w:hAnsi="Helvetica"/>
                <w:bCs/>
                <w:color w:val="1A1A1A"/>
              </w:rPr>
            </w:pPr>
            <w:r>
              <w:rPr>
                <w:rFonts w:ascii="Helvetica" w:hAnsi="Helvetica"/>
                <w:bCs/>
                <w:color w:val="1A1A1A"/>
              </w:rPr>
              <w:t>A</w:t>
            </w:r>
            <w:r w:rsidRPr="00EE5C06">
              <w:rPr>
                <w:rFonts w:ascii="Helvetica" w:hAnsi="Helvetica"/>
                <w:bCs/>
                <w:color w:val="1A1A1A"/>
              </w:rPr>
              <w:t xml:space="preserve">void making informal promises in offer letters or compensation conversations. Do not promise a specific percentage, strike price, or implied value until the structure is clear. </w:t>
            </w:r>
          </w:p>
        </w:tc>
      </w:tr>
      <w:tr w:rsidR="00436FFF" w:rsidRPr="00010CE7" w14:paraId="3787CA54" w14:textId="77777777" w:rsidTr="00387FED">
        <w:tc>
          <w:tcPr>
            <w:tcW w:w="1704" w:type="dxa"/>
            <w:tcBorders>
              <w:top w:val="nil"/>
              <w:left w:val="nil"/>
              <w:bottom w:val="nil"/>
              <w:right w:val="nil"/>
            </w:tcBorders>
            <w:shd w:val="clear" w:color="auto" w:fill="174C3C"/>
            <w:vAlign w:val="center"/>
          </w:tcPr>
          <w:p w14:paraId="335C1F9A"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t>Step 3</w:t>
            </w:r>
          </w:p>
        </w:tc>
        <w:tc>
          <w:tcPr>
            <w:tcW w:w="7656" w:type="dxa"/>
            <w:gridSpan w:val="2"/>
            <w:tcBorders>
              <w:top w:val="nil"/>
              <w:left w:val="nil"/>
              <w:bottom w:val="nil"/>
              <w:right w:val="nil"/>
            </w:tcBorders>
            <w:shd w:val="clear" w:color="auto" w:fill="F7F5F2"/>
            <w:vAlign w:val="center"/>
          </w:tcPr>
          <w:p w14:paraId="3F72F0AC" w14:textId="57F5AA76" w:rsidR="00436FFF" w:rsidRPr="00EE5C06" w:rsidRDefault="00EE5C06" w:rsidP="008607D3">
            <w:pPr>
              <w:spacing w:line="300" w:lineRule="auto"/>
              <w:rPr>
                <w:rFonts w:ascii="Helvetica" w:hAnsi="Helvetica"/>
                <w:bCs/>
                <w:color w:val="1A1A1A"/>
              </w:rPr>
            </w:pPr>
            <w:r>
              <w:rPr>
                <w:rFonts w:ascii="Helvetica" w:hAnsi="Helvetica"/>
                <w:bCs/>
                <w:color w:val="1A1A1A"/>
              </w:rPr>
              <w:t>P</w:t>
            </w:r>
            <w:r w:rsidRPr="00EE5C06">
              <w:rPr>
                <w:rFonts w:ascii="Helvetica" w:hAnsi="Helvetica"/>
                <w:bCs/>
                <w:color w:val="1A1A1A"/>
              </w:rPr>
              <w:t>repare the basic information that will eventually support a valuation. This includes your cap table, latest financial statements, recent fundraising terms, business plan, proposed option pool size, and any preliminary thoughts on vesting or eligibility.</w:t>
            </w:r>
          </w:p>
        </w:tc>
      </w:tr>
      <w:tr w:rsidR="00436FFF" w:rsidRPr="00010CE7" w14:paraId="4343BAF5" w14:textId="77777777" w:rsidTr="00C979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gridAfter w:val="1"/>
          <w:wAfter w:w="70" w:type="dxa"/>
        </w:trPr>
        <w:tc>
          <w:tcPr>
            <w:tcW w:w="9290" w:type="dxa"/>
            <w:gridSpan w:val="2"/>
          </w:tcPr>
          <w:p w14:paraId="05C0748B" w14:textId="77777777" w:rsidR="00436FFF" w:rsidRPr="00010CE7" w:rsidRDefault="00436FFF" w:rsidP="00010CE7">
            <w:pPr>
              <w:spacing w:line="300" w:lineRule="auto"/>
              <w:jc w:val="both"/>
              <w:rPr>
                <w:rFonts w:ascii="Helvetica" w:hAnsi="Helvetica"/>
                <w:color w:val="1A1A1A"/>
              </w:rPr>
            </w:pPr>
          </w:p>
        </w:tc>
      </w:tr>
      <w:tr w:rsidR="00436FFF" w:rsidRPr="00010CE7" w14:paraId="6EB72282" w14:textId="77777777" w:rsidTr="00C979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gridAfter w:val="1"/>
          <w:wAfter w:w="70" w:type="dxa"/>
          <w:trHeight w:val="60"/>
        </w:trPr>
        <w:tc>
          <w:tcPr>
            <w:tcW w:w="9290" w:type="dxa"/>
            <w:gridSpan w:val="2"/>
          </w:tcPr>
          <w:p w14:paraId="18682744" w14:textId="77777777" w:rsidR="00436FFF" w:rsidRPr="00010CE7" w:rsidRDefault="00436FFF" w:rsidP="00010CE7">
            <w:pPr>
              <w:spacing w:line="300" w:lineRule="auto"/>
              <w:jc w:val="both"/>
              <w:rPr>
                <w:rFonts w:ascii="Helvetica" w:hAnsi="Helvetica"/>
                <w:color w:val="1A1A1A"/>
              </w:rPr>
            </w:pPr>
          </w:p>
        </w:tc>
      </w:tr>
    </w:tbl>
    <w:p w14:paraId="0C1B59B4" w14:textId="77777777" w:rsidR="00031859" w:rsidRPr="00010CE7" w:rsidRDefault="00031859" w:rsidP="00010CE7">
      <w:pPr>
        <w:spacing w:after="0" w:line="300" w:lineRule="auto"/>
        <w:jc w:val="both"/>
        <w:rPr>
          <w:rFonts w:ascii="Helvetica" w:hAnsi="Helvetica"/>
          <w:color w:val="1A1A1A"/>
        </w:rPr>
      </w:pPr>
    </w:p>
    <w:sectPr w:rsidR="00031859" w:rsidRPr="00010CE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02F2B" w14:textId="77777777" w:rsidR="00DC20BB" w:rsidRDefault="00DC20BB" w:rsidP="000A5A0F">
      <w:pPr>
        <w:spacing w:after="0" w:line="240" w:lineRule="auto"/>
      </w:pPr>
      <w:r>
        <w:separator/>
      </w:r>
    </w:p>
  </w:endnote>
  <w:endnote w:type="continuationSeparator" w:id="0">
    <w:p w14:paraId="4304559D" w14:textId="77777777" w:rsidR="00DC20BB" w:rsidRDefault="00DC20BB" w:rsidP="000A5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AD629" w14:textId="77777777" w:rsidR="001100F8" w:rsidRPr="001100F8" w:rsidRDefault="001100F8" w:rsidP="001100F8">
    <w:pPr>
      <w:pBdr>
        <w:top w:val="single" w:sz="4" w:space="6" w:color="CCCCCC"/>
      </w:pBdr>
      <w:tabs>
        <w:tab w:val="right" w:pos="9000"/>
      </w:tabs>
      <w:rPr>
        <w:rFonts w:ascii="Helvetica" w:hAnsi="Helvetica"/>
        <w:color w:val="1A1A1A"/>
        <w:sz w:val="32"/>
        <w:szCs w:val="32"/>
      </w:rPr>
    </w:pPr>
    <w:r w:rsidRPr="001100F8">
      <w:rPr>
        <w:rFonts w:ascii="Arial" w:eastAsia="Arial" w:hAnsi="Arial" w:cs="Arial"/>
        <w:color w:val="808080" w:themeColor="background1" w:themeShade="80"/>
        <w:sz w:val="16"/>
        <w:szCs w:val="16"/>
      </w:rPr>
      <w:t>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ED3DA" w14:textId="00C44D75" w:rsidR="001100F8" w:rsidRPr="00031859" w:rsidRDefault="001100F8" w:rsidP="001100F8">
    <w:pPr>
      <w:pBdr>
        <w:top w:val="single" w:sz="4" w:space="6" w:color="CCCCCC"/>
      </w:pBdr>
      <w:tabs>
        <w:tab w:val="right" w:pos="9000"/>
      </w:tabs>
      <w:rPr>
        <w:rFonts w:ascii="Helvetica" w:hAnsi="Helvetica"/>
        <w:color w:val="1A1A1A"/>
        <w:sz w:val="16"/>
        <w:szCs w:val="16"/>
      </w:rPr>
    </w:pPr>
    <w:r w:rsidRPr="00031859">
      <w:rPr>
        <w:rFonts w:ascii="Helvetica" w:eastAsia="Arial" w:hAnsi="Helvetica" w:cs="Arial"/>
        <w:color w:val="1A1A1A"/>
        <w:sz w:val="16"/>
        <w:szCs w:val="16"/>
      </w:rPr>
      <w:t>2</w:t>
    </w:r>
    <w:r w:rsidR="00031859" w:rsidRPr="00031859">
      <w:rPr>
        <w:rFonts w:ascii="Helvetica" w:eastAsia="Arial" w:hAnsi="Helvetica" w:cs="Arial"/>
        <w:color w:val="1A1A1A"/>
        <w:sz w:val="16"/>
        <w:szCs w:val="16"/>
      </w:rPr>
      <w:t>02</w:t>
    </w:r>
    <w:r w:rsidRPr="00031859">
      <w:rPr>
        <w:rFonts w:ascii="Helvetica" w:eastAsia="Arial" w:hAnsi="Helvetica" w:cs="Arial"/>
        <w:color w:val="1A1A1A"/>
        <w:sz w:val="16"/>
        <w:szCs w:val="16"/>
      </w:rPr>
      <w:t xml:space="preserve">6 Bain Squared | </w:t>
    </w:r>
    <w:hyperlink r:id="rId1" w:history="1">
      <w:r w:rsidRPr="00031859">
        <w:rPr>
          <w:rStyle w:val="Hyperlink"/>
          <w:rFonts w:ascii="Helvetica" w:eastAsia="Arial" w:hAnsi="Helvetica" w:cs="Arial"/>
          <w:color w:val="1A1A1A"/>
          <w:sz w:val="16"/>
          <w:szCs w:val="16"/>
        </w:rPr>
        <w:t>www.bainsquared.com</w:t>
      </w:r>
    </w:hyperlink>
    <w:r w:rsidRPr="00031859">
      <w:rPr>
        <w:rFonts w:ascii="Helvetica" w:eastAsia="Arial" w:hAnsi="Helvetica" w:cs="Arial"/>
        <w:color w:val="1A1A1A"/>
        <w:sz w:val="16"/>
        <w:szCs w:val="16"/>
      </w:rPr>
      <w:t xml:space="preserve"> </w:t>
    </w:r>
    <w:r w:rsidRPr="00031859">
      <w:rPr>
        <w:rFonts w:ascii="Helvetica" w:eastAsia="Arial" w:hAnsi="Helvetica" w:cs="Arial"/>
        <w:color w:val="1A1A1A"/>
        <w:sz w:val="16"/>
        <w:szCs w:val="16"/>
      </w:rPr>
      <w:tab/>
      <w:t xml:space="preserve">Page </w:t>
    </w:r>
    <w:r w:rsidRPr="00031859">
      <w:rPr>
        <w:rFonts w:ascii="Helvetica" w:eastAsia="Arial" w:hAnsi="Helvetica" w:cs="Arial"/>
        <w:color w:val="1A1A1A"/>
        <w:sz w:val="16"/>
        <w:szCs w:val="16"/>
      </w:rPr>
      <w:fldChar w:fldCharType="begin"/>
    </w:r>
    <w:r w:rsidRPr="00031859">
      <w:rPr>
        <w:rFonts w:ascii="Helvetica" w:eastAsia="Arial" w:hAnsi="Helvetica" w:cs="Arial"/>
        <w:color w:val="1A1A1A"/>
        <w:sz w:val="16"/>
        <w:szCs w:val="16"/>
      </w:rPr>
      <w:instrText>PAGE</w:instrText>
    </w:r>
    <w:r w:rsidRPr="00031859">
      <w:rPr>
        <w:rFonts w:ascii="Helvetica" w:eastAsia="Arial" w:hAnsi="Helvetica" w:cs="Arial"/>
        <w:color w:val="1A1A1A"/>
        <w:sz w:val="16"/>
        <w:szCs w:val="16"/>
      </w:rPr>
      <w:fldChar w:fldCharType="separate"/>
    </w:r>
    <w:r w:rsidRPr="00031859">
      <w:rPr>
        <w:rFonts w:ascii="Helvetica" w:eastAsia="Arial" w:hAnsi="Helvetica" w:cs="Arial"/>
        <w:color w:val="1A1A1A"/>
        <w:sz w:val="16"/>
        <w:szCs w:val="16"/>
      </w:rPr>
      <w:t>1</w:t>
    </w:r>
    <w:r w:rsidRPr="00031859">
      <w:rPr>
        <w:rFonts w:ascii="Helvetica" w:eastAsia="Arial" w:hAnsi="Helvetica" w:cs="Arial"/>
        <w:color w:val="1A1A1A"/>
        <w:sz w:val="16"/>
        <w:szCs w:val="16"/>
      </w:rPr>
      <w:fldChar w:fldCharType="end"/>
    </w:r>
    <w:r w:rsidRPr="00031859">
      <w:rPr>
        <w:rFonts w:ascii="Helvetica" w:eastAsia="Arial" w:hAnsi="Helvetica" w:cs="Arial"/>
        <w:color w:val="1A1A1A"/>
        <w:sz w:val="16"/>
        <w:szCs w:val="16"/>
      </w:rPr>
      <w:t xml:space="preserve"> of </w:t>
    </w:r>
    <w:r w:rsidRPr="00031859">
      <w:rPr>
        <w:rFonts w:ascii="Helvetica" w:eastAsia="Arial" w:hAnsi="Helvetica" w:cs="Arial"/>
        <w:color w:val="1A1A1A"/>
        <w:sz w:val="16"/>
        <w:szCs w:val="16"/>
      </w:rPr>
      <w:fldChar w:fldCharType="begin"/>
    </w:r>
    <w:r w:rsidRPr="00031859">
      <w:rPr>
        <w:rFonts w:ascii="Helvetica" w:eastAsia="Arial" w:hAnsi="Helvetica" w:cs="Arial"/>
        <w:color w:val="1A1A1A"/>
        <w:sz w:val="16"/>
        <w:szCs w:val="16"/>
      </w:rPr>
      <w:instrText>NUMPAGES</w:instrText>
    </w:r>
    <w:r w:rsidRPr="00031859">
      <w:rPr>
        <w:rFonts w:ascii="Helvetica" w:eastAsia="Arial" w:hAnsi="Helvetica" w:cs="Arial"/>
        <w:color w:val="1A1A1A"/>
        <w:sz w:val="16"/>
        <w:szCs w:val="16"/>
      </w:rPr>
      <w:fldChar w:fldCharType="separate"/>
    </w:r>
    <w:r w:rsidRPr="00031859">
      <w:rPr>
        <w:rFonts w:ascii="Helvetica" w:eastAsia="Arial" w:hAnsi="Helvetica" w:cs="Arial"/>
        <w:color w:val="1A1A1A"/>
        <w:sz w:val="16"/>
        <w:szCs w:val="16"/>
      </w:rPr>
      <w:t>16</w:t>
    </w:r>
    <w:r w:rsidRPr="00031859">
      <w:rPr>
        <w:rFonts w:ascii="Helvetica" w:eastAsia="Arial" w:hAnsi="Helvetica" w:cs="Arial"/>
        <w:color w:val="1A1A1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8B87F" w14:textId="77777777" w:rsidR="00E021F5" w:rsidRDefault="00E021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5B89E" w14:textId="77777777" w:rsidR="00DC20BB" w:rsidRDefault="00DC20BB" w:rsidP="000A5A0F">
      <w:pPr>
        <w:spacing w:after="0" w:line="240" w:lineRule="auto"/>
      </w:pPr>
      <w:r>
        <w:separator/>
      </w:r>
    </w:p>
  </w:footnote>
  <w:footnote w:type="continuationSeparator" w:id="0">
    <w:p w14:paraId="3C945BEC" w14:textId="77777777" w:rsidR="00DC20BB" w:rsidRDefault="00DC20BB" w:rsidP="000A5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E2B56" w14:textId="77777777" w:rsidR="000A5A0F" w:rsidRDefault="000A5A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2B1C" w14:textId="556D55D1" w:rsidR="00031859" w:rsidRPr="00031859" w:rsidRDefault="00237CD4" w:rsidP="00031859">
    <w:pPr>
      <w:pBdr>
        <w:bottom w:val="single" w:sz="4" w:space="6" w:color="CCCCCC"/>
      </w:pBdr>
      <w:tabs>
        <w:tab w:val="right" w:pos="9000"/>
      </w:tabs>
      <w:jc w:val="right"/>
      <w:rPr>
        <w:rFonts w:ascii="Helvetica" w:hAnsi="Helvetica"/>
        <w:color w:val="1A1A1A"/>
        <w:sz w:val="16"/>
        <w:szCs w:val="16"/>
      </w:rPr>
    </w:pPr>
    <w:r w:rsidRPr="00237CD4">
      <w:rPr>
        <w:rFonts w:ascii="Helvetica" w:hAnsi="Helvetica"/>
        <w:color w:val="1A1A1A"/>
        <w:sz w:val="16"/>
        <w:szCs w:val="16"/>
      </w:rPr>
      <w:t>ESOP Valuation Advisory Report</w:t>
    </w:r>
    <w:r w:rsidR="00031859" w:rsidRPr="00031859">
      <w:rPr>
        <w:rFonts w:ascii="Helvetica" w:hAnsi="Helvetica"/>
        <w:color w:val="1A1A1A"/>
        <w:sz w:val="16"/>
        <w:szCs w:val="16"/>
      </w:rPr>
      <w:t xml:space="preserve">: </w:t>
    </w:r>
    <w:r w:rsidR="00EE5C06" w:rsidRPr="00EE5C06">
      <w:rPr>
        <w:rFonts w:ascii="Helvetica" w:hAnsi="Helvetica"/>
        <w:color w:val="1A1A1A"/>
        <w:sz w:val="16"/>
        <w:szCs w:val="16"/>
      </w:rPr>
      <w:t>ESOP Starter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283B" w14:textId="77777777" w:rsidR="000A5A0F" w:rsidRDefault="000A5A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B5C"/>
    <w:rsid w:val="000017A1"/>
    <w:rsid w:val="00010CE7"/>
    <w:rsid w:val="00011CBD"/>
    <w:rsid w:val="000254D9"/>
    <w:rsid w:val="00031859"/>
    <w:rsid w:val="000A5A0F"/>
    <w:rsid w:val="000C2FD7"/>
    <w:rsid w:val="000E14BB"/>
    <w:rsid w:val="001100F8"/>
    <w:rsid w:val="00237CD4"/>
    <w:rsid w:val="0025713E"/>
    <w:rsid w:val="00293358"/>
    <w:rsid w:val="002A3DAD"/>
    <w:rsid w:val="002C145D"/>
    <w:rsid w:val="0034532B"/>
    <w:rsid w:val="00350144"/>
    <w:rsid w:val="00382DC8"/>
    <w:rsid w:val="00387FED"/>
    <w:rsid w:val="003D6B73"/>
    <w:rsid w:val="00435F90"/>
    <w:rsid w:val="00436FFF"/>
    <w:rsid w:val="00501D0A"/>
    <w:rsid w:val="005B3A89"/>
    <w:rsid w:val="0060274C"/>
    <w:rsid w:val="006A7B5C"/>
    <w:rsid w:val="0073709B"/>
    <w:rsid w:val="007A6F1C"/>
    <w:rsid w:val="007D5EEB"/>
    <w:rsid w:val="008607D3"/>
    <w:rsid w:val="008B4850"/>
    <w:rsid w:val="008E2A6F"/>
    <w:rsid w:val="00926540"/>
    <w:rsid w:val="009429BB"/>
    <w:rsid w:val="00965E5F"/>
    <w:rsid w:val="009E1BD5"/>
    <w:rsid w:val="009E58F1"/>
    <w:rsid w:val="00A1627F"/>
    <w:rsid w:val="00A93348"/>
    <w:rsid w:val="00B45EA6"/>
    <w:rsid w:val="00D25791"/>
    <w:rsid w:val="00D74AE5"/>
    <w:rsid w:val="00DC20BB"/>
    <w:rsid w:val="00E021F5"/>
    <w:rsid w:val="00E04339"/>
    <w:rsid w:val="00E82BCD"/>
    <w:rsid w:val="00EE5C06"/>
    <w:rsid w:val="00FD495A"/>
    <w:rsid w:val="00FF5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8C0BD"/>
  <w15:chartTrackingRefBased/>
  <w15:docId w15:val="{5D278724-BBCF-9A41-9D02-B8962BCD3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7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7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B5C"/>
    <w:rPr>
      <w:rFonts w:eastAsiaTheme="majorEastAsia" w:cstheme="majorBidi"/>
      <w:color w:val="272727" w:themeColor="text1" w:themeTint="D8"/>
    </w:rPr>
  </w:style>
  <w:style w:type="paragraph" w:styleId="Title">
    <w:name w:val="Title"/>
    <w:basedOn w:val="Normal"/>
    <w:next w:val="Normal"/>
    <w:link w:val="TitleChar"/>
    <w:uiPriority w:val="10"/>
    <w:qFormat/>
    <w:rsid w:val="006A7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B5C"/>
    <w:pPr>
      <w:spacing w:before="160"/>
      <w:jc w:val="center"/>
    </w:pPr>
    <w:rPr>
      <w:i/>
      <w:iCs/>
      <w:color w:val="404040" w:themeColor="text1" w:themeTint="BF"/>
    </w:rPr>
  </w:style>
  <w:style w:type="character" w:customStyle="1" w:styleId="QuoteChar">
    <w:name w:val="Quote Char"/>
    <w:basedOn w:val="DefaultParagraphFont"/>
    <w:link w:val="Quote"/>
    <w:uiPriority w:val="29"/>
    <w:rsid w:val="006A7B5C"/>
    <w:rPr>
      <w:i/>
      <w:iCs/>
      <w:color w:val="404040" w:themeColor="text1" w:themeTint="BF"/>
    </w:rPr>
  </w:style>
  <w:style w:type="paragraph" w:styleId="ListParagraph">
    <w:name w:val="List Paragraph"/>
    <w:basedOn w:val="Normal"/>
    <w:uiPriority w:val="34"/>
    <w:qFormat/>
    <w:rsid w:val="006A7B5C"/>
    <w:pPr>
      <w:ind w:left="720"/>
      <w:contextualSpacing/>
    </w:pPr>
  </w:style>
  <w:style w:type="character" w:styleId="IntenseEmphasis">
    <w:name w:val="Intense Emphasis"/>
    <w:basedOn w:val="DefaultParagraphFont"/>
    <w:uiPriority w:val="21"/>
    <w:qFormat/>
    <w:rsid w:val="006A7B5C"/>
    <w:rPr>
      <w:i/>
      <w:iCs/>
      <w:color w:val="0F4761" w:themeColor="accent1" w:themeShade="BF"/>
    </w:rPr>
  </w:style>
  <w:style w:type="paragraph" w:styleId="IntenseQuote">
    <w:name w:val="Intense Quote"/>
    <w:basedOn w:val="Normal"/>
    <w:next w:val="Normal"/>
    <w:link w:val="IntenseQuoteChar"/>
    <w:uiPriority w:val="30"/>
    <w:qFormat/>
    <w:rsid w:val="006A7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B5C"/>
    <w:rPr>
      <w:i/>
      <w:iCs/>
      <w:color w:val="0F4761" w:themeColor="accent1" w:themeShade="BF"/>
    </w:rPr>
  </w:style>
  <w:style w:type="character" w:styleId="IntenseReference">
    <w:name w:val="Intense Reference"/>
    <w:basedOn w:val="DefaultParagraphFont"/>
    <w:uiPriority w:val="32"/>
    <w:qFormat/>
    <w:rsid w:val="006A7B5C"/>
    <w:rPr>
      <w:b/>
      <w:bCs/>
      <w:smallCaps/>
      <w:color w:val="0F4761" w:themeColor="accent1" w:themeShade="BF"/>
      <w:spacing w:val="5"/>
    </w:rPr>
  </w:style>
  <w:style w:type="table" w:styleId="TableGrid">
    <w:name w:val="Table Grid"/>
    <w:basedOn w:val="TableNormal"/>
    <w:uiPriority w:val="59"/>
    <w:rsid w:val="006A7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5A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A0F"/>
  </w:style>
  <w:style w:type="paragraph" w:styleId="Footer">
    <w:name w:val="footer"/>
    <w:basedOn w:val="Normal"/>
    <w:link w:val="FooterChar"/>
    <w:uiPriority w:val="99"/>
    <w:unhideWhenUsed/>
    <w:rsid w:val="000A5A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A0F"/>
  </w:style>
  <w:style w:type="character" w:styleId="Hyperlink">
    <w:name w:val="Hyperlink"/>
    <w:basedOn w:val="DefaultParagraphFont"/>
    <w:uiPriority w:val="99"/>
    <w:unhideWhenUsed/>
    <w:rsid w:val="001100F8"/>
    <w:rPr>
      <w:color w:val="467886" w:themeColor="hyperlink"/>
      <w:u w:val="single"/>
    </w:rPr>
  </w:style>
  <w:style w:type="character" w:styleId="UnresolvedMention">
    <w:name w:val="Unresolved Mention"/>
    <w:basedOn w:val="DefaultParagraphFont"/>
    <w:uiPriority w:val="99"/>
    <w:semiHidden/>
    <w:unhideWhenUsed/>
    <w:rsid w:val="001100F8"/>
    <w:rPr>
      <w:color w:val="605E5C"/>
      <w:shd w:val="clear" w:color="auto" w:fill="E1DFDD"/>
    </w:rPr>
  </w:style>
  <w:style w:type="table" w:customStyle="1" w:styleId="TableGrid1">
    <w:name w:val="Table Grid1"/>
    <w:basedOn w:val="TableNormal"/>
    <w:next w:val="TableGrid"/>
    <w:uiPriority w:val="59"/>
    <w:rsid w:val="00011CBD"/>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bainsquar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Tan</dc:creator>
  <cp:keywords/>
  <dc:description/>
  <cp:lastModifiedBy>Nicholas Tan</cp:lastModifiedBy>
  <cp:revision>3</cp:revision>
  <cp:lastPrinted>2026-05-05T08:30:00Z</cp:lastPrinted>
  <dcterms:created xsi:type="dcterms:W3CDTF">2026-05-05T08:30:00Z</dcterms:created>
  <dcterms:modified xsi:type="dcterms:W3CDTF">2026-05-05T08:30:00Z</dcterms:modified>
</cp:coreProperties>
</file>