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5F2"/>
  <w:body>
    <w:p w14:paraId="58412447" w14:textId="03A3FB93" w:rsidR="007D5EEB" w:rsidRPr="00010CE7" w:rsidRDefault="00031859" w:rsidP="00010CE7">
      <w:pPr>
        <w:spacing w:after="0" w:line="300" w:lineRule="auto"/>
        <w:jc w:val="both"/>
        <w:rPr>
          <w:rFonts w:ascii="Helvetica" w:hAnsi="Helvetica"/>
          <w:color w:val="F7F5F2"/>
        </w:rPr>
      </w:pPr>
      <w:r w:rsidRPr="00010CE7">
        <w:rPr>
          <w:rFonts w:ascii="Helvetica" w:hAnsi="Helvetica"/>
          <w:noProof/>
          <w:color w:val="F7F5F2"/>
        </w:rPr>
        <mc:AlternateContent>
          <mc:Choice Requires="wps">
            <w:drawing>
              <wp:anchor distT="0" distB="0" distL="114300" distR="114300" simplePos="0" relativeHeight="251659264" behindDoc="1" locked="0" layoutInCell="1" allowOverlap="1" wp14:anchorId="2969FF22" wp14:editId="1DEE4D4A">
                <wp:simplePos x="0" y="0"/>
                <wp:positionH relativeFrom="column">
                  <wp:posOffset>-913130</wp:posOffset>
                </wp:positionH>
                <wp:positionV relativeFrom="paragraph">
                  <wp:posOffset>-1099185</wp:posOffset>
                </wp:positionV>
                <wp:extent cx="7772400" cy="10515600"/>
                <wp:effectExtent l="0" t="0" r="12700" b="12700"/>
                <wp:wrapNone/>
                <wp:docPr id="403793553" name="Rectangle 2"/>
                <wp:cNvGraphicFramePr/>
                <a:graphic xmlns:a="http://schemas.openxmlformats.org/drawingml/2006/main">
                  <a:graphicData uri="http://schemas.microsoft.com/office/word/2010/wordprocessingShape">
                    <wps:wsp>
                      <wps:cNvSpPr/>
                      <wps:spPr>
                        <a:xfrm>
                          <a:off x="0" y="0"/>
                          <a:ext cx="7772400" cy="10515600"/>
                        </a:xfrm>
                        <a:prstGeom prst="rect">
                          <a:avLst/>
                        </a:prstGeom>
                        <a:solidFill>
                          <a:srgbClr val="174C3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9B00E9" id="Rectangle 2" o:spid="_x0000_s1026" style="position:absolute;margin-left:-71.9pt;margin-top:-86.55pt;width:612pt;height:82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" fillcolor="#174c3c" strokecolor="#030e13 [484]" strokeweight="1pt"/>
            </w:pict>
          </mc:Fallback>
        </mc:AlternateContent>
      </w:r>
      <w:r w:rsidRPr="00010CE7">
        <w:rPr>
          <w:rFonts w:ascii="Helvetica" w:hAnsi="Helvetica"/>
          <w:noProof/>
          <w:color w:val="1A1A1A"/>
        </w:rPr>
        <w:drawing>
          <wp:inline distT="0" distB="0" distL="0" distR="0" wp14:anchorId="5AA18B32" wp14:editId="01901F12">
            <wp:extent cx="2560320" cy="595493"/>
            <wp:effectExtent l="0" t="0" r="0" b="1905"/>
            <wp:docPr id="257914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4837" name="Picture 257914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0320" cy="595493"/>
                    </a:xfrm>
                    <a:prstGeom prst="rect">
                      <a:avLst/>
                    </a:prstGeom>
                  </pic:spPr>
                </pic:pic>
              </a:graphicData>
            </a:graphic>
          </wp:inline>
        </w:drawing>
      </w:r>
    </w:p>
    <w:p w14:paraId="3072E8D0" w14:textId="77777777" w:rsidR="007D5EEB" w:rsidRPr="00010CE7" w:rsidRDefault="007D5EEB" w:rsidP="00010CE7">
      <w:pPr>
        <w:spacing w:after="0" w:line="300" w:lineRule="auto"/>
        <w:jc w:val="both"/>
        <w:rPr>
          <w:rFonts w:ascii="Helvetica" w:hAnsi="Helvetica"/>
          <w:color w:val="F7F5F2"/>
        </w:rPr>
      </w:pPr>
    </w:p>
    <w:p w14:paraId="7B2730C6" w14:textId="5888B7B8" w:rsidR="007D5EEB" w:rsidRPr="00010CE7" w:rsidRDefault="007D5EEB" w:rsidP="00010CE7">
      <w:pPr>
        <w:spacing w:after="0" w:line="300" w:lineRule="auto"/>
        <w:jc w:val="both"/>
        <w:rPr>
          <w:rFonts w:ascii="Helvetica" w:hAnsi="Helvetica"/>
          <w:color w:val="F7F5F2"/>
        </w:rPr>
      </w:pPr>
    </w:p>
    <w:p w14:paraId="52E1FB70" w14:textId="77777777" w:rsidR="00010CE7" w:rsidRDefault="00010CE7" w:rsidP="00010CE7">
      <w:pPr>
        <w:spacing w:after="0" w:line="300" w:lineRule="auto"/>
        <w:jc w:val="both"/>
        <w:rPr>
          <w:rFonts w:ascii="Helvetica" w:hAnsi="Helvetica"/>
          <w:color w:val="F7F5F2"/>
        </w:rPr>
      </w:pPr>
    </w:p>
    <w:p w14:paraId="0B20C909" w14:textId="77777777" w:rsidR="00010CE7" w:rsidRDefault="00010CE7" w:rsidP="00010CE7">
      <w:pPr>
        <w:spacing w:after="0" w:line="300" w:lineRule="auto"/>
        <w:jc w:val="both"/>
        <w:rPr>
          <w:rFonts w:ascii="Helvetica" w:hAnsi="Helvetica"/>
          <w:color w:val="F7F5F2"/>
        </w:rPr>
      </w:pPr>
    </w:p>
    <w:p w14:paraId="1071C9EB" w14:textId="77777777" w:rsidR="00010CE7" w:rsidRDefault="00010CE7" w:rsidP="00010CE7">
      <w:pPr>
        <w:spacing w:after="0" w:line="300" w:lineRule="auto"/>
        <w:jc w:val="both"/>
        <w:rPr>
          <w:rFonts w:ascii="Helvetica" w:hAnsi="Helvetica"/>
          <w:color w:val="F7F5F2"/>
          <w:sz w:val="20"/>
          <w:szCs w:val="20"/>
        </w:rPr>
      </w:pPr>
    </w:p>
    <w:p w14:paraId="7CD3298F" w14:textId="77777777" w:rsidR="00010CE7" w:rsidRDefault="00010CE7" w:rsidP="00010CE7">
      <w:pPr>
        <w:spacing w:after="0" w:line="300" w:lineRule="auto"/>
        <w:jc w:val="both"/>
        <w:rPr>
          <w:rFonts w:ascii="Helvetica" w:hAnsi="Helvetica"/>
          <w:color w:val="F7F5F2"/>
          <w:sz w:val="20"/>
          <w:szCs w:val="20"/>
        </w:rPr>
      </w:pPr>
    </w:p>
    <w:p w14:paraId="15D8E42D" w14:textId="6F822058" w:rsidR="007D5EEB" w:rsidRPr="00010CE7" w:rsidRDefault="00C04B8F" w:rsidP="00010CE7">
      <w:pPr>
        <w:spacing w:after="0" w:line="300" w:lineRule="auto"/>
        <w:jc w:val="both"/>
        <w:rPr>
          <w:rFonts w:ascii="Helvetica" w:hAnsi="Helvetica"/>
          <w:color w:val="F7F5F2"/>
          <w:sz w:val="20"/>
          <w:szCs w:val="20"/>
        </w:rPr>
      </w:pPr>
      <w:r>
        <w:rPr>
          <w:rFonts w:ascii="Helvetica" w:hAnsi="Helvetica"/>
          <w:color w:val="F7F5F2"/>
          <w:sz w:val="20"/>
          <w:szCs w:val="20"/>
        </w:rPr>
        <w:t>Intangibles</w:t>
      </w:r>
      <w:r w:rsidR="00436FFF" w:rsidRPr="00010CE7">
        <w:rPr>
          <w:rFonts w:ascii="Helvetica" w:hAnsi="Helvetica"/>
          <w:color w:val="F7F5F2"/>
          <w:sz w:val="20"/>
          <w:szCs w:val="20"/>
        </w:rPr>
        <w:t xml:space="preserve"> Value Advisory Report</w:t>
      </w:r>
    </w:p>
    <w:p w14:paraId="36EF4958" w14:textId="20485E72" w:rsidR="007D5EEB" w:rsidRPr="00010CE7" w:rsidRDefault="007D5EEB" w:rsidP="00010CE7">
      <w:pPr>
        <w:spacing w:after="0" w:line="300" w:lineRule="auto"/>
        <w:jc w:val="both"/>
        <w:rPr>
          <w:rFonts w:ascii="Helvetica" w:hAnsi="Helvetica"/>
          <w:color w:val="F7F5F2"/>
        </w:rPr>
      </w:pPr>
    </w:p>
    <w:p w14:paraId="002C98F6" w14:textId="76442BEB" w:rsidR="007D5EEB" w:rsidRPr="00010CE7" w:rsidRDefault="007D5EEB" w:rsidP="00010CE7">
      <w:pPr>
        <w:spacing w:after="0" w:line="300" w:lineRule="auto"/>
        <w:rPr>
          <w:rFonts w:ascii="Helvetica" w:hAnsi="Helvetica"/>
          <w:b/>
          <w:bCs/>
          <w:color w:val="F7F5F2"/>
          <w:sz w:val="96"/>
          <w:szCs w:val="96"/>
        </w:rPr>
      </w:pPr>
      <w:r w:rsidRPr="00010CE7">
        <w:rPr>
          <w:rFonts w:ascii="Helvetica" w:hAnsi="Helvetica"/>
          <w:b/>
          <w:bCs/>
          <w:color w:val="F7F5F2"/>
          <w:sz w:val="96"/>
          <w:szCs w:val="96"/>
        </w:rPr>
        <w:t>The Fundraising</w:t>
      </w:r>
    </w:p>
    <w:p w14:paraId="257FF470" w14:textId="27F1170A" w:rsidR="007D5EEB" w:rsidRPr="00010CE7" w:rsidRDefault="007D5EEB" w:rsidP="00010CE7">
      <w:pPr>
        <w:spacing w:after="0" w:line="300" w:lineRule="auto"/>
        <w:rPr>
          <w:rFonts w:ascii="Helvetica" w:hAnsi="Helvetica"/>
          <w:b/>
          <w:bCs/>
          <w:color w:val="F7F5F2"/>
          <w:sz w:val="96"/>
          <w:szCs w:val="96"/>
        </w:rPr>
      </w:pPr>
      <w:r w:rsidRPr="00010CE7">
        <w:rPr>
          <w:rFonts w:ascii="Helvetica" w:hAnsi="Helvetica"/>
          <w:b/>
          <w:bCs/>
          <w:color w:val="F7F5F2"/>
          <w:sz w:val="96"/>
          <w:szCs w:val="96"/>
        </w:rPr>
        <w:t>Valuation Guide</w:t>
      </w:r>
    </w:p>
    <w:p w14:paraId="0632F39E" w14:textId="77777777" w:rsidR="007D5EEB" w:rsidRPr="00010CE7" w:rsidRDefault="007D5EEB" w:rsidP="00010CE7">
      <w:pPr>
        <w:spacing w:after="0" w:line="300" w:lineRule="auto"/>
        <w:jc w:val="both"/>
        <w:rPr>
          <w:rFonts w:ascii="Helvetica" w:hAnsi="Helvetica"/>
          <w:color w:val="F7F5F2"/>
        </w:rPr>
      </w:pPr>
    </w:p>
    <w:p w14:paraId="6DEF3564" w14:textId="77777777" w:rsidR="00010CE7" w:rsidRDefault="00010CE7" w:rsidP="00010CE7">
      <w:pPr>
        <w:spacing w:after="0" w:line="300" w:lineRule="auto"/>
        <w:jc w:val="both"/>
        <w:rPr>
          <w:rFonts w:ascii="Helvetica" w:hAnsi="Helvetica"/>
          <w:color w:val="F7F5F2"/>
        </w:rPr>
      </w:pPr>
    </w:p>
    <w:p w14:paraId="1B24238F" w14:textId="4B424590" w:rsidR="007D5EEB" w:rsidRDefault="00245F27" w:rsidP="00010CE7">
      <w:pPr>
        <w:spacing w:after="0" w:line="300" w:lineRule="auto"/>
        <w:jc w:val="both"/>
        <w:rPr>
          <w:rFonts w:ascii="Helvetica" w:hAnsi="Helvetica"/>
          <w:color w:val="E5E5E5"/>
        </w:rPr>
      </w:pPr>
      <w:r w:rsidRPr="00245F27">
        <w:rPr>
          <w:rFonts w:ascii="Helvetica" w:hAnsi="Helvetica"/>
          <w:color w:val="E5E5E5"/>
        </w:rPr>
        <w:t>Prepared for founders and finance leaders who are approaching a capital conversation and need to make intangible value visible, defensible, and usable in investor due diligence.</w:t>
      </w:r>
    </w:p>
    <w:p w14:paraId="13DBB615" w14:textId="77777777" w:rsidR="00245F27" w:rsidRPr="00010CE7" w:rsidRDefault="00245F27" w:rsidP="00010CE7">
      <w:pPr>
        <w:spacing w:after="0" w:line="300" w:lineRule="auto"/>
        <w:jc w:val="both"/>
        <w:rPr>
          <w:rFonts w:ascii="Helvetica" w:hAnsi="Helvetica"/>
          <w:color w:val="E5E5E5"/>
        </w:rPr>
      </w:pPr>
    </w:p>
    <w:p w14:paraId="24EF991F" w14:textId="77777777" w:rsidR="007D5EEB" w:rsidRPr="00010CE7" w:rsidRDefault="007D5EEB" w:rsidP="00010CE7">
      <w:pPr>
        <w:spacing w:after="0" w:line="300" w:lineRule="auto"/>
        <w:jc w:val="both"/>
        <w:rPr>
          <w:rFonts w:ascii="Helvetica" w:hAnsi="Helvetica"/>
          <w:color w:val="E5E5E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tblGrid>
      <w:tr w:rsidR="007D5EEB" w:rsidRPr="00010CE7" w14:paraId="5965C067" w14:textId="77777777" w:rsidTr="007D5EEB">
        <w:tc>
          <w:tcPr>
            <w:tcW w:w="1440" w:type="dxa"/>
            <w:tcBorders>
              <w:bottom w:val="single" w:sz="24" w:space="0" w:color="F7F5F2"/>
            </w:tcBorders>
          </w:tcPr>
          <w:p w14:paraId="4E2415D1" w14:textId="77777777" w:rsidR="007D5EEB" w:rsidRPr="00010CE7" w:rsidRDefault="007D5EEB" w:rsidP="00010CE7">
            <w:pPr>
              <w:spacing w:line="300" w:lineRule="auto"/>
              <w:jc w:val="both"/>
              <w:rPr>
                <w:rFonts w:ascii="Helvetica" w:hAnsi="Helvetica"/>
                <w:color w:val="F7F5F2"/>
              </w:rPr>
            </w:pPr>
          </w:p>
        </w:tc>
      </w:tr>
      <w:tr w:rsidR="007D5EEB" w:rsidRPr="00010CE7" w14:paraId="35C8C6CE" w14:textId="77777777" w:rsidTr="007D5EEB">
        <w:trPr>
          <w:trHeight w:val="60"/>
        </w:trPr>
        <w:tc>
          <w:tcPr>
            <w:tcW w:w="1440" w:type="dxa"/>
            <w:tcBorders>
              <w:top w:val="single" w:sz="24" w:space="0" w:color="F7F5F2"/>
            </w:tcBorders>
          </w:tcPr>
          <w:p w14:paraId="2F930237" w14:textId="77777777" w:rsidR="007D5EEB" w:rsidRPr="00010CE7" w:rsidRDefault="007D5EEB" w:rsidP="00010CE7">
            <w:pPr>
              <w:spacing w:line="300" w:lineRule="auto"/>
              <w:jc w:val="both"/>
              <w:rPr>
                <w:rFonts w:ascii="Helvetica" w:hAnsi="Helvetica"/>
                <w:color w:val="F7F5F2"/>
              </w:rPr>
            </w:pPr>
          </w:p>
        </w:tc>
      </w:tr>
    </w:tbl>
    <w:p w14:paraId="1052098C" w14:textId="77777777" w:rsidR="007D5EEB" w:rsidRPr="00010CE7" w:rsidRDefault="007D5EEB" w:rsidP="00010CE7">
      <w:pPr>
        <w:spacing w:after="0" w:line="300" w:lineRule="auto"/>
        <w:jc w:val="both"/>
        <w:rPr>
          <w:rFonts w:ascii="Helvetica" w:hAnsi="Helvetica"/>
          <w:color w:val="F7F5F2"/>
        </w:rPr>
      </w:pPr>
    </w:p>
    <w:p w14:paraId="3D095221" w14:textId="13AF9504" w:rsidR="007D5EEB" w:rsidRPr="00010CE7" w:rsidRDefault="007D5EEB" w:rsidP="00010CE7">
      <w:pPr>
        <w:spacing w:after="0" w:line="300" w:lineRule="auto"/>
        <w:jc w:val="both"/>
        <w:rPr>
          <w:rFonts w:ascii="Helvetica" w:hAnsi="Helvetica"/>
          <w:color w:val="F7F5F2"/>
          <w:sz w:val="20"/>
          <w:szCs w:val="20"/>
        </w:rPr>
      </w:pPr>
      <w:r w:rsidRPr="00010CE7">
        <w:rPr>
          <w:rFonts w:ascii="Helvetica" w:hAnsi="Helvetica"/>
          <w:color w:val="F7F5F2"/>
          <w:sz w:val="20"/>
          <w:szCs w:val="20"/>
        </w:rPr>
        <w:t>Prepared by: Bain Squared Valuation Advisory</w:t>
      </w:r>
    </w:p>
    <w:p w14:paraId="76BDB638" w14:textId="77777777" w:rsidR="00436FFF" w:rsidRPr="00010CE7" w:rsidRDefault="00436FFF" w:rsidP="00010CE7">
      <w:pPr>
        <w:spacing w:after="0" w:line="300" w:lineRule="auto"/>
        <w:jc w:val="both"/>
        <w:rPr>
          <w:rFonts w:ascii="Helvetica" w:hAnsi="Helvetica"/>
          <w:color w:val="F7F5F2"/>
        </w:rPr>
      </w:pPr>
    </w:p>
    <w:p w14:paraId="12FA37EE" w14:textId="77777777" w:rsidR="00436FFF" w:rsidRPr="00010CE7" w:rsidRDefault="00436FFF" w:rsidP="00010CE7">
      <w:pPr>
        <w:spacing w:after="0" w:line="300" w:lineRule="auto"/>
        <w:jc w:val="both"/>
        <w:rPr>
          <w:rFonts w:ascii="Helvetica" w:hAnsi="Helvetica"/>
          <w:color w:val="F7F5F2"/>
        </w:rPr>
      </w:pPr>
    </w:p>
    <w:p w14:paraId="5205B35A" w14:textId="77777777" w:rsidR="00436FFF" w:rsidRPr="00010CE7" w:rsidRDefault="00436FFF" w:rsidP="00010CE7">
      <w:pPr>
        <w:spacing w:after="0" w:line="300" w:lineRule="auto"/>
        <w:jc w:val="both"/>
        <w:rPr>
          <w:rFonts w:ascii="Helvetica" w:hAnsi="Helvetica"/>
          <w:color w:val="F7F5F2"/>
        </w:rPr>
      </w:pPr>
    </w:p>
    <w:p w14:paraId="0991B7EA" w14:textId="77777777" w:rsidR="009429BB" w:rsidRPr="00010CE7" w:rsidRDefault="009429BB" w:rsidP="00010CE7">
      <w:pPr>
        <w:spacing w:after="0" w:line="300" w:lineRule="auto"/>
        <w:jc w:val="both"/>
        <w:rPr>
          <w:rFonts w:ascii="Helvetica" w:hAnsi="Helvetica"/>
          <w:i/>
          <w:iCs/>
          <w:color w:val="F7F5F2"/>
          <w:sz w:val="20"/>
          <w:szCs w:val="20"/>
        </w:rPr>
      </w:pPr>
      <w:r w:rsidRPr="00010CE7">
        <w:rPr>
          <w:rFonts w:ascii="Helvetica" w:hAnsi="Helvetica"/>
          <w:i/>
          <w:iCs/>
          <w:color w:val="F7F5F2"/>
          <w:sz w:val="20"/>
          <w:szCs w:val="20"/>
        </w:rPr>
        <w:t>Important notice: This report is general guidance based on assessment responses. It is not a valuation report, investment advice, legal advice, tax advice, or a commitment to support fundraising. Bain Squared does not guarantee funding, investor interest, valuation uplift, or transaction completion. Formal advice requires a separate engagement and review of source documentation.</w:t>
      </w:r>
    </w:p>
    <w:p w14:paraId="5DD72D5B" w14:textId="77777777" w:rsidR="00245F27" w:rsidRPr="00010CE7" w:rsidRDefault="00245F27" w:rsidP="00245F27">
      <w:pPr>
        <w:spacing w:after="0" w:line="240" w:lineRule="auto"/>
        <w:jc w:val="both"/>
        <w:rPr>
          <w:rFonts w:ascii="Helvetica" w:hAnsi="Helvetica"/>
          <w:color w:val="174C3C"/>
          <w:sz w:val="40"/>
          <w:szCs w:val="40"/>
        </w:rPr>
      </w:pPr>
      <w:r w:rsidRPr="000025CE">
        <w:rPr>
          <w:rFonts w:ascii="Helvetica" w:hAnsi="Helvetica"/>
          <w:color w:val="174C3C"/>
          <w:sz w:val="40"/>
          <w:szCs w:val="40"/>
        </w:rPr>
        <w:lastRenderedPageBreak/>
        <w:t>Your Assessment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45F27" w:rsidRPr="00010CE7" w14:paraId="041BD3C9" w14:textId="77777777" w:rsidTr="00527C4E">
        <w:tc>
          <w:tcPr>
            <w:tcW w:w="9350" w:type="dxa"/>
            <w:tcBorders>
              <w:bottom w:val="single" w:sz="6" w:space="0" w:color="E5E5E5"/>
            </w:tcBorders>
          </w:tcPr>
          <w:p w14:paraId="22F3F572" w14:textId="77777777" w:rsidR="00245F27" w:rsidRPr="00010CE7" w:rsidRDefault="00245F27" w:rsidP="00527C4E">
            <w:pPr>
              <w:spacing w:line="300" w:lineRule="auto"/>
              <w:jc w:val="both"/>
              <w:rPr>
                <w:rFonts w:ascii="Helvetica" w:hAnsi="Helvetica"/>
                <w:color w:val="1A1A1A"/>
              </w:rPr>
            </w:pPr>
          </w:p>
        </w:tc>
      </w:tr>
      <w:tr w:rsidR="00245F27" w:rsidRPr="00010CE7" w14:paraId="051DFE76" w14:textId="77777777" w:rsidTr="00527C4E">
        <w:trPr>
          <w:trHeight w:val="60"/>
        </w:trPr>
        <w:tc>
          <w:tcPr>
            <w:tcW w:w="9350" w:type="dxa"/>
            <w:tcBorders>
              <w:top w:val="single" w:sz="6" w:space="0" w:color="E5E5E5"/>
            </w:tcBorders>
          </w:tcPr>
          <w:p w14:paraId="3A98706E" w14:textId="77777777" w:rsidR="00245F27" w:rsidRPr="00010CE7" w:rsidRDefault="00245F27" w:rsidP="00527C4E">
            <w:pPr>
              <w:spacing w:line="300" w:lineRule="auto"/>
              <w:jc w:val="both"/>
              <w:rPr>
                <w:rFonts w:ascii="Helvetica" w:hAnsi="Helvetica"/>
                <w:color w:val="1A1A1A"/>
              </w:rPr>
            </w:pPr>
          </w:p>
        </w:tc>
      </w:tr>
    </w:tbl>
    <w:p w14:paraId="6AB7A7D1" w14:textId="213396D4" w:rsidR="00245F27" w:rsidRDefault="00245F27" w:rsidP="00245F27">
      <w:pPr>
        <w:spacing w:after="0" w:line="300" w:lineRule="auto"/>
        <w:jc w:val="both"/>
        <w:rPr>
          <w:rFonts w:ascii="Helvetica" w:hAnsi="Helvetica"/>
          <w:color w:val="1A1A1A"/>
        </w:rPr>
      </w:pPr>
      <w:r w:rsidRPr="00245F27">
        <w:rPr>
          <w:rFonts w:ascii="Helvetica" w:hAnsi="Helvetica"/>
          <w:color w:val="1A1A1A"/>
        </w:rPr>
        <w:t>Based on your responses, you are planning a fundraising conversation or bringing in new investors. Your business has intangible assets that a standard financial multiple will likely miss. To prevent unnecessary dilution, you must evidence this value before term sheets are drafted. This guide explains what institutional investors actually look for.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45F27" w:rsidRPr="00010CE7" w14:paraId="050BCCBD" w14:textId="77777777" w:rsidTr="00527C4E">
        <w:tc>
          <w:tcPr>
            <w:tcW w:w="9350" w:type="dxa"/>
          </w:tcPr>
          <w:p w14:paraId="22ADEA8C" w14:textId="77777777" w:rsidR="00245F27" w:rsidRPr="00010CE7" w:rsidRDefault="00245F27" w:rsidP="00527C4E">
            <w:pPr>
              <w:spacing w:line="300" w:lineRule="auto"/>
              <w:jc w:val="both"/>
              <w:rPr>
                <w:rFonts w:ascii="Helvetica" w:hAnsi="Helvetica"/>
                <w:color w:val="1A1A1A"/>
              </w:rPr>
            </w:pPr>
          </w:p>
        </w:tc>
      </w:tr>
      <w:tr w:rsidR="00245F27" w:rsidRPr="00010CE7" w14:paraId="6D9A42F5" w14:textId="77777777" w:rsidTr="00527C4E">
        <w:trPr>
          <w:trHeight w:val="60"/>
        </w:trPr>
        <w:tc>
          <w:tcPr>
            <w:tcW w:w="9350" w:type="dxa"/>
          </w:tcPr>
          <w:p w14:paraId="30BA13E7" w14:textId="77777777" w:rsidR="00245F27" w:rsidRPr="00010CE7" w:rsidRDefault="00245F27" w:rsidP="00527C4E">
            <w:pPr>
              <w:spacing w:line="300" w:lineRule="auto"/>
              <w:jc w:val="both"/>
              <w:rPr>
                <w:rFonts w:ascii="Helvetica" w:hAnsi="Helvetica"/>
                <w:color w:val="1A1A1A"/>
              </w:rPr>
            </w:pPr>
          </w:p>
        </w:tc>
      </w:tr>
    </w:tbl>
    <w:p w14:paraId="0608B6E6" w14:textId="27FBFFD1" w:rsidR="006A7B5C" w:rsidRPr="00010CE7" w:rsidRDefault="006A7B5C" w:rsidP="00010CE7">
      <w:pPr>
        <w:spacing w:after="0" w:line="300" w:lineRule="auto"/>
        <w:jc w:val="both"/>
        <w:rPr>
          <w:rFonts w:ascii="Helvetica" w:hAnsi="Helvetica"/>
          <w:color w:val="1A1A1A"/>
          <w:sz w:val="20"/>
          <w:szCs w:val="20"/>
        </w:rPr>
      </w:pPr>
      <w:r w:rsidRPr="00010CE7">
        <w:rPr>
          <w:rFonts w:ascii="Helvetica" w:hAnsi="Helvetica"/>
          <w:color w:val="1A1A1A"/>
          <w:sz w:val="20"/>
          <w:szCs w:val="20"/>
        </w:rPr>
        <w:t>Section 01</w:t>
      </w:r>
    </w:p>
    <w:p w14:paraId="01D4D23B" w14:textId="77777777" w:rsidR="00010CE7" w:rsidRPr="00010CE7" w:rsidRDefault="00010CE7" w:rsidP="00010CE7">
      <w:pPr>
        <w:spacing w:after="0" w:line="300" w:lineRule="auto"/>
        <w:jc w:val="both"/>
        <w:rPr>
          <w:rFonts w:ascii="Helvetica" w:hAnsi="Helvetica"/>
          <w:color w:val="1A1A1A"/>
        </w:rPr>
      </w:pPr>
    </w:p>
    <w:p w14:paraId="1880C4A8" w14:textId="32D069F0" w:rsidR="00FF57BA" w:rsidRPr="00010CE7" w:rsidRDefault="00965E5F" w:rsidP="00010CE7">
      <w:pPr>
        <w:spacing w:after="0" w:line="240" w:lineRule="auto"/>
        <w:jc w:val="both"/>
        <w:rPr>
          <w:rFonts w:ascii="Helvetica" w:hAnsi="Helvetica"/>
          <w:color w:val="174C3C"/>
          <w:sz w:val="40"/>
          <w:szCs w:val="40"/>
        </w:rPr>
      </w:pPr>
      <w:r w:rsidRPr="00010CE7">
        <w:rPr>
          <w:rFonts w:ascii="Helvetica" w:hAnsi="Helvetica"/>
          <w:color w:val="174C3C"/>
          <w:sz w:val="40"/>
          <w:szCs w:val="40"/>
        </w:rPr>
        <w:t>Your business may be worth more than your financial statements show.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A7B5C" w:rsidRPr="00010CE7" w14:paraId="699247C5" w14:textId="77777777" w:rsidTr="00D25791">
        <w:tc>
          <w:tcPr>
            <w:tcW w:w="9350" w:type="dxa"/>
            <w:tcBorders>
              <w:bottom w:val="single" w:sz="6" w:space="0" w:color="E5E5E5"/>
            </w:tcBorders>
          </w:tcPr>
          <w:p w14:paraId="2FDA6CF2" w14:textId="77777777" w:rsidR="006A7B5C" w:rsidRPr="00010CE7" w:rsidRDefault="006A7B5C" w:rsidP="00010CE7">
            <w:pPr>
              <w:spacing w:line="300" w:lineRule="auto"/>
              <w:jc w:val="both"/>
              <w:rPr>
                <w:rFonts w:ascii="Helvetica" w:hAnsi="Helvetica"/>
                <w:color w:val="1A1A1A"/>
              </w:rPr>
            </w:pPr>
          </w:p>
        </w:tc>
      </w:tr>
      <w:tr w:rsidR="006A7B5C" w:rsidRPr="00010CE7" w14:paraId="4B3C5D20" w14:textId="77777777" w:rsidTr="00D25791">
        <w:trPr>
          <w:trHeight w:val="60"/>
        </w:trPr>
        <w:tc>
          <w:tcPr>
            <w:tcW w:w="9350" w:type="dxa"/>
            <w:tcBorders>
              <w:top w:val="single" w:sz="6" w:space="0" w:color="E5E5E5"/>
            </w:tcBorders>
          </w:tcPr>
          <w:p w14:paraId="34375ECB" w14:textId="77777777" w:rsidR="0025713E" w:rsidRPr="00010CE7" w:rsidRDefault="0025713E" w:rsidP="00010CE7">
            <w:pPr>
              <w:spacing w:line="300" w:lineRule="auto"/>
              <w:jc w:val="both"/>
              <w:rPr>
                <w:rFonts w:ascii="Helvetica" w:hAnsi="Helvetica"/>
                <w:color w:val="1A1A1A"/>
              </w:rPr>
            </w:pPr>
          </w:p>
        </w:tc>
      </w:tr>
    </w:tbl>
    <w:p w14:paraId="42B72D97" w14:textId="77777777" w:rsidR="00164E92" w:rsidRDefault="00164E92" w:rsidP="00164E92">
      <w:pPr>
        <w:spacing w:after="0" w:line="300" w:lineRule="auto"/>
        <w:jc w:val="both"/>
        <w:rPr>
          <w:rFonts w:ascii="Helvetica" w:hAnsi="Helvetica"/>
          <w:color w:val="1A1A1A"/>
        </w:rPr>
      </w:pPr>
      <w:r w:rsidRPr="00164E92">
        <w:rPr>
          <w:rFonts w:ascii="Helvetica" w:hAnsi="Helvetica"/>
          <w:color w:val="1A1A1A"/>
        </w:rPr>
        <w:t>Most founders entering a fundraising round know their revenue, EBITDA, growth rate, and latest monthly performance. What they often do not know is that a meaningful portion of enterprise value may sit outside those numbers, in the brand, customer relationships, technology, data, intellectual property, contracts, and operating systems that make the business defensible.</w:t>
      </w:r>
    </w:p>
    <w:p w14:paraId="7263B88B" w14:textId="77777777" w:rsidR="00164E92" w:rsidRPr="00164E92" w:rsidRDefault="00164E92" w:rsidP="00164E92">
      <w:pPr>
        <w:spacing w:after="0" w:line="300" w:lineRule="auto"/>
        <w:jc w:val="both"/>
        <w:rPr>
          <w:rFonts w:ascii="Helvetica" w:hAnsi="Helvetica"/>
          <w:color w:val="1A1A1A"/>
        </w:rPr>
      </w:pPr>
    </w:p>
    <w:p w14:paraId="085CBFEB" w14:textId="77777777" w:rsidR="00164E92" w:rsidRDefault="00164E92" w:rsidP="00164E92">
      <w:pPr>
        <w:spacing w:after="0" w:line="300" w:lineRule="auto"/>
        <w:jc w:val="both"/>
        <w:rPr>
          <w:rFonts w:ascii="Helvetica" w:hAnsi="Helvetica"/>
          <w:color w:val="1A1A1A"/>
        </w:rPr>
      </w:pPr>
      <w:r w:rsidRPr="00164E92">
        <w:rPr>
          <w:rFonts w:ascii="Helvetica" w:hAnsi="Helvetica"/>
          <w:color w:val="1A1A1A"/>
        </w:rPr>
        <w:t>Investors do not automatically give credit for that value. They give credit for what can be explained, evidenced, and defended in an investment committee memo. If the value exists but has not been documented, it is easy for investors to ignore it or discount it.</w:t>
      </w:r>
    </w:p>
    <w:p w14:paraId="3249A992" w14:textId="77777777" w:rsidR="00164E92" w:rsidRPr="00164E92" w:rsidRDefault="00164E92" w:rsidP="00164E92">
      <w:pPr>
        <w:spacing w:after="0" w:line="300" w:lineRule="auto"/>
        <w:jc w:val="both"/>
        <w:rPr>
          <w:rFonts w:ascii="Helvetica" w:hAnsi="Helvetica"/>
          <w:color w:val="1A1A1A"/>
        </w:rPr>
      </w:pPr>
    </w:p>
    <w:p w14:paraId="3E5A9C85" w14:textId="693B477A" w:rsidR="00350144" w:rsidRPr="00010CE7" w:rsidRDefault="00164E92" w:rsidP="00164E92">
      <w:pPr>
        <w:spacing w:after="0" w:line="300" w:lineRule="auto"/>
        <w:jc w:val="both"/>
        <w:rPr>
          <w:rFonts w:ascii="Helvetica" w:hAnsi="Helvetica"/>
          <w:color w:val="1A1A1A"/>
        </w:rPr>
      </w:pPr>
      <w:r w:rsidRPr="00164E92">
        <w:rPr>
          <w:rFonts w:ascii="Helvetica" w:hAnsi="Helvetica"/>
          <w:color w:val="1A1A1A"/>
        </w:rPr>
        <w:t>This guide explains how intangible assets can strengthen your valuation story, what institutional investors actually look for, and how to prepare a more defensible enterprise value narrative before you enter a fundraising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10A023DB" w14:textId="77777777" w:rsidTr="00350144">
        <w:tc>
          <w:tcPr>
            <w:tcW w:w="9350" w:type="dxa"/>
          </w:tcPr>
          <w:p w14:paraId="35336B17" w14:textId="77777777" w:rsidR="00350144" w:rsidRPr="00010CE7" w:rsidRDefault="00350144" w:rsidP="00010CE7">
            <w:pPr>
              <w:spacing w:line="300" w:lineRule="auto"/>
              <w:jc w:val="both"/>
              <w:rPr>
                <w:rFonts w:ascii="Helvetica" w:hAnsi="Helvetica"/>
                <w:color w:val="1A1A1A"/>
              </w:rPr>
            </w:pPr>
          </w:p>
        </w:tc>
      </w:tr>
      <w:tr w:rsidR="00350144" w:rsidRPr="00010CE7" w14:paraId="20D3D7D9" w14:textId="77777777" w:rsidTr="00350144">
        <w:trPr>
          <w:trHeight w:val="60"/>
        </w:trPr>
        <w:tc>
          <w:tcPr>
            <w:tcW w:w="9350" w:type="dxa"/>
          </w:tcPr>
          <w:p w14:paraId="6A8C3B82" w14:textId="77777777" w:rsidR="00350144" w:rsidRPr="00010CE7" w:rsidRDefault="00350144" w:rsidP="00010CE7">
            <w:pPr>
              <w:spacing w:line="300" w:lineRule="auto"/>
              <w:jc w:val="both"/>
              <w:rPr>
                <w:rFonts w:ascii="Helvetica" w:hAnsi="Helvetica"/>
                <w:color w:val="1A1A1A"/>
              </w:rPr>
            </w:pPr>
          </w:p>
        </w:tc>
      </w:tr>
    </w:tbl>
    <w:p w14:paraId="56E0508A" w14:textId="767EA648" w:rsidR="00010CE7" w:rsidRPr="00010CE7"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10CE7" w:rsidRPr="00010CE7">
        <w:rPr>
          <w:rFonts w:ascii="Helvetica" w:hAnsi="Helvetica"/>
          <w:color w:val="1A1A1A"/>
          <w:sz w:val="20"/>
          <w:szCs w:val="20"/>
        </w:rPr>
        <w:t>2</w:t>
      </w:r>
    </w:p>
    <w:p w14:paraId="0222D5A0" w14:textId="73BE046D" w:rsidR="00350144" w:rsidRPr="00010CE7" w:rsidRDefault="00350144" w:rsidP="00010CE7">
      <w:pPr>
        <w:pStyle w:val="Heading2"/>
        <w:spacing w:before="0" w:after="0" w:line="300" w:lineRule="auto"/>
        <w:jc w:val="both"/>
        <w:rPr>
          <w:rFonts w:ascii="Helvetica" w:hAnsi="Helvetica"/>
          <w:color w:val="1A1A1A"/>
          <w:sz w:val="24"/>
          <w:szCs w:val="24"/>
        </w:rPr>
      </w:pPr>
    </w:p>
    <w:p w14:paraId="4A12ACF7" w14:textId="50345161" w:rsidR="00965E5F" w:rsidRPr="00010CE7" w:rsidRDefault="00965E5F"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Why does a single financial multiple miss part of the 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65E5F" w:rsidRPr="00010CE7" w14:paraId="2AAB64EA" w14:textId="77777777" w:rsidTr="00D25791">
        <w:tc>
          <w:tcPr>
            <w:tcW w:w="9350" w:type="dxa"/>
            <w:tcBorders>
              <w:bottom w:val="single" w:sz="6" w:space="0" w:color="E5E5E5"/>
            </w:tcBorders>
          </w:tcPr>
          <w:p w14:paraId="35C39156" w14:textId="77777777" w:rsidR="00965E5F" w:rsidRPr="00010CE7" w:rsidRDefault="00965E5F" w:rsidP="00010CE7">
            <w:pPr>
              <w:spacing w:line="300" w:lineRule="auto"/>
              <w:jc w:val="both"/>
              <w:rPr>
                <w:rFonts w:ascii="Helvetica" w:hAnsi="Helvetica"/>
                <w:color w:val="1A1A1A"/>
              </w:rPr>
            </w:pPr>
          </w:p>
        </w:tc>
      </w:tr>
      <w:tr w:rsidR="00965E5F" w:rsidRPr="00010CE7" w14:paraId="396CCDE8" w14:textId="77777777" w:rsidTr="00D25791">
        <w:trPr>
          <w:trHeight w:val="60"/>
        </w:trPr>
        <w:tc>
          <w:tcPr>
            <w:tcW w:w="9350" w:type="dxa"/>
            <w:tcBorders>
              <w:top w:val="single" w:sz="6" w:space="0" w:color="E5E5E5"/>
            </w:tcBorders>
          </w:tcPr>
          <w:p w14:paraId="0C4B223A" w14:textId="77777777" w:rsidR="0025713E" w:rsidRPr="00010CE7" w:rsidRDefault="0025713E" w:rsidP="00010CE7">
            <w:pPr>
              <w:spacing w:line="300" w:lineRule="auto"/>
              <w:jc w:val="both"/>
              <w:rPr>
                <w:rFonts w:ascii="Helvetica" w:hAnsi="Helvetica"/>
                <w:color w:val="1A1A1A"/>
              </w:rPr>
            </w:pPr>
          </w:p>
        </w:tc>
      </w:tr>
    </w:tbl>
    <w:p w14:paraId="5080F967" w14:textId="77777777" w:rsidR="00164E92" w:rsidRDefault="00164E92" w:rsidP="00164E92">
      <w:pPr>
        <w:spacing w:after="0" w:line="300" w:lineRule="auto"/>
        <w:jc w:val="both"/>
        <w:rPr>
          <w:rFonts w:ascii="Helvetica" w:hAnsi="Helvetica"/>
          <w:color w:val="1A1A1A"/>
        </w:rPr>
      </w:pPr>
      <w:r w:rsidRPr="00164E92">
        <w:rPr>
          <w:rFonts w:ascii="Helvetica" w:hAnsi="Helvetica"/>
          <w:color w:val="1A1A1A"/>
        </w:rPr>
        <w:t>When a founder says their business is worth 5 times revenue or 5 times EBITDA, they are using a financial multiple. That multiple is based on comparable companies, precedent transactions, market conditions, growth outlook, and investor risk appetite. It is a useful starting point, but it rarely captures the full picture.</w:t>
      </w:r>
    </w:p>
    <w:p w14:paraId="50F45AF9" w14:textId="77777777" w:rsidR="00164E92" w:rsidRPr="00164E92" w:rsidRDefault="00164E92" w:rsidP="00164E92">
      <w:pPr>
        <w:spacing w:after="0" w:line="300" w:lineRule="auto"/>
        <w:jc w:val="both"/>
        <w:rPr>
          <w:rFonts w:ascii="Helvetica" w:hAnsi="Helvetica"/>
          <w:color w:val="1A1A1A"/>
        </w:rPr>
      </w:pPr>
    </w:p>
    <w:p w14:paraId="5E8D5624" w14:textId="40DC9AA7" w:rsidR="00164E92" w:rsidRDefault="00164E92" w:rsidP="00164E92">
      <w:pPr>
        <w:spacing w:after="0" w:line="300" w:lineRule="auto"/>
        <w:jc w:val="both"/>
        <w:rPr>
          <w:rFonts w:ascii="Helvetica" w:hAnsi="Helvetica"/>
          <w:color w:val="1A1A1A"/>
        </w:rPr>
      </w:pPr>
      <w:r w:rsidRPr="00164E92">
        <w:rPr>
          <w:rFonts w:ascii="Helvetica" w:hAnsi="Helvetica"/>
          <w:color w:val="1A1A1A"/>
        </w:rPr>
        <w:t>A multiple is usually anchored in what appears in the income statement. That means it is strong at capturing visible financial performance, but weaker at capturing the assets that explain why the performance is durable. The distinction matters. Two businesses may have the same revenue and profit today, yet one may deserve a stronger valuation because its revenue is more repeatable, its brand has pricing power, its customers are harder to replace, or its technology reduces future operating cost.</w:t>
      </w:r>
      <w:r w:rsidR="00245F27">
        <w:rPr>
          <w:rFonts w:ascii="Helvetica" w:hAnsi="Helvetica"/>
          <w:color w:val="1A1A1A"/>
        </w:rPr>
        <w:t xml:space="preserve"> </w:t>
      </w:r>
      <w:r w:rsidRPr="00164E92">
        <w:rPr>
          <w:rFonts w:ascii="Helvetica" w:hAnsi="Helvetica"/>
          <w:color w:val="1A1A1A"/>
        </w:rPr>
        <w:t>Intangible assets are the non physical assets that create economic advantage. They include brand, customer relationships, proprietary software, data, intellectual property, long term contracts, workflow systems, and technical know how. These assets are not abstract. They affect customer acquisition, retention, pricing, margin quality, and scalability.</w:t>
      </w:r>
    </w:p>
    <w:p w14:paraId="68020CC5" w14:textId="77777777" w:rsidR="00164E92" w:rsidRPr="00164E92" w:rsidRDefault="00164E92" w:rsidP="00164E92">
      <w:pPr>
        <w:spacing w:after="0" w:line="300" w:lineRule="auto"/>
        <w:jc w:val="both"/>
        <w:rPr>
          <w:rFonts w:ascii="Helvetica" w:hAnsi="Helvetica"/>
          <w:color w:val="1A1A1A"/>
        </w:rPr>
      </w:pPr>
    </w:p>
    <w:p w14:paraId="6F2E9CFC" w14:textId="77777777" w:rsidR="00164E92" w:rsidRPr="00164E92" w:rsidRDefault="00164E92" w:rsidP="00164E92">
      <w:pPr>
        <w:spacing w:after="0" w:line="300" w:lineRule="auto"/>
        <w:jc w:val="both"/>
        <w:rPr>
          <w:rFonts w:ascii="Helvetica" w:hAnsi="Helvetica"/>
          <w:color w:val="1A1A1A"/>
        </w:rPr>
      </w:pPr>
      <w:r w:rsidRPr="00164E92">
        <w:rPr>
          <w:rFonts w:ascii="Helvetica" w:hAnsi="Helvetica"/>
          <w:color w:val="1A1A1A"/>
        </w:rPr>
        <w:t>The approach Bain Squared applies is a sum of parts valuation. The financial multiple captures the operating business. The intangible asset valuation captures the additional layer of value that sits above the financials and explains why the business may deserve a stronger enterprise value. A company valued at 2 times EBITDA on financial performance alone may support a higher valuation when brand, intellectual property, customer relationships, and technology are separately documented and valued.</w:t>
      </w:r>
    </w:p>
    <w:p w14:paraId="2713EA97" w14:textId="31B0CDB0" w:rsidR="000A5A0F" w:rsidRDefault="000A5A0F" w:rsidP="00164E92">
      <w:pPr>
        <w:spacing w:after="0" w:line="300" w:lineRule="auto"/>
        <w:jc w:val="both"/>
        <w:rPr>
          <w:rFonts w:ascii="Helvetica" w:hAnsi="Helvetica"/>
          <w:color w:val="1A1A1A"/>
        </w:rPr>
      </w:pPr>
    </w:p>
    <w:tbl>
      <w:tblPr>
        <w:tblStyle w:val="TableGrid"/>
        <w:tblW w:w="9355" w:type="dxa"/>
        <w:tblInd w:w="-60" w:type="dxa"/>
        <w:tblBorders>
          <w:top w:val="none" w:sz="0" w:space="0" w:color="auto"/>
          <w:left w:val="single" w:sz="48" w:space="0" w:color="D97706"/>
          <w:bottom w:val="none" w:sz="0" w:space="0" w:color="auto"/>
          <w:right w:val="none" w:sz="0" w:space="0" w:color="auto"/>
          <w:insideH w:val="none" w:sz="0" w:space="0" w:color="auto"/>
          <w:insideV w:val="none" w:sz="0" w:space="0" w:color="auto"/>
        </w:tblBorders>
        <w:shd w:val="clear" w:color="auto" w:fill="FEF3C7"/>
        <w:tblCellMar>
          <w:top w:w="288" w:type="dxa"/>
          <w:left w:w="720" w:type="dxa"/>
          <w:bottom w:w="288" w:type="dxa"/>
          <w:right w:w="720" w:type="dxa"/>
        </w:tblCellMar>
        <w:tblLook w:val="04A0" w:firstRow="1" w:lastRow="0" w:firstColumn="1" w:lastColumn="0" w:noHBand="0" w:noVBand="1"/>
      </w:tblPr>
      <w:tblGrid>
        <w:gridCol w:w="9355"/>
      </w:tblGrid>
      <w:tr w:rsidR="000A5A0F" w:rsidRPr="00010CE7" w14:paraId="4C3C1113" w14:textId="77777777" w:rsidTr="00245F27">
        <w:tc>
          <w:tcPr>
            <w:tcW w:w="9355" w:type="dxa"/>
            <w:tcBorders>
              <w:top w:val="nil"/>
              <w:bottom w:val="nil"/>
            </w:tcBorders>
            <w:shd w:val="clear" w:color="auto" w:fill="FEF3C7"/>
          </w:tcPr>
          <w:p w14:paraId="17F47327" w14:textId="54D6EC34" w:rsidR="000A5A0F" w:rsidRPr="00010CE7" w:rsidRDefault="00245F27" w:rsidP="000426D4">
            <w:pPr>
              <w:spacing w:line="300" w:lineRule="auto"/>
              <w:rPr>
                <w:rFonts w:ascii="Helvetica" w:hAnsi="Helvetica"/>
                <w:b/>
                <w:bCs/>
                <w:color w:val="D97706"/>
              </w:rPr>
            </w:pPr>
            <w:r>
              <w:rPr>
                <w:rFonts w:ascii="Helvetica" w:hAnsi="Helvetica"/>
                <w:b/>
                <w:bCs/>
                <w:color w:val="D97706"/>
              </w:rPr>
              <w:t>Important Note</w:t>
            </w:r>
          </w:p>
          <w:p w14:paraId="4D478813" w14:textId="1FF12E41" w:rsidR="000A5A0F" w:rsidRPr="00010CE7" w:rsidRDefault="00245F27" w:rsidP="000426D4">
            <w:pPr>
              <w:spacing w:line="300" w:lineRule="auto"/>
              <w:rPr>
                <w:rFonts w:ascii="Helvetica" w:hAnsi="Helvetica"/>
                <w:color w:val="1A1A1A"/>
              </w:rPr>
            </w:pPr>
            <w:r w:rsidRPr="00245F27">
              <w:rPr>
                <w:rFonts w:ascii="Helvetica" w:hAnsi="Helvetica"/>
                <w:color w:val="1A1A1A"/>
              </w:rPr>
              <w:t>Investors do not dismiss intangible assets by default. They dismiss claims they cannot verify. Evidence gives the investor a basis to defend your valuation to their investment committee.</w:t>
            </w:r>
          </w:p>
        </w:tc>
      </w:tr>
    </w:tbl>
    <w:p w14:paraId="706523A0" w14:textId="67490377" w:rsidR="00010CE7" w:rsidRPr="00010CE7" w:rsidRDefault="007D5EEB"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010CE7" w:rsidRPr="00010CE7">
        <w:rPr>
          <w:rFonts w:ascii="Helvetica" w:hAnsi="Helvetica"/>
          <w:color w:val="1A1A1A"/>
          <w:sz w:val="20"/>
          <w:szCs w:val="20"/>
        </w:rPr>
        <w:t>3</w:t>
      </w:r>
    </w:p>
    <w:p w14:paraId="0CCB8B33" w14:textId="7CBE2B6E" w:rsidR="007D5EEB" w:rsidRPr="00010CE7" w:rsidRDefault="007D5EEB" w:rsidP="00010CE7">
      <w:pPr>
        <w:pStyle w:val="Heading2"/>
        <w:spacing w:before="0" w:after="0" w:line="300" w:lineRule="auto"/>
        <w:jc w:val="both"/>
        <w:rPr>
          <w:rFonts w:ascii="Helvetica" w:hAnsi="Helvetica"/>
          <w:color w:val="1A1A1A"/>
          <w:sz w:val="24"/>
          <w:szCs w:val="24"/>
        </w:rPr>
      </w:pPr>
    </w:p>
    <w:p w14:paraId="77A7D786" w14:textId="77777777" w:rsidR="007D5EEB" w:rsidRPr="00010CE7" w:rsidRDefault="007D5EEB"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What do institutional investors actually need to see?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D5EEB" w:rsidRPr="00010CE7" w14:paraId="2503FEF8" w14:textId="77777777" w:rsidTr="00D25791">
        <w:tc>
          <w:tcPr>
            <w:tcW w:w="9350" w:type="dxa"/>
            <w:tcBorders>
              <w:bottom w:val="single" w:sz="6" w:space="0" w:color="E5E5E5"/>
            </w:tcBorders>
          </w:tcPr>
          <w:p w14:paraId="7D043220" w14:textId="77777777" w:rsidR="007D5EEB" w:rsidRPr="00010CE7" w:rsidRDefault="007D5EEB" w:rsidP="00010CE7">
            <w:pPr>
              <w:spacing w:line="300" w:lineRule="auto"/>
              <w:jc w:val="both"/>
              <w:rPr>
                <w:rFonts w:ascii="Helvetica" w:hAnsi="Helvetica"/>
                <w:color w:val="1A1A1A"/>
              </w:rPr>
            </w:pPr>
          </w:p>
        </w:tc>
      </w:tr>
    </w:tbl>
    <w:p w14:paraId="592D129A" w14:textId="77777777" w:rsidR="0025713E" w:rsidRPr="00010CE7" w:rsidRDefault="0025713E" w:rsidP="00010CE7">
      <w:pPr>
        <w:spacing w:after="0" w:line="300" w:lineRule="auto"/>
        <w:jc w:val="both"/>
        <w:rPr>
          <w:rFonts w:ascii="Helvetica" w:hAnsi="Helvetica"/>
          <w:color w:val="1A1A1A"/>
        </w:rPr>
      </w:pPr>
    </w:p>
    <w:p w14:paraId="699FC581" w14:textId="77777777" w:rsidR="00164E92" w:rsidRDefault="00164E92" w:rsidP="00164E92">
      <w:pPr>
        <w:spacing w:after="0" w:line="300" w:lineRule="auto"/>
        <w:jc w:val="both"/>
        <w:rPr>
          <w:rFonts w:ascii="Helvetica" w:hAnsi="Helvetica"/>
          <w:color w:val="1A1A1A"/>
        </w:rPr>
      </w:pPr>
      <w:r w:rsidRPr="00164E92">
        <w:rPr>
          <w:rFonts w:ascii="Helvetica" w:hAnsi="Helvetica"/>
          <w:color w:val="1A1A1A"/>
        </w:rPr>
        <w:t>Institutional investors do not dismiss intangible assets by default. In many cases, they are looking for them. Growth equity funds, strategic investors, family offices, and acquisition minded investors all care about the same underlying question. What makes this business harder to copy, easier to scale, and more likely to defend its economics over time?</w:t>
      </w:r>
    </w:p>
    <w:p w14:paraId="1516A755" w14:textId="77777777" w:rsidR="00164E92" w:rsidRPr="00164E92" w:rsidRDefault="00164E92" w:rsidP="00164E92">
      <w:pPr>
        <w:spacing w:after="0" w:line="300" w:lineRule="auto"/>
        <w:jc w:val="both"/>
        <w:rPr>
          <w:rFonts w:ascii="Helvetica" w:hAnsi="Helvetica"/>
          <w:color w:val="1A1A1A"/>
        </w:rPr>
      </w:pPr>
    </w:p>
    <w:p w14:paraId="3168D356" w14:textId="77777777" w:rsidR="00164E92" w:rsidRDefault="00164E92" w:rsidP="00164E92">
      <w:pPr>
        <w:spacing w:after="0" w:line="300" w:lineRule="auto"/>
        <w:jc w:val="both"/>
        <w:rPr>
          <w:rFonts w:ascii="Helvetica" w:hAnsi="Helvetica"/>
          <w:color w:val="1A1A1A"/>
        </w:rPr>
      </w:pPr>
      <w:r w:rsidRPr="00164E92">
        <w:rPr>
          <w:rFonts w:ascii="Helvetica" w:hAnsi="Helvetica"/>
          <w:color w:val="1A1A1A"/>
        </w:rPr>
        <w:t>The issue is not whether intangibles matter. The issue is whether the founder can prove them. A founder who says the business has a strong brand is making a claim. A founder who can show survey data, Net Promoter Scores, repeat purchase behavior, customer concentration, pricing premium, contract duration, and technology enabled cost savings is making a case.</w:t>
      </w:r>
    </w:p>
    <w:p w14:paraId="1A93892A" w14:textId="77777777" w:rsidR="00164E92" w:rsidRPr="00164E92" w:rsidRDefault="00164E92" w:rsidP="00164E92">
      <w:pPr>
        <w:spacing w:after="0" w:line="300" w:lineRule="auto"/>
        <w:jc w:val="both"/>
        <w:rPr>
          <w:rFonts w:ascii="Helvetica" w:hAnsi="Helvetica"/>
          <w:color w:val="1A1A1A"/>
        </w:rPr>
      </w:pPr>
    </w:p>
    <w:p w14:paraId="43EE1866" w14:textId="469EB3DC" w:rsidR="0025713E" w:rsidRDefault="00164E92" w:rsidP="00164E92">
      <w:pPr>
        <w:spacing w:after="0" w:line="300" w:lineRule="auto"/>
        <w:jc w:val="both"/>
        <w:rPr>
          <w:rFonts w:ascii="Helvetica" w:hAnsi="Helvetica"/>
          <w:color w:val="1A1A1A"/>
        </w:rPr>
      </w:pPr>
      <w:r w:rsidRPr="00164E92">
        <w:rPr>
          <w:rFonts w:ascii="Helvetica" w:hAnsi="Helvetica"/>
          <w:color w:val="1A1A1A"/>
        </w:rPr>
        <w:t>This difference matters because investors need to justify decisions internally. A partner may believe the business has strong hidden value, but that belief still needs to survive investment committee review, due diligence, and documentation. Evidence gives the investor a basis to defend the valuation. Without it, the safer choice is to fall back to the lowest supportable multiple.</w:t>
      </w:r>
      <w:r>
        <w:rPr>
          <w:rFonts w:ascii="Helvetica" w:hAnsi="Helvetica"/>
          <w:color w:val="1A1A1A"/>
        </w:rPr>
        <w:t xml:space="preserve"> </w:t>
      </w:r>
      <w:r w:rsidRPr="00164E92">
        <w:rPr>
          <w:rFonts w:ascii="Helvetica" w:hAnsi="Helvetica"/>
          <w:color w:val="1A1A1A"/>
        </w:rPr>
        <w:t>Well prepared intangible asset evidence usually falls into the following categories.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84"/>
      </w:tblGrid>
      <w:tr w:rsidR="00010CE7" w:rsidRPr="00010CE7" w14:paraId="34C64B18" w14:textId="77777777" w:rsidTr="00C9796D">
        <w:tc>
          <w:tcPr>
            <w:tcW w:w="5000" w:type="pct"/>
            <w:gridSpan w:val="2"/>
          </w:tcPr>
          <w:p w14:paraId="6927BE8E" w14:textId="77777777" w:rsidR="00010CE7" w:rsidRPr="00010CE7" w:rsidRDefault="00010CE7" w:rsidP="00C9796D">
            <w:pPr>
              <w:spacing w:line="300" w:lineRule="auto"/>
              <w:jc w:val="both"/>
              <w:rPr>
                <w:rFonts w:ascii="Helvetica" w:hAnsi="Helvetica"/>
                <w:color w:val="1A1A1A"/>
              </w:rPr>
            </w:pPr>
          </w:p>
        </w:tc>
      </w:tr>
      <w:tr w:rsidR="00010CE7" w:rsidRPr="00010CE7" w14:paraId="26C4DE6A" w14:textId="77777777" w:rsidTr="00C9796D">
        <w:trPr>
          <w:trHeight w:val="60"/>
        </w:trPr>
        <w:tc>
          <w:tcPr>
            <w:tcW w:w="5000" w:type="pct"/>
            <w:gridSpan w:val="2"/>
          </w:tcPr>
          <w:p w14:paraId="363B94B6" w14:textId="77777777" w:rsidR="00010CE7" w:rsidRPr="00010CE7" w:rsidRDefault="00010CE7" w:rsidP="00C9796D">
            <w:pPr>
              <w:spacing w:line="300" w:lineRule="auto"/>
              <w:jc w:val="both"/>
              <w:rPr>
                <w:rFonts w:ascii="Helvetica" w:hAnsi="Helvetica"/>
                <w:color w:val="1A1A1A"/>
              </w:rPr>
            </w:pPr>
          </w:p>
        </w:tc>
      </w:tr>
      <w:tr w:rsidR="000A5A0F" w:rsidRPr="00010CE7" w14:paraId="29D4CBA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174C3C"/>
            <w:vAlign w:val="center"/>
          </w:tcPr>
          <w:p w14:paraId="69516EDC" w14:textId="48C4F3E2" w:rsidR="000A5A0F" w:rsidRPr="00010CE7" w:rsidRDefault="000A5A0F" w:rsidP="00010CE7">
            <w:pPr>
              <w:spacing w:line="300" w:lineRule="auto"/>
              <w:jc w:val="both"/>
              <w:rPr>
                <w:rFonts w:ascii="Helvetica" w:hAnsi="Helvetica"/>
                <w:color w:val="1A1A1A"/>
              </w:rPr>
            </w:pPr>
            <w:r w:rsidRPr="00010CE7">
              <w:rPr>
                <w:rFonts w:ascii="Helvetica" w:hAnsi="Helvetica"/>
                <w:b/>
                <w:color w:val="F7F5F2"/>
              </w:rPr>
              <w:t>Asset type</w:t>
            </w:r>
          </w:p>
        </w:tc>
        <w:tc>
          <w:tcPr>
            <w:tcW w:w="2502" w:type="pct"/>
            <w:shd w:val="clear" w:color="auto" w:fill="174C3C"/>
            <w:vAlign w:val="center"/>
          </w:tcPr>
          <w:p w14:paraId="7416CD74" w14:textId="46CD0589" w:rsidR="000A5A0F" w:rsidRPr="00010CE7" w:rsidRDefault="000A5A0F" w:rsidP="00010CE7">
            <w:pPr>
              <w:spacing w:line="300" w:lineRule="auto"/>
              <w:jc w:val="both"/>
              <w:rPr>
                <w:rFonts w:ascii="Helvetica" w:hAnsi="Helvetica"/>
                <w:color w:val="1A1A1A"/>
              </w:rPr>
            </w:pPr>
            <w:r w:rsidRPr="00010CE7">
              <w:rPr>
                <w:rFonts w:ascii="Helvetica" w:hAnsi="Helvetica"/>
                <w:b/>
                <w:color w:val="F7F5F2"/>
              </w:rPr>
              <w:t>What investors want to see</w:t>
            </w:r>
          </w:p>
        </w:tc>
      </w:tr>
      <w:tr w:rsidR="000A5A0F" w:rsidRPr="00010CE7" w14:paraId="2AECC9F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6396CBAB" w14:textId="0AF4BA8D" w:rsidR="000A5A0F" w:rsidRPr="00010CE7" w:rsidRDefault="000A5A0F" w:rsidP="00010CE7">
            <w:pPr>
              <w:spacing w:line="300" w:lineRule="auto"/>
              <w:jc w:val="both"/>
              <w:rPr>
                <w:rFonts w:ascii="Helvetica" w:hAnsi="Helvetica"/>
                <w:color w:val="1A1A1A"/>
              </w:rPr>
            </w:pPr>
            <w:r w:rsidRPr="00010CE7">
              <w:rPr>
                <w:rFonts w:ascii="Helvetica" w:hAnsi="Helvetica"/>
                <w:b/>
                <w:color w:val="1A1A1A"/>
              </w:rPr>
              <w:t>Brand</w:t>
            </w:r>
          </w:p>
        </w:tc>
        <w:tc>
          <w:tcPr>
            <w:tcW w:w="2502" w:type="pct"/>
            <w:shd w:val="clear" w:color="auto" w:fill="F7F5F2"/>
            <w:vAlign w:val="center"/>
          </w:tcPr>
          <w:p w14:paraId="2B1049D2" w14:textId="69A5644C" w:rsidR="000A5A0F" w:rsidRPr="00010CE7" w:rsidRDefault="000A5A0F" w:rsidP="000426D4">
            <w:pPr>
              <w:spacing w:line="300" w:lineRule="auto"/>
              <w:rPr>
                <w:rFonts w:ascii="Helvetica" w:hAnsi="Helvetica"/>
                <w:color w:val="1A1A1A"/>
              </w:rPr>
            </w:pPr>
            <w:r w:rsidRPr="00010CE7">
              <w:rPr>
                <w:rFonts w:ascii="Helvetica" w:hAnsi="Helvetica"/>
                <w:color w:val="1A1A1A"/>
              </w:rPr>
              <w:t>Customer surveys, recognition data, NPS, pricing premium evidence</w:t>
            </w:r>
          </w:p>
        </w:tc>
      </w:tr>
      <w:tr w:rsidR="000A5A0F" w:rsidRPr="00010CE7" w14:paraId="4C9B138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590BF56C" w14:textId="1817E2F5" w:rsidR="000A5A0F" w:rsidRPr="00010CE7" w:rsidRDefault="000A5A0F" w:rsidP="00010CE7">
            <w:pPr>
              <w:spacing w:line="300" w:lineRule="auto"/>
              <w:jc w:val="both"/>
              <w:rPr>
                <w:rFonts w:ascii="Helvetica" w:hAnsi="Helvetica"/>
                <w:color w:val="1A1A1A"/>
              </w:rPr>
            </w:pPr>
            <w:r w:rsidRPr="00010CE7">
              <w:rPr>
                <w:rFonts w:ascii="Helvetica" w:hAnsi="Helvetica"/>
                <w:b/>
                <w:color w:val="1A1A1A"/>
              </w:rPr>
              <w:t>Customer relationships</w:t>
            </w:r>
          </w:p>
        </w:tc>
        <w:tc>
          <w:tcPr>
            <w:tcW w:w="2502" w:type="pct"/>
            <w:shd w:val="clear" w:color="auto" w:fill="FFFFFF" w:themeFill="background1"/>
            <w:vAlign w:val="center"/>
          </w:tcPr>
          <w:p w14:paraId="3AD30607" w14:textId="3B4419EB" w:rsidR="000A5A0F" w:rsidRPr="00010CE7" w:rsidRDefault="000A5A0F" w:rsidP="000426D4">
            <w:pPr>
              <w:spacing w:line="300" w:lineRule="auto"/>
              <w:rPr>
                <w:rFonts w:ascii="Helvetica" w:hAnsi="Helvetica"/>
                <w:color w:val="1A1A1A"/>
              </w:rPr>
            </w:pPr>
            <w:r w:rsidRPr="00010CE7">
              <w:rPr>
                <w:rFonts w:ascii="Helvetica" w:hAnsi="Helvetica"/>
                <w:color w:val="1A1A1A"/>
              </w:rPr>
              <w:t>Churn, repeat purchase data, customer concentration, tenure, cohort behavior</w:t>
            </w:r>
          </w:p>
        </w:tc>
      </w:tr>
      <w:tr w:rsidR="000A5A0F" w:rsidRPr="00010CE7" w14:paraId="3D9FBF49"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744A26B1" w14:textId="5EDC750B" w:rsidR="000A5A0F" w:rsidRPr="00010CE7" w:rsidRDefault="000A5A0F" w:rsidP="00010CE7">
            <w:pPr>
              <w:spacing w:line="300" w:lineRule="auto"/>
              <w:jc w:val="both"/>
              <w:rPr>
                <w:rFonts w:ascii="Helvetica" w:hAnsi="Helvetica"/>
                <w:color w:val="1A1A1A"/>
              </w:rPr>
            </w:pPr>
            <w:r w:rsidRPr="00010CE7">
              <w:rPr>
                <w:rFonts w:ascii="Helvetica" w:hAnsi="Helvetica"/>
                <w:b/>
                <w:color w:val="1A1A1A"/>
              </w:rPr>
              <w:t>Recurring revenue</w:t>
            </w:r>
          </w:p>
        </w:tc>
        <w:tc>
          <w:tcPr>
            <w:tcW w:w="2502" w:type="pct"/>
            <w:shd w:val="clear" w:color="auto" w:fill="F7F5F2"/>
            <w:vAlign w:val="center"/>
          </w:tcPr>
          <w:p w14:paraId="5BBB5B05" w14:textId="10744008" w:rsidR="000A5A0F" w:rsidRPr="00010CE7" w:rsidRDefault="000A5A0F" w:rsidP="000426D4">
            <w:pPr>
              <w:spacing w:line="300" w:lineRule="auto"/>
              <w:rPr>
                <w:rFonts w:ascii="Helvetica" w:hAnsi="Helvetica"/>
                <w:color w:val="1A1A1A"/>
              </w:rPr>
            </w:pPr>
            <w:r w:rsidRPr="00010CE7">
              <w:rPr>
                <w:rFonts w:ascii="Helvetica" w:hAnsi="Helvetica"/>
                <w:color w:val="1A1A1A"/>
              </w:rPr>
              <w:t>Contracts, renewals, usage data, committed revenue, collection history</w:t>
            </w:r>
          </w:p>
        </w:tc>
      </w:tr>
      <w:tr w:rsidR="000A5A0F" w:rsidRPr="00010CE7" w14:paraId="0C8D641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FFFFF" w:themeFill="background1"/>
            <w:vAlign w:val="center"/>
          </w:tcPr>
          <w:p w14:paraId="347A1FA6" w14:textId="16CE6905" w:rsidR="000A5A0F" w:rsidRPr="00010CE7" w:rsidRDefault="000A5A0F" w:rsidP="00010CE7">
            <w:pPr>
              <w:spacing w:line="300" w:lineRule="auto"/>
              <w:jc w:val="both"/>
              <w:rPr>
                <w:rFonts w:ascii="Helvetica" w:hAnsi="Helvetica"/>
                <w:color w:val="1A1A1A"/>
              </w:rPr>
            </w:pPr>
            <w:r w:rsidRPr="00010CE7">
              <w:rPr>
                <w:rFonts w:ascii="Helvetica" w:hAnsi="Helvetica"/>
                <w:b/>
                <w:color w:val="1A1A1A"/>
              </w:rPr>
              <w:lastRenderedPageBreak/>
              <w:t>Software and technology</w:t>
            </w:r>
          </w:p>
        </w:tc>
        <w:tc>
          <w:tcPr>
            <w:tcW w:w="2502" w:type="pct"/>
            <w:shd w:val="clear" w:color="auto" w:fill="FFFFFF" w:themeFill="background1"/>
            <w:vAlign w:val="center"/>
          </w:tcPr>
          <w:p w14:paraId="4C1CEBC3" w14:textId="7CD27AC8" w:rsidR="000A5A0F" w:rsidRPr="00010CE7" w:rsidRDefault="000A5A0F" w:rsidP="000426D4">
            <w:pPr>
              <w:spacing w:line="300" w:lineRule="auto"/>
              <w:rPr>
                <w:rFonts w:ascii="Helvetica" w:hAnsi="Helvetica"/>
                <w:color w:val="1A1A1A"/>
              </w:rPr>
            </w:pPr>
            <w:r w:rsidRPr="00010CE7">
              <w:rPr>
                <w:rFonts w:ascii="Helvetica" w:hAnsi="Helvetica"/>
                <w:color w:val="1A1A1A"/>
              </w:rPr>
              <w:t>Technical documentation, user metrics, workflow savings, replacement cost</w:t>
            </w:r>
          </w:p>
        </w:tc>
      </w:tr>
      <w:tr w:rsidR="000A5A0F" w:rsidRPr="00010CE7" w14:paraId="535A9A1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2498" w:type="pct"/>
            <w:shd w:val="clear" w:color="auto" w:fill="F7F5F2"/>
            <w:vAlign w:val="center"/>
          </w:tcPr>
          <w:p w14:paraId="485332DD" w14:textId="228B78AF" w:rsidR="000A5A0F" w:rsidRPr="00010CE7" w:rsidRDefault="000A5A0F" w:rsidP="000426D4">
            <w:pPr>
              <w:spacing w:line="300" w:lineRule="auto"/>
              <w:rPr>
                <w:rFonts w:ascii="Helvetica" w:hAnsi="Helvetica"/>
                <w:b/>
                <w:color w:val="1A1A1A"/>
              </w:rPr>
            </w:pPr>
            <w:r w:rsidRPr="00010CE7">
              <w:rPr>
                <w:rFonts w:ascii="Helvetica" w:hAnsi="Helvetica"/>
                <w:b/>
                <w:color w:val="1A1A1A"/>
              </w:rPr>
              <w:t>IP and trademarks</w:t>
            </w:r>
          </w:p>
        </w:tc>
        <w:tc>
          <w:tcPr>
            <w:tcW w:w="2502" w:type="pct"/>
            <w:shd w:val="clear" w:color="auto" w:fill="F7F5F2"/>
            <w:vAlign w:val="center"/>
          </w:tcPr>
          <w:p w14:paraId="3AD3330F" w14:textId="78B4B40C" w:rsidR="000A5A0F" w:rsidRPr="00010CE7" w:rsidRDefault="000A5A0F" w:rsidP="000426D4">
            <w:pPr>
              <w:spacing w:line="300" w:lineRule="auto"/>
              <w:rPr>
                <w:rFonts w:ascii="Helvetica" w:hAnsi="Helvetica"/>
                <w:color w:val="1A1A1A"/>
              </w:rPr>
            </w:pPr>
            <w:r w:rsidRPr="00010CE7">
              <w:rPr>
                <w:rFonts w:ascii="Helvetica" w:hAnsi="Helvetica"/>
                <w:color w:val="1A1A1A"/>
              </w:rPr>
              <w:t>Registration documents, licensing terms, usage evidence, ownership records</w:t>
            </w:r>
          </w:p>
        </w:tc>
      </w:tr>
      <w:tr w:rsidR="000A5A0F" w:rsidRPr="00010CE7" w14:paraId="540D690F"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rPr>
          <w:trHeight w:val="26"/>
        </w:trPr>
        <w:tc>
          <w:tcPr>
            <w:tcW w:w="2498" w:type="pct"/>
            <w:shd w:val="clear" w:color="auto" w:fill="FFFFFF" w:themeFill="background1"/>
            <w:vAlign w:val="center"/>
          </w:tcPr>
          <w:p w14:paraId="591FE026" w14:textId="5061110A" w:rsidR="000A5A0F" w:rsidRPr="00010CE7" w:rsidRDefault="000A5A0F" w:rsidP="000426D4">
            <w:pPr>
              <w:spacing w:line="300" w:lineRule="auto"/>
              <w:rPr>
                <w:rFonts w:ascii="Helvetica" w:hAnsi="Helvetica"/>
                <w:b/>
                <w:color w:val="1A1A1A"/>
              </w:rPr>
            </w:pPr>
            <w:r w:rsidRPr="00010CE7">
              <w:rPr>
                <w:rFonts w:ascii="Helvetica" w:hAnsi="Helvetica"/>
                <w:b/>
                <w:color w:val="1A1A1A"/>
              </w:rPr>
              <w:t>Contracts</w:t>
            </w:r>
          </w:p>
        </w:tc>
        <w:tc>
          <w:tcPr>
            <w:tcW w:w="2502" w:type="pct"/>
            <w:shd w:val="clear" w:color="auto" w:fill="FFFFFF" w:themeFill="background1"/>
            <w:vAlign w:val="center"/>
          </w:tcPr>
          <w:p w14:paraId="36E6EC8B" w14:textId="6D5B8041" w:rsidR="000A5A0F" w:rsidRPr="00010CE7" w:rsidRDefault="000A5A0F" w:rsidP="000426D4">
            <w:pPr>
              <w:spacing w:line="300" w:lineRule="auto"/>
              <w:rPr>
                <w:rFonts w:ascii="Helvetica" w:hAnsi="Helvetica"/>
                <w:color w:val="1A1A1A"/>
              </w:rPr>
            </w:pPr>
            <w:r w:rsidRPr="00010CE7">
              <w:rPr>
                <w:rFonts w:ascii="Helvetica" w:hAnsi="Helvetica"/>
                <w:color w:val="1A1A1A"/>
              </w:rPr>
              <w:t>Signed agreements, term length, value, renewal rights, customer quality</w:t>
            </w:r>
          </w:p>
        </w:tc>
      </w:tr>
      <w:tr w:rsidR="00010CE7" w:rsidRPr="00010CE7" w14:paraId="07F06D47" w14:textId="77777777" w:rsidTr="00010CE7">
        <w:tc>
          <w:tcPr>
            <w:tcW w:w="5000" w:type="pct"/>
            <w:gridSpan w:val="2"/>
          </w:tcPr>
          <w:p w14:paraId="606E70F6" w14:textId="77777777" w:rsidR="00010CE7" w:rsidRPr="00010CE7" w:rsidRDefault="00010CE7" w:rsidP="00010CE7">
            <w:pPr>
              <w:spacing w:line="300" w:lineRule="auto"/>
              <w:jc w:val="both"/>
              <w:rPr>
                <w:rFonts w:ascii="Helvetica" w:hAnsi="Helvetica"/>
                <w:color w:val="1A1A1A"/>
              </w:rPr>
            </w:pPr>
          </w:p>
        </w:tc>
      </w:tr>
      <w:tr w:rsidR="00010CE7" w:rsidRPr="00010CE7" w14:paraId="7B9A37A1" w14:textId="77777777" w:rsidTr="00010CE7">
        <w:trPr>
          <w:trHeight w:val="60"/>
        </w:trPr>
        <w:tc>
          <w:tcPr>
            <w:tcW w:w="5000" w:type="pct"/>
            <w:gridSpan w:val="2"/>
          </w:tcPr>
          <w:p w14:paraId="2D9D0374" w14:textId="77777777" w:rsidR="00010CE7" w:rsidRPr="00010CE7" w:rsidRDefault="00010CE7" w:rsidP="00010CE7">
            <w:pPr>
              <w:spacing w:line="300" w:lineRule="auto"/>
              <w:jc w:val="both"/>
              <w:rPr>
                <w:rFonts w:ascii="Helvetica" w:hAnsi="Helvetica"/>
                <w:color w:val="1A1A1A"/>
              </w:rPr>
            </w:pPr>
          </w:p>
        </w:tc>
      </w:tr>
    </w:tbl>
    <w:p w14:paraId="691686D6" w14:textId="499CB574" w:rsidR="00350144"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0A5A0F" w:rsidRPr="00010CE7">
        <w:rPr>
          <w:rFonts w:ascii="Helvetica" w:hAnsi="Helvetica"/>
          <w:color w:val="1A1A1A"/>
          <w:sz w:val="20"/>
          <w:szCs w:val="20"/>
        </w:rPr>
        <w:t>4</w:t>
      </w:r>
    </w:p>
    <w:p w14:paraId="0B4406BB"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203FAC51" w14:textId="008862D4" w:rsidR="00350144" w:rsidRPr="00010CE7" w:rsidRDefault="000A5A0F"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What is your specific opportunity before fundraising?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4C158C87" w14:textId="77777777" w:rsidTr="00D25791">
        <w:tc>
          <w:tcPr>
            <w:tcW w:w="9350" w:type="dxa"/>
            <w:tcBorders>
              <w:bottom w:val="single" w:sz="6" w:space="0" w:color="E5E5E5"/>
            </w:tcBorders>
          </w:tcPr>
          <w:p w14:paraId="45C25A78" w14:textId="275C2A48" w:rsidR="00350144" w:rsidRPr="00010CE7" w:rsidRDefault="00350144" w:rsidP="00010CE7">
            <w:pPr>
              <w:spacing w:line="300" w:lineRule="auto"/>
              <w:jc w:val="both"/>
              <w:rPr>
                <w:rFonts w:ascii="Helvetica" w:hAnsi="Helvetica"/>
                <w:color w:val="1A1A1A"/>
              </w:rPr>
            </w:pPr>
          </w:p>
        </w:tc>
      </w:tr>
      <w:tr w:rsidR="00350144" w:rsidRPr="00010CE7" w14:paraId="793DF697" w14:textId="77777777" w:rsidTr="00D25791">
        <w:trPr>
          <w:trHeight w:val="60"/>
        </w:trPr>
        <w:tc>
          <w:tcPr>
            <w:tcW w:w="9350" w:type="dxa"/>
            <w:tcBorders>
              <w:top w:val="single" w:sz="6" w:space="0" w:color="E5E5E5"/>
            </w:tcBorders>
          </w:tcPr>
          <w:p w14:paraId="71BCF633" w14:textId="77777777" w:rsidR="0025713E" w:rsidRPr="00010CE7" w:rsidRDefault="0025713E" w:rsidP="00010CE7">
            <w:pPr>
              <w:spacing w:line="300" w:lineRule="auto"/>
              <w:jc w:val="both"/>
              <w:rPr>
                <w:rFonts w:ascii="Helvetica" w:hAnsi="Helvetica"/>
                <w:color w:val="1A1A1A"/>
              </w:rPr>
            </w:pPr>
          </w:p>
        </w:tc>
      </w:tr>
    </w:tbl>
    <w:p w14:paraId="7AC19BE7" w14:textId="0F327F7A" w:rsidR="000A5A0F" w:rsidRDefault="00245F27" w:rsidP="00010CE7">
      <w:pPr>
        <w:spacing w:after="0" w:line="300" w:lineRule="auto"/>
        <w:jc w:val="both"/>
        <w:rPr>
          <w:rFonts w:ascii="Helvetica" w:hAnsi="Helvetica"/>
          <w:color w:val="1A1A1A"/>
        </w:rPr>
      </w:pPr>
      <w:r w:rsidRPr="00245F27">
        <w:rPr>
          <w:rFonts w:ascii="Helvetica" w:hAnsi="Helvetica"/>
          <w:color w:val="1A1A1A"/>
        </w:rPr>
        <w:t>When founders enter a fundraising process prepared, the conversation changes. The investor sees a valuation report that separates the financial component from the intangible asset component. The value bridge is visible, and the total enterprise value is substantiated, not asserted.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4678"/>
      </w:tblGrid>
      <w:tr w:rsidR="00010CE7" w:rsidRPr="00010CE7" w14:paraId="4F677F31" w14:textId="77777777" w:rsidTr="00C9796D">
        <w:tc>
          <w:tcPr>
            <w:tcW w:w="5000" w:type="pct"/>
            <w:gridSpan w:val="2"/>
          </w:tcPr>
          <w:p w14:paraId="048DCFBF" w14:textId="77777777" w:rsidR="00010CE7" w:rsidRPr="00010CE7" w:rsidRDefault="00010CE7" w:rsidP="00C9796D">
            <w:pPr>
              <w:spacing w:line="300" w:lineRule="auto"/>
              <w:jc w:val="both"/>
              <w:rPr>
                <w:rFonts w:ascii="Helvetica" w:hAnsi="Helvetica"/>
                <w:color w:val="1A1A1A"/>
              </w:rPr>
            </w:pPr>
          </w:p>
        </w:tc>
      </w:tr>
      <w:tr w:rsidR="00010CE7" w:rsidRPr="00010CE7" w14:paraId="7659001F" w14:textId="77777777" w:rsidTr="00C9796D">
        <w:trPr>
          <w:trHeight w:val="60"/>
        </w:trPr>
        <w:tc>
          <w:tcPr>
            <w:tcW w:w="5000" w:type="pct"/>
            <w:gridSpan w:val="2"/>
          </w:tcPr>
          <w:p w14:paraId="50876C77" w14:textId="77777777" w:rsidR="00010CE7" w:rsidRPr="00010CE7" w:rsidRDefault="00010CE7" w:rsidP="00C9796D">
            <w:pPr>
              <w:spacing w:line="300" w:lineRule="auto"/>
              <w:jc w:val="both"/>
              <w:rPr>
                <w:rFonts w:ascii="Helvetica" w:hAnsi="Helvetica"/>
                <w:color w:val="1A1A1A"/>
              </w:rPr>
            </w:pPr>
          </w:p>
        </w:tc>
      </w:tr>
      <w:tr w:rsidR="00A93348" w:rsidRPr="00010CE7" w14:paraId="65BEEBB1"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144" w:type="dxa"/>
            <w:bottom w:w="288" w:type="dxa"/>
            <w:right w:w="144" w:type="dxa"/>
          </w:tblCellMar>
        </w:tblPrEx>
        <w:tc>
          <w:tcPr>
            <w:tcW w:w="2501" w:type="pct"/>
            <w:shd w:val="clear" w:color="auto" w:fill="174C3C"/>
            <w:vAlign w:val="center"/>
          </w:tcPr>
          <w:p w14:paraId="19D97599" w14:textId="3E896181" w:rsidR="00A93348" w:rsidRPr="00010CE7" w:rsidRDefault="00A93348" w:rsidP="00010CE7">
            <w:pPr>
              <w:spacing w:line="300" w:lineRule="auto"/>
              <w:jc w:val="both"/>
              <w:rPr>
                <w:rFonts w:ascii="Helvetica" w:hAnsi="Helvetica"/>
                <w:color w:val="1A1A1A"/>
              </w:rPr>
            </w:pPr>
            <w:r w:rsidRPr="00010CE7">
              <w:rPr>
                <w:rFonts w:ascii="Helvetica" w:hAnsi="Helvetica"/>
                <w:b/>
                <w:color w:val="F7F5F2"/>
              </w:rPr>
              <w:t>Without Preparation</w:t>
            </w:r>
          </w:p>
        </w:tc>
        <w:tc>
          <w:tcPr>
            <w:tcW w:w="2499" w:type="pct"/>
            <w:shd w:val="clear" w:color="auto" w:fill="174C3C"/>
            <w:vAlign w:val="center"/>
          </w:tcPr>
          <w:p w14:paraId="46813444" w14:textId="25F7DC80" w:rsidR="00A93348" w:rsidRPr="00010CE7" w:rsidRDefault="00A93348" w:rsidP="00010CE7">
            <w:pPr>
              <w:spacing w:line="300" w:lineRule="auto"/>
              <w:jc w:val="both"/>
              <w:rPr>
                <w:rFonts w:ascii="Helvetica" w:hAnsi="Helvetica"/>
                <w:color w:val="1A1A1A"/>
              </w:rPr>
            </w:pPr>
            <w:r w:rsidRPr="00010CE7">
              <w:rPr>
                <w:rFonts w:ascii="Helvetica" w:hAnsi="Helvetica"/>
                <w:b/>
                <w:color w:val="F7F5F2"/>
              </w:rPr>
              <w:t>With Preparation</w:t>
            </w:r>
          </w:p>
        </w:tc>
      </w:tr>
      <w:tr w:rsidR="00A93348" w:rsidRPr="00010CE7" w14:paraId="2081949D" w14:textId="77777777" w:rsidTr="00010CE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144" w:type="dxa"/>
            <w:bottom w:w="288" w:type="dxa"/>
            <w:right w:w="144" w:type="dxa"/>
          </w:tblCellMar>
        </w:tblPrEx>
        <w:tc>
          <w:tcPr>
            <w:tcW w:w="2501" w:type="pct"/>
            <w:shd w:val="clear" w:color="auto" w:fill="FEE2E2"/>
          </w:tcPr>
          <w:p w14:paraId="3DDD8248" w14:textId="71B21F45" w:rsidR="00A93348" w:rsidRDefault="00A93348" w:rsidP="00010CE7">
            <w:pPr>
              <w:spacing w:line="300" w:lineRule="auto"/>
              <w:rPr>
                <w:rFonts w:ascii="Helvetica" w:hAnsi="Helvetica"/>
                <w:bCs/>
                <w:color w:val="1A1A1A"/>
              </w:rPr>
            </w:pPr>
            <w:r w:rsidRPr="00010CE7">
              <w:rPr>
                <w:rFonts w:ascii="Helvetica" w:hAnsi="Helvetica"/>
                <w:bCs/>
                <w:color w:val="1A1A1A"/>
              </w:rPr>
              <w:t>Investor anchors on the financial multiple. Founder argues the business is worth more but cannot produce evidence.</w:t>
            </w:r>
          </w:p>
          <w:p w14:paraId="66DD1DA5" w14:textId="77777777" w:rsidR="00164E92" w:rsidRPr="00010CE7" w:rsidRDefault="00164E92" w:rsidP="00010CE7">
            <w:pPr>
              <w:spacing w:line="300" w:lineRule="auto"/>
              <w:rPr>
                <w:rFonts w:ascii="Helvetica" w:hAnsi="Helvetica"/>
                <w:bCs/>
                <w:color w:val="1A1A1A"/>
              </w:rPr>
            </w:pPr>
          </w:p>
          <w:p w14:paraId="6864E115" w14:textId="21577BEC" w:rsidR="00A93348" w:rsidRPr="00010CE7" w:rsidRDefault="00A93348" w:rsidP="00010CE7">
            <w:pPr>
              <w:spacing w:line="300" w:lineRule="auto"/>
              <w:rPr>
                <w:rFonts w:ascii="Helvetica" w:hAnsi="Helvetica"/>
                <w:bCs/>
                <w:color w:val="1A1A1A"/>
              </w:rPr>
            </w:pPr>
            <w:r w:rsidRPr="00010CE7">
              <w:rPr>
                <w:rFonts w:ascii="Helvetica" w:hAnsi="Helvetica"/>
                <w:bCs/>
                <w:color w:val="1A1A1A"/>
              </w:rPr>
              <w:t>Investor uses conservative assumptions. Founder accepts a lower number or loses the deal.</w:t>
            </w:r>
          </w:p>
        </w:tc>
        <w:tc>
          <w:tcPr>
            <w:tcW w:w="2499" w:type="pct"/>
            <w:shd w:val="clear" w:color="auto" w:fill="DCFCE7"/>
          </w:tcPr>
          <w:p w14:paraId="0BF94F09" w14:textId="2672EA96" w:rsidR="00A93348" w:rsidRPr="00010CE7" w:rsidRDefault="00A93348" w:rsidP="00010CE7">
            <w:pPr>
              <w:spacing w:line="300" w:lineRule="auto"/>
              <w:rPr>
                <w:rFonts w:ascii="Helvetica" w:hAnsi="Helvetica"/>
                <w:bCs/>
                <w:color w:val="1A1A1A"/>
              </w:rPr>
            </w:pPr>
            <w:r w:rsidRPr="00010CE7">
              <w:rPr>
                <w:rFonts w:ascii="Helvetica" w:hAnsi="Helvetica"/>
                <w:bCs/>
                <w:color w:val="1A1A1A"/>
              </w:rPr>
              <w:t>Investor sees a formal valuation report separating financial and intangibles components. Each asset is documented</w:t>
            </w:r>
          </w:p>
          <w:p w14:paraId="100B43DD" w14:textId="77777777" w:rsidR="00A93348" w:rsidRPr="00010CE7" w:rsidRDefault="00A93348" w:rsidP="00010CE7">
            <w:pPr>
              <w:spacing w:line="300" w:lineRule="auto"/>
              <w:rPr>
                <w:rFonts w:ascii="Helvetica" w:hAnsi="Helvetica"/>
                <w:bCs/>
                <w:color w:val="1A1A1A"/>
              </w:rPr>
            </w:pPr>
            <w:r w:rsidRPr="00010CE7">
              <w:rPr>
                <w:rFonts w:ascii="Helvetica" w:hAnsi="Helvetica"/>
                <w:bCs/>
                <w:color w:val="1A1A1A"/>
              </w:rPr>
              <w:t>with supporting evidence.</w:t>
            </w:r>
          </w:p>
          <w:p w14:paraId="3176ED05" w14:textId="77777777" w:rsidR="00164E92" w:rsidRPr="00010CE7" w:rsidRDefault="00164E92" w:rsidP="00010CE7">
            <w:pPr>
              <w:spacing w:line="300" w:lineRule="auto"/>
              <w:rPr>
                <w:rFonts w:ascii="Helvetica" w:hAnsi="Helvetica"/>
                <w:bCs/>
                <w:color w:val="1A1A1A"/>
              </w:rPr>
            </w:pPr>
          </w:p>
          <w:p w14:paraId="228F9981" w14:textId="4CFF0AA0" w:rsidR="00A93348" w:rsidRPr="00010CE7" w:rsidRDefault="00A93348" w:rsidP="00010CE7">
            <w:pPr>
              <w:spacing w:line="300" w:lineRule="auto"/>
              <w:rPr>
                <w:rFonts w:ascii="Helvetica" w:hAnsi="Helvetica"/>
                <w:bCs/>
                <w:color w:val="1A1A1A"/>
              </w:rPr>
            </w:pPr>
            <w:r w:rsidRPr="00010CE7">
              <w:rPr>
                <w:rFonts w:ascii="Helvetica" w:hAnsi="Helvetica"/>
                <w:bCs/>
                <w:color w:val="1A1A1A"/>
              </w:rPr>
              <w:t>Investor has a basis to accept the higher number and a document to justify it internally to their investment</w:t>
            </w:r>
          </w:p>
          <w:p w14:paraId="011BBF2B" w14:textId="7A00A354" w:rsidR="00A93348" w:rsidRPr="00010CE7" w:rsidRDefault="00A93348" w:rsidP="00010CE7">
            <w:pPr>
              <w:spacing w:line="300" w:lineRule="auto"/>
              <w:rPr>
                <w:rFonts w:ascii="Helvetica" w:hAnsi="Helvetica"/>
                <w:bCs/>
                <w:color w:val="1A1A1A"/>
              </w:rPr>
            </w:pPr>
            <w:r w:rsidRPr="00010CE7">
              <w:rPr>
                <w:rFonts w:ascii="Helvetica" w:hAnsi="Helvetica"/>
                <w:bCs/>
                <w:color w:val="1A1A1A"/>
              </w:rPr>
              <w:t>committee.</w:t>
            </w:r>
          </w:p>
        </w:tc>
      </w:tr>
    </w:tbl>
    <w:p w14:paraId="68B59FAB" w14:textId="59B11D19"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lastRenderedPageBreak/>
        <w:t>Section 0</w:t>
      </w:r>
      <w:r w:rsidR="007D5EEB" w:rsidRPr="00010CE7">
        <w:rPr>
          <w:rFonts w:ascii="Helvetica" w:hAnsi="Helvetica"/>
          <w:color w:val="1A1A1A"/>
          <w:sz w:val="20"/>
          <w:szCs w:val="20"/>
        </w:rPr>
        <w:t>5</w:t>
      </w:r>
    </w:p>
    <w:p w14:paraId="194543C6" w14:textId="77777777" w:rsidR="00010CE7" w:rsidRPr="00010CE7" w:rsidRDefault="00010CE7" w:rsidP="00010CE7">
      <w:pPr>
        <w:pStyle w:val="Heading2"/>
        <w:spacing w:before="0" w:after="0" w:line="300" w:lineRule="auto"/>
        <w:jc w:val="both"/>
        <w:rPr>
          <w:rFonts w:ascii="Helvetica" w:hAnsi="Helvetica"/>
          <w:color w:val="174C3C"/>
          <w:sz w:val="24"/>
          <w:szCs w:val="24"/>
        </w:rPr>
      </w:pPr>
    </w:p>
    <w:p w14:paraId="4025D4C1" w14:textId="4A4D79C4" w:rsidR="00350144" w:rsidRPr="00010CE7" w:rsidRDefault="000A5A0F"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What does Bain Squared review before scoping the work?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50144" w:rsidRPr="00010CE7" w14:paraId="245ED114" w14:textId="77777777" w:rsidTr="00D25791">
        <w:tc>
          <w:tcPr>
            <w:tcW w:w="9350" w:type="dxa"/>
            <w:tcBorders>
              <w:bottom w:val="single" w:sz="6" w:space="0" w:color="E5E5E5"/>
            </w:tcBorders>
          </w:tcPr>
          <w:p w14:paraId="065FCD97" w14:textId="77777777" w:rsidR="00350144" w:rsidRPr="00010CE7" w:rsidRDefault="00350144" w:rsidP="00010CE7">
            <w:pPr>
              <w:spacing w:line="300" w:lineRule="auto"/>
              <w:jc w:val="both"/>
              <w:rPr>
                <w:rFonts w:ascii="Helvetica" w:hAnsi="Helvetica"/>
                <w:color w:val="1A1A1A"/>
              </w:rPr>
            </w:pPr>
          </w:p>
        </w:tc>
      </w:tr>
      <w:tr w:rsidR="00350144" w:rsidRPr="00010CE7" w14:paraId="47073425" w14:textId="77777777" w:rsidTr="00D25791">
        <w:trPr>
          <w:trHeight w:val="60"/>
        </w:trPr>
        <w:tc>
          <w:tcPr>
            <w:tcW w:w="9350" w:type="dxa"/>
            <w:tcBorders>
              <w:top w:val="single" w:sz="6" w:space="0" w:color="E5E5E5"/>
            </w:tcBorders>
          </w:tcPr>
          <w:p w14:paraId="6487C115" w14:textId="77777777" w:rsidR="0025713E" w:rsidRPr="00010CE7" w:rsidRDefault="0025713E" w:rsidP="00010CE7">
            <w:pPr>
              <w:spacing w:line="300" w:lineRule="auto"/>
              <w:jc w:val="both"/>
              <w:rPr>
                <w:rFonts w:ascii="Helvetica" w:hAnsi="Helvetica"/>
                <w:color w:val="1A1A1A"/>
              </w:rPr>
            </w:pPr>
          </w:p>
        </w:tc>
      </w:tr>
    </w:tbl>
    <w:p w14:paraId="7249BFC0" w14:textId="77777777" w:rsidR="00350144" w:rsidRPr="00010CE7" w:rsidRDefault="00350144" w:rsidP="00010CE7">
      <w:pPr>
        <w:spacing w:after="0" w:line="300" w:lineRule="auto"/>
        <w:jc w:val="both"/>
        <w:rPr>
          <w:rFonts w:ascii="Helvetica" w:hAnsi="Helvetica"/>
          <w:color w:val="1A1A1A"/>
        </w:rPr>
      </w:pPr>
      <w:r w:rsidRPr="00010CE7">
        <w:rPr>
          <w:rFonts w:ascii="Helvetica" w:hAnsi="Helvetica"/>
          <w:color w:val="1A1A1A"/>
        </w:rPr>
        <w:t>Bain Squared does not start by forcing every company into a valuation engagement. The first step is to determine whether the intangible asset case is strong enough to justify formal work. Some businesses have valuable assets but limited evidence. Others have evidence, but the asset may not be material enough to influence the fundraising narrative. The scoping process separates signal from noise.</w:t>
      </w:r>
    </w:p>
    <w:p w14:paraId="206889A4" w14:textId="77777777" w:rsidR="000A5A0F" w:rsidRPr="00010CE7" w:rsidRDefault="000A5A0F" w:rsidP="00010CE7">
      <w:pPr>
        <w:spacing w:after="0" w:line="300" w:lineRule="auto"/>
        <w:jc w:val="both"/>
        <w:rPr>
          <w:rFonts w:ascii="Helvetica" w:hAnsi="Helvetica"/>
          <w:color w:val="1A1A1A"/>
        </w:rPr>
      </w:pPr>
    </w:p>
    <w:p w14:paraId="124E1B65" w14:textId="77777777" w:rsidR="00350144" w:rsidRPr="00010CE7" w:rsidRDefault="00350144" w:rsidP="00010CE7">
      <w:pPr>
        <w:spacing w:after="0" w:line="300" w:lineRule="auto"/>
        <w:jc w:val="both"/>
        <w:rPr>
          <w:rFonts w:ascii="Helvetica" w:hAnsi="Helvetica"/>
          <w:color w:val="1A1A1A"/>
        </w:rPr>
      </w:pPr>
      <w:r w:rsidRPr="00010CE7">
        <w:rPr>
          <w:rFonts w:ascii="Helvetica" w:hAnsi="Helvetica"/>
          <w:color w:val="1A1A1A"/>
        </w:rPr>
        <w:t>The review typically looks at five areas. First, whether the asset is clearly identifiable. Second, whether ownership is documented. Third, whether the asset affects revenue, margin, retention, risk, or strategic control. Fourth, whether the evidence is strong enough for investor review. Fifth, whether the valuation output will be used in a real decision, such as fundraising, M&amp;A, licensing, ESOP planning, or board reporting.</w:t>
      </w:r>
    </w:p>
    <w:p w14:paraId="561749DC" w14:textId="77777777" w:rsidR="000A5A0F" w:rsidRPr="00010CE7" w:rsidRDefault="000A5A0F" w:rsidP="00010CE7">
      <w:pPr>
        <w:spacing w:after="0" w:line="300" w:lineRule="auto"/>
        <w:jc w:val="both"/>
        <w:rPr>
          <w:rFonts w:ascii="Helvetica" w:hAnsi="Helvetica"/>
          <w:color w:val="1A1A1A"/>
        </w:rPr>
      </w:pPr>
    </w:p>
    <w:p w14:paraId="22057289" w14:textId="5966867D" w:rsidR="00010CE7" w:rsidRDefault="00350144" w:rsidP="00010CE7">
      <w:pPr>
        <w:spacing w:after="0" w:line="300" w:lineRule="auto"/>
        <w:jc w:val="both"/>
        <w:rPr>
          <w:rFonts w:ascii="Helvetica" w:hAnsi="Helvetica"/>
          <w:color w:val="1A1A1A"/>
        </w:rPr>
      </w:pPr>
      <w:r w:rsidRPr="00010CE7">
        <w:rPr>
          <w:rFonts w:ascii="Helvetica" w:hAnsi="Helvetica"/>
          <w:color w:val="1A1A1A"/>
        </w:rPr>
        <w:t>For fundraising situations, the most useful output is usually not a standalone number. It is a valuation narrative that connects financial performance, intangible asset evidence, and investor diligence logic. That is the bridge between what the founder believes and what an institutional investor can underwrite.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85"/>
      </w:tblGrid>
      <w:tr w:rsidR="00245F27" w:rsidRPr="00010CE7" w14:paraId="3367E5CB" w14:textId="77777777" w:rsidTr="00245F27">
        <w:tc>
          <w:tcPr>
            <w:tcW w:w="9355" w:type="dxa"/>
            <w:gridSpan w:val="2"/>
          </w:tcPr>
          <w:p w14:paraId="12787D34" w14:textId="77777777" w:rsidR="00245F27" w:rsidRPr="00010CE7" w:rsidRDefault="00245F27" w:rsidP="00527C4E">
            <w:pPr>
              <w:spacing w:line="300" w:lineRule="auto"/>
              <w:jc w:val="both"/>
              <w:rPr>
                <w:rFonts w:ascii="Helvetica" w:hAnsi="Helvetica"/>
                <w:color w:val="1A1A1A"/>
              </w:rPr>
            </w:pPr>
          </w:p>
        </w:tc>
      </w:tr>
      <w:tr w:rsidR="00245F27" w:rsidRPr="00010CE7" w14:paraId="5194EBF9" w14:textId="77777777" w:rsidTr="00245F27">
        <w:trPr>
          <w:trHeight w:val="60"/>
        </w:trPr>
        <w:tc>
          <w:tcPr>
            <w:tcW w:w="9355" w:type="dxa"/>
            <w:gridSpan w:val="2"/>
          </w:tcPr>
          <w:p w14:paraId="33E7758A" w14:textId="77777777" w:rsidR="00245F27" w:rsidRPr="00010CE7" w:rsidRDefault="00245F27" w:rsidP="00527C4E">
            <w:pPr>
              <w:spacing w:line="300" w:lineRule="auto"/>
              <w:jc w:val="both"/>
              <w:rPr>
                <w:rFonts w:ascii="Helvetica" w:hAnsi="Helvetica"/>
                <w:color w:val="1A1A1A"/>
              </w:rPr>
            </w:pPr>
          </w:p>
        </w:tc>
      </w:tr>
      <w:tr w:rsidR="000A5A0F" w:rsidRPr="00010CE7" w14:paraId="284B7BA0"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174C3C"/>
            <w:vAlign w:val="center"/>
          </w:tcPr>
          <w:p w14:paraId="120894C5" w14:textId="596189B1" w:rsidR="000A5A0F" w:rsidRPr="00010CE7" w:rsidRDefault="000A5A0F" w:rsidP="00010CE7">
            <w:pPr>
              <w:spacing w:line="300" w:lineRule="auto"/>
              <w:rPr>
                <w:rFonts w:ascii="Helvetica" w:hAnsi="Helvetica"/>
                <w:color w:val="F7F5F2"/>
              </w:rPr>
            </w:pPr>
            <w:r w:rsidRPr="00010CE7">
              <w:rPr>
                <w:rFonts w:ascii="Helvetica" w:hAnsi="Helvetica"/>
                <w:b/>
                <w:color w:val="F7F5F2"/>
              </w:rPr>
              <w:t>Scoping question</w:t>
            </w:r>
          </w:p>
        </w:tc>
        <w:tc>
          <w:tcPr>
            <w:tcW w:w="4680" w:type="dxa"/>
            <w:shd w:val="clear" w:color="auto" w:fill="174C3C"/>
            <w:vAlign w:val="center"/>
          </w:tcPr>
          <w:p w14:paraId="6E3FFFF6" w14:textId="3725EA14" w:rsidR="000A5A0F" w:rsidRPr="00010CE7" w:rsidRDefault="000A5A0F" w:rsidP="00010CE7">
            <w:pPr>
              <w:spacing w:line="300" w:lineRule="auto"/>
              <w:rPr>
                <w:rFonts w:ascii="Helvetica" w:hAnsi="Helvetica"/>
                <w:color w:val="F7F5F2"/>
              </w:rPr>
            </w:pPr>
            <w:r w:rsidRPr="00010CE7">
              <w:rPr>
                <w:rFonts w:ascii="Helvetica" w:hAnsi="Helvetica"/>
                <w:b/>
                <w:color w:val="F7F5F2"/>
              </w:rPr>
              <w:t>Why it matters</w:t>
            </w:r>
          </w:p>
        </w:tc>
      </w:tr>
      <w:tr w:rsidR="000A5A0F" w:rsidRPr="00010CE7" w14:paraId="01088AF7"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72D27B52" w14:textId="2A1C71A8" w:rsidR="000A5A0F" w:rsidRPr="00010CE7" w:rsidRDefault="000A5A0F" w:rsidP="00010CE7">
            <w:pPr>
              <w:spacing w:line="300" w:lineRule="auto"/>
              <w:rPr>
                <w:rFonts w:ascii="Helvetica" w:hAnsi="Helvetica"/>
                <w:color w:val="1A1A1A"/>
              </w:rPr>
            </w:pPr>
            <w:r w:rsidRPr="00010CE7">
              <w:rPr>
                <w:rFonts w:ascii="Helvetica" w:hAnsi="Helvetica"/>
                <w:b/>
                <w:color w:val="1A1A1A"/>
              </w:rPr>
              <w:t>Can the asset be clearly identified and described?</w:t>
            </w:r>
          </w:p>
        </w:tc>
        <w:tc>
          <w:tcPr>
            <w:tcW w:w="4680" w:type="dxa"/>
            <w:shd w:val="clear" w:color="auto" w:fill="F7F5F2"/>
            <w:vAlign w:val="center"/>
          </w:tcPr>
          <w:p w14:paraId="0FD1DC99" w14:textId="77881304" w:rsidR="000A5A0F" w:rsidRPr="00010CE7" w:rsidRDefault="000A5A0F" w:rsidP="00010CE7">
            <w:pPr>
              <w:spacing w:line="300" w:lineRule="auto"/>
              <w:rPr>
                <w:rFonts w:ascii="Helvetica" w:hAnsi="Helvetica"/>
                <w:color w:val="1A1A1A"/>
              </w:rPr>
            </w:pPr>
            <w:r w:rsidRPr="00010CE7">
              <w:rPr>
                <w:rFonts w:ascii="Helvetica" w:hAnsi="Helvetica"/>
                <w:color w:val="1A1A1A"/>
              </w:rPr>
              <w:t>A vague asset cannot be valued with confidence.</w:t>
            </w:r>
          </w:p>
        </w:tc>
      </w:tr>
      <w:tr w:rsidR="000A5A0F" w:rsidRPr="00010CE7" w14:paraId="248FFAAF"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3FC7CDBE" w14:textId="6CAB2CD1" w:rsidR="000A5A0F" w:rsidRPr="00010CE7" w:rsidRDefault="000A5A0F" w:rsidP="00010CE7">
            <w:pPr>
              <w:spacing w:line="300" w:lineRule="auto"/>
              <w:rPr>
                <w:rFonts w:ascii="Helvetica" w:hAnsi="Helvetica"/>
                <w:color w:val="1A1A1A"/>
              </w:rPr>
            </w:pPr>
            <w:r w:rsidRPr="00010CE7">
              <w:rPr>
                <w:rFonts w:ascii="Helvetica" w:hAnsi="Helvetica"/>
                <w:b/>
                <w:color w:val="1A1A1A"/>
              </w:rPr>
              <w:t>Is ownership documented?</w:t>
            </w:r>
          </w:p>
        </w:tc>
        <w:tc>
          <w:tcPr>
            <w:tcW w:w="4680" w:type="dxa"/>
            <w:shd w:val="clear" w:color="auto" w:fill="FFFFFF" w:themeFill="background1"/>
            <w:vAlign w:val="center"/>
          </w:tcPr>
          <w:p w14:paraId="6F2CCBB6" w14:textId="10D7E097" w:rsidR="000A5A0F" w:rsidRPr="00010CE7" w:rsidRDefault="000A5A0F" w:rsidP="00010CE7">
            <w:pPr>
              <w:spacing w:line="300" w:lineRule="auto"/>
              <w:rPr>
                <w:rFonts w:ascii="Helvetica" w:hAnsi="Helvetica"/>
                <w:color w:val="1A1A1A"/>
              </w:rPr>
            </w:pPr>
            <w:r w:rsidRPr="00010CE7">
              <w:rPr>
                <w:rFonts w:ascii="Helvetica" w:hAnsi="Helvetica"/>
                <w:color w:val="1A1A1A"/>
              </w:rPr>
              <w:t>Investors and auditors need to know who controls the asset.</w:t>
            </w:r>
          </w:p>
        </w:tc>
      </w:tr>
      <w:tr w:rsidR="000A5A0F" w:rsidRPr="00010CE7" w14:paraId="65AD534C"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4290BEE6" w14:textId="71231D14" w:rsidR="000A5A0F" w:rsidRPr="00010CE7" w:rsidRDefault="000A5A0F" w:rsidP="00010CE7">
            <w:pPr>
              <w:spacing w:line="300" w:lineRule="auto"/>
              <w:rPr>
                <w:rFonts w:ascii="Helvetica" w:hAnsi="Helvetica"/>
                <w:color w:val="1A1A1A"/>
              </w:rPr>
            </w:pPr>
            <w:r w:rsidRPr="00010CE7">
              <w:rPr>
                <w:rFonts w:ascii="Helvetica" w:hAnsi="Helvetica"/>
                <w:b/>
                <w:color w:val="1A1A1A"/>
              </w:rPr>
              <w:t>Does the asset influence revenue, margin, retention, cost, or risk?</w:t>
            </w:r>
          </w:p>
        </w:tc>
        <w:tc>
          <w:tcPr>
            <w:tcW w:w="4680" w:type="dxa"/>
            <w:shd w:val="clear" w:color="auto" w:fill="F7F5F2"/>
            <w:vAlign w:val="center"/>
          </w:tcPr>
          <w:p w14:paraId="45F867A7" w14:textId="34A92AFF" w:rsidR="000A5A0F" w:rsidRPr="00010CE7" w:rsidRDefault="000A5A0F" w:rsidP="00010CE7">
            <w:pPr>
              <w:spacing w:line="300" w:lineRule="auto"/>
              <w:rPr>
                <w:rFonts w:ascii="Helvetica" w:hAnsi="Helvetica"/>
                <w:color w:val="1A1A1A"/>
              </w:rPr>
            </w:pPr>
            <w:r w:rsidRPr="00010CE7">
              <w:rPr>
                <w:rFonts w:ascii="Helvetica" w:hAnsi="Helvetica"/>
                <w:color w:val="1A1A1A"/>
              </w:rPr>
              <w:t>The valuation needs an economic link, not just a story.</w:t>
            </w:r>
          </w:p>
        </w:tc>
      </w:tr>
      <w:tr w:rsidR="000A5A0F" w:rsidRPr="00010CE7" w14:paraId="60B3DA3A"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45617E73" w14:textId="2172FFEE" w:rsidR="000A5A0F" w:rsidRPr="00010CE7" w:rsidRDefault="000A5A0F" w:rsidP="00010CE7">
            <w:pPr>
              <w:spacing w:line="300" w:lineRule="auto"/>
              <w:rPr>
                <w:rFonts w:ascii="Helvetica" w:hAnsi="Helvetica"/>
                <w:color w:val="1A1A1A"/>
              </w:rPr>
            </w:pPr>
            <w:r w:rsidRPr="00010CE7">
              <w:rPr>
                <w:rFonts w:ascii="Helvetica" w:hAnsi="Helvetica"/>
                <w:b/>
                <w:color w:val="1A1A1A"/>
              </w:rPr>
              <w:lastRenderedPageBreak/>
              <w:t>Is there supporting evidence?</w:t>
            </w:r>
          </w:p>
        </w:tc>
        <w:tc>
          <w:tcPr>
            <w:tcW w:w="4680" w:type="dxa"/>
            <w:shd w:val="clear" w:color="auto" w:fill="FFFFFF" w:themeFill="background1"/>
            <w:vAlign w:val="center"/>
          </w:tcPr>
          <w:p w14:paraId="483CD493" w14:textId="15377C30" w:rsidR="000A5A0F" w:rsidRPr="00010CE7" w:rsidRDefault="000A5A0F" w:rsidP="00010CE7">
            <w:pPr>
              <w:spacing w:line="300" w:lineRule="auto"/>
              <w:rPr>
                <w:rFonts w:ascii="Helvetica" w:hAnsi="Helvetica"/>
                <w:color w:val="1A1A1A"/>
              </w:rPr>
            </w:pPr>
            <w:r w:rsidRPr="00010CE7">
              <w:rPr>
                <w:rFonts w:ascii="Helvetica" w:hAnsi="Helvetica"/>
                <w:color w:val="1A1A1A"/>
              </w:rPr>
              <w:t>The stronger the evidence, the stronger the valuation narrative.</w:t>
            </w:r>
          </w:p>
        </w:tc>
      </w:tr>
      <w:tr w:rsidR="000A5A0F" w:rsidRPr="00010CE7" w14:paraId="3A111801"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7F5F2"/>
            <w:vAlign w:val="center"/>
          </w:tcPr>
          <w:p w14:paraId="6EC7C034" w14:textId="0B04742A" w:rsidR="000A5A0F" w:rsidRPr="00010CE7" w:rsidRDefault="000A5A0F" w:rsidP="00010CE7">
            <w:pPr>
              <w:spacing w:line="300" w:lineRule="auto"/>
              <w:rPr>
                <w:rFonts w:ascii="Helvetica" w:hAnsi="Helvetica"/>
                <w:b/>
                <w:color w:val="1A1A1A"/>
              </w:rPr>
            </w:pPr>
            <w:r w:rsidRPr="00010CE7">
              <w:rPr>
                <w:rFonts w:ascii="Helvetica" w:hAnsi="Helvetica"/>
                <w:b/>
                <w:color w:val="1A1A1A"/>
              </w:rPr>
              <w:t>Will the output be used in a real decision?</w:t>
            </w:r>
          </w:p>
        </w:tc>
        <w:tc>
          <w:tcPr>
            <w:tcW w:w="4680" w:type="dxa"/>
            <w:shd w:val="clear" w:color="auto" w:fill="F7F5F2"/>
            <w:vAlign w:val="center"/>
          </w:tcPr>
          <w:p w14:paraId="002582A1" w14:textId="3CCFB006" w:rsidR="000A5A0F" w:rsidRPr="00010CE7" w:rsidRDefault="000A5A0F" w:rsidP="00010CE7">
            <w:pPr>
              <w:spacing w:line="300" w:lineRule="auto"/>
              <w:rPr>
                <w:rFonts w:ascii="Helvetica" w:hAnsi="Helvetica"/>
                <w:color w:val="1A1A1A"/>
              </w:rPr>
            </w:pPr>
            <w:r w:rsidRPr="00010CE7">
              <w:rPr>
                <w:rFonts w:ascii="Helvetica" w:hAnsi="Helvetica"/>
                <w:color w:val="1A1A1A"/>
              </w:rPr>
              <w:t>Formal valuation work is most valuable when tied to a transaction, board process, or compliance need.</w:t>
            </w:r>
          </w:p>
        </w:tc>
      </w:tr>
      <w:tr w:rsidR="000A5A0F" w:rsidRPr="00010CE7" w14:paraId="1E1A5BC4" w14:textId="77777777" w:rsidTr="00245F27">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144" w:type="dxa"/>
            <w:left w:w="144" w:type="dxa"/>
            <w:bottom w:w="144" w:type="dxa"/>
            <w:right w:w="144" w:type="dxa"/>
          </w:tblCellMar>
        </w:tblPrEx>
        <w:tc>
          <w:tcPr>
            <w:tcW w:w="4670" w:type="dxa"/>
            <w:shd w:val="clear" w:color="auto" w:fill="FFFFFF" w:themeFill="background1"/>
            <w:vAlign w:val="center"/>
          </w:tcPr>
          <w:p w14:paraId="3CD2BD13" w14:textId="77777777" w:rsidR="000A5A0F" w:rsidRPr="00010CE7" w:rsidRDefault="000A5A0F" w:rsidP="00010CE7">
            <w:pPr>
              <w:spacing w:line="300" w:lineRule="auto"/>
              <w:rPr>
                <w:rFonts w:ascii="Helvetica" w:hAnsi="Helvetica"/>
                <w:b/>
                <w:color w:val="1A1A1A"/>
              </w:rPr>
            </w:pPr>
            <w:r w:rsidRPr="00010CE7">
              <w:rPr>
                <w:rFonts w:ascii="Helvetica" w:hAnsi="Helvetica"/>
                <w:b/>
                <w:color w:val="1A1A1A"/>
              </w:rPr>
              <w:t>Contracts</w:t>
            </w:r>
          </w:p>
        </w:tc>
        <w:tc>
          <w:tcPr>
            <w:tcW w:w="4680" w:type="dxa"/>
            <w:shd w:val="clear" w:color="auto" w:fill="FFFFFF" w:themeFill="background1"/>
            <w:vAlign w:val="center"/>
          </w:tcPr>
          <w:p w14:paraId="7BAC5A8A" w14:textId="77777777" w:rsidR="000A5A0F" w:rsidRPr="00010CE7" w:rsidRDefault="000A5A0F" w:rsidP="00010CE7">
            <w:pPr>
              <w:spacing w:line="300" w:lineRule="auto"/>
              <w:rPr>
                <w:rFonts w:ascii="Helvetica" w:hAnsi="Helvetica"/>
                <w:color w:val="1A1A1A"/>
              </w:rPr>
            </w:pPr>
            <w:r w:rsidRPr="00010CE7">
              <w:rPr>
                <w:rFonts w:ascii="Helvetica" w:hAnsi="Helvetica"/>
                <w:color w:val="1A1A1A"/>
              </w:rPr>
              <w:t>Signed agreements, term length, value, renewal rights, customer quality</w:t>
            </w:r>
          </w:p>
        </w:tc>
      </w:tr>
      <w:tr w:rsidR="00010CE7" w:rsidRPr="00010CE7" w14:paraId="0B08A59C" w14:textId="77777777" w:rsidTr="00245F27">
        <w:tc>
          <w:tcPr>
            <w:tcW w:w="9350" w:type="dxa"/>
            <w:gridSpan w:val="2"/>
          </w:tcPr>
          <w:p w14:paraId="51502783" w14:textId="77777777" w:rsidR="00010CE7" w:rsidRPr="00010CE7" w:rsidRDefault="00010CE7" w:rsidP="00010CE7">
            <w:pPr>
              <w:spacing w:line="300" w:lineRule="auto"/>
              <w:jc w:val="both"/>
              <w:rPr>
                <w:rFonts w:ascii="Helvetica" w:hAnsi="Helvetica"/>
                <w:color w:val="1A1A1A"/>
              </w:rPr>
            </w:pPr>
          </w:p>
        </w:tc>
      </w:tr>
      <w:tr w:rsidR="00010CE7" w:rsidRPr="00010CE7" w14:paraId="7789E271" w14:textId="77777777" w:rsidTr="00245F27">
        <w:trPr>
          <w:trHeight w:val="60"/>
        </w:trPr>
        <w:tc>
          <w:tcPr>
            <w:tcW w:w="9350" w:type="dxa"/>
            <w:gridSpan w:val="2"/>
          </w:tcPr>
          <w:p w14:paraId="65C5FD0E" w14:textId="77777777" w:rsidR="00010CE7" w:rsidRPr="00010CE7" w:rsidRDefault="00010CE7" w:rsidP="00010CE7">
            <w:pPr>
              <w:spacing w:line="300" w:lineRule="auto"/>
              <w:jc w:val="both"/>
              <w:rPr>
                <w:rFonts w:ascii="Helvetica" w:hAnsi="Helvetica"/>
                <w:color w:val="1A1A1A"/>
              </w:rPr>
            </w:pPr>
          </w:p>
        </w:tc>
      </w:tr>
    </w:tbl>
    <w:p w14:paraId="6FF93309" w14:textId="66FCEA92" w:rsidR="000A5A0F" w:rsidRDefault="00350144"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 xml:space="preserve">Section </w:t>
      </w:r>
      <w:r w:rsidR="000A5A0F" w:rsidRPr="00010CE7">
        <w:rPr>
          <w:rFonts w:ascii="Helvetica" w:hAnsi="Helvetica"/>
          <w:color w:val="1A1A1A"/>
          <w:sz w:val="20"/>
          <w:szCs w:val="20"/>
        </w:rPr>
        <w:t>0</w:t>
      </w:r>
      <w:r w:rsidR="007D5EEB" w:rsidRPr="00010CE7">
        <w:rPr>
          <w:rFonts w:ascii="Helvetica" w:hAnsi="Helvetica"/>
          <w:color w:val="1A1A1A"/>
          <w:sz w:val="20"/>
          <w:szCs w:val="20"/>
        </w:rPr>
        <w:t>6</w:t>
      </w:r>
    </w:p>
    <w:p w14:paraId="4E3587D1" w14:textId="77777777" w:rsidR="00010CE7" w:rsidRPr="00010CE7" w:rsidRDefault="00010CE7" w:rsidP="00010CE7">
      <w:pPr>
        <w:spacing w:after="0" w:line="300" w:lineRule="auto"/>
      </w:pPr>
    </w:p>
    <w:p w14:paraId="3DE7D0FA" w14:textId="4627D9A7" w:rsidR="00350144" w:rsidRPr="00010CE7" w:rsidRDefault="000A5A0F"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What should you do next?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7586"/>
        <w:gridCol w:w="70"/>
      </w:tblGrid>
      <w:tr w:rsidR="00350144" w:rsidRPr="00010CE7" w14:paraId="6252D6E9" w14:textId="77777777" w:rsidTr="00D25791">
        <w:tc>
          <w:tcPr>
            <w:tcW w:w="9360" w:type="dxa"/>
            <w:gridSpan w:val="3"/>
            <w:tcBorders>
              <w:bottom w:val="single" w:sz="6" w:space="0" w:color="E5E5E5"/>
            </w:tcBorders>
          </w:tcPr>
          <w:p w14:paraId="0148D653" w14:textId="77777777" w:rsidR="00350144" w:rsidRPr="00010CE7" w:rsidRDefault="00350144" w:rsidP="00010CE7">
            <w:pPr>
              <w:spacing w:line="300" w:lineRule="auto"/>
              <w:jc w:val="both"/>
              <w:rPr>
                <w:rFonts w:ascii="Helvetica" w:hAnsi="Helvetica"/>
                <w:color w:val="1A1A1A"/>
              </w:rPr>
            </w:pPr>
          </w:p>
        </w:tc>
      </w:tr>
      <w:tr w:rsidR="00350144" w:rsidRPr="00010CE7" w14:paraId="1C457663" w14:textId="77777777" w:rsidTr="00D25791">
        <w:trPr>
          <w:trHeight w:val="60"/>
        </w:trPr>
        <w:tc>
          <w:tcPr>
            <w:tcW w:w="9360" w:type="dxa"/>
            <w:gridSpan w:val="3"/>
            <w:tcBorders>
              <w:top w:val="single" w:sz="6" w:space="0" w:color="E5E5E5"/>
            </w:tcBorders>
          </w:tcPr>
          <w:p w14:paraId="1F0BA1A8" w14:textId="77777777" w:rsidR="00350144" w:rsidRPr="00010CE7" w:rsidRDefault="00350144" w:rsidP="00010CE7">
            <w:pPr>
              <w:spacing w:line="300" w:lineRule="auto"/>
              <w:jc w:val="both"/>
              <w:rPr>
                <w:rFonts w:ascii="Helvetica" w:hAnsi="Helvetica"/>
                <w:color w:val="1A1A1A"/>
              </w:rPr>
            </w:pPr>
          </w:p>
        </w:tc>
      </w:tr>
      <w:tr w:rsidR="00436FFF" w:rsidRPr="00010CE7" w14:paraId="5B985A16"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440622AE"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1</w:t>
            </w:r>
          </w:p>
        </w:tc>
        <w:tc>
          <w:tcPr>
            <w:tcW w:w="7656" w:type="dxa"/>
            <w:gridSpan w:val="2"/>
            <w:tcBorders>
              <w:top w:val="nil"/>
              <w:left w:val="nil"/>
              <w:bottom w:val="nil"/>
              <w:right w:val="nil"/>
            </w:tcBorders>
            <w:shd w:val="clear" w:color="auto" w:fill="F7F5F2"/>
            <w:vAlign w:val="center"/>
          </w:tcPr>
          <w:p w14:paraId="3A6D5570" w14:textId="77777777" w:rsidR="00436FFF" w:rsidRPr="00010CE7" w:rsidRDefault="00436FFF" w:rsidP="00010CE7">
            <w:pPr>
              <w:spacing w:line="300" w:lineRule="auto"/>
              <w:rPr>
                <w:rFonts w:ascii="Helvetica" w:hAnsi="Helvetica"/>
                <w:color w:val="1A1A1A"/>
              </w:rPr>
            </w:pPr>
            <w:r w:rsidRPr="00010CE7">
              <w:rPr>
                <w:rFonts w:ascii="Helvetica" w:hAnsi="Helvetica"/>
                <w:b/>
                <w:color w:val="1A1A1A"/>
              </w:rPr>
              <w:t>Map your intangible assets.</w:t>
            </w:r>
          </w:p>
          <w:p w14:paraId="0F737691" w14:textId="77777777" w:rsidR="00436FFF" w:rsidRPr="00010CE7" w:rsidRDefault="00436FFF" w:rsidP="00010CE7">
            <w:pPr>
              <w:spacing w:line="300" w:lineRule="auto"/>
              <w:rPr>
                <w:rFonts w:ascii="Helvetica" w:hAnsi="Helvetica"/>
                <w:b/>
                <w:color w:val="1A1A1A"/>
              </w:rPr>
            </w:pPr>
            <w:r w:rsidRPr="00010CE7">
              <w:rPr>
                <w:rFonts w:ascii="Helvetica" w:hAnsi="Helvetica"/>
                <w:color w:val="1A1A1A"/>
              </w:rPr>
              <w:t>List the assets your business has built that do not show up clearly in your financial statements. Focus on brand, customer base, technology, contracts, data, IP, and repeatable operating systems. Be specific. A named asset is easier to evaluate than a broad claim.</w:t>
            </w:r>
          </w:p>
        </w:tc>
      </w:tr>
      <w:tr w:rsidR="00436FFF" w:rsidRPr="00010CE7" w14:paraId="3F8D860B" w14:textId="77777777" w:rsidTr="00D25791">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7EC4EDC8"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t>Step 2</w:t>
            </w:r>
          </w:p>
        </w:tc>
        <w:tc>
          <w:tcPr>
            <w:tcW w:w="7656" w:type="dxa"/>
            <w:gridSpan w:val="2"/>
            <w:tcBorders>
              <w:top w:val="nil"/>
              <w:left w:val="nil"/>
              <w:bottom w:val="nil"/>
              <w:right w:val="nil"/>
            </w:tcBorders>
            <w:shd w:val="clear" w:color="auto" w:fill="FFFFFF" w:themeFill="background1"/>
            <w:vAlign w:val="center"/>
          </w:tcPr>
          <w:p w14:paraId="63E31228" w14:textId="77777777" w:rsidR="00436FFF" w:rsidRPr="00010CE7" w:rsidRDefault="00436FFF" w:rsidP="00010CE7">
            <w:pPr>
              <w:shd w:val="clear" w:color="auto" w:fill="FFFFFF" w:themeFill="background1"/>
              <w:spacing w:line="300" w:lineRule="auto"/>
              <w:rPr>
                <w:rFonts w:ascii="Helvetica" w:hAnsi="Helvetica"/>
                <w:color w:val="1A1A1A"/>
              </w:rPr>
            </w:pPr>
            <w:r w:rsidRPr="00010CE7">
              <w:rPr>
                <w:rFonts w:ascii="Helvetica" w:hAnsi="Helvetica"/>
                <w:b/>
                <w:color w:val="1A1A1A"/>
              </w:rPr>
              <w:t>Gather your evidence.</w:t>
            </w:r>
          </w:p>
          <w:p w14:paraId="193C7627" w14:textId="77777777" w:rsidR="00436FFF" w:rsidRPr="00010CE7" w:rsidRDefault="00436FFF" w:rsidP="00010CE7">
            <w:pPr>
              <w:spacing w:line="300" w:lineRule="auto"/>
              <w:rPr>
                <w:rFonts w:ascii="Helvetica" w:hAnsi="Helvetica"/>
                <w:b/>
                <w:color w:val="1A1A1A"/>
              </w:rPr>
            </w:pPr>
            <w:r w:rsidRPr="00010CE7">
              <w:rPr>
                <w:rFonts w:ascii="Helvetica" w:hAnsi="Helvetica"/>
                <w:color w:val="1A1A1A"/>
              </w:rPr>
              <w:t>Pull together existing documentation. This may include customer data, contracts, renewal history, technical documents, brand materials, registration records, usage metrics, board materials, and product documentation. The evidence does not need to be perfect before the first call. It needs to be visible enough for proper scoping.</w:t>
            </w:r>
          </w:p>
        </w:tc>
      </w:tr>
      <w:tr w:rsidR="00436FFF" w:rsidRPr="00010CE7" w14:paraId="3787CA54" w14:textId="77777777" w:rsidTr="00387FED">
        <w:tblPrEx>
          <w:tblBorders>
            <w:top w:val="single" w:sz="6" w:space="0" w:color="EFEDE8"/>
            <w:left w:val="single" w:sz="6" w:space="0" w:color="EFEDE8"/>
            <w:bottom w:val="single" w:sz="6" w:space="0" w:color="EFEDE8"/>
            <w:right w:val="single" w:sz="6" w:space="0" w:color="EFEDE8"/>
            <w:insideH w:val="single" w:sz="6" w:space="0" w:color="EFEDE8"/>
            <w:insideV w:val="single" w:sz="6" w:space="0" w:color="EFEDE8"/>
          </w:tblBorders>
          <w:tblCellMar>
            <w:top w:w="288" w:type="dxa"/>
            <w:left w:w="288" w:type="dxa"/>
            <w:bottom w:w="288" w:type="dxa"/>
            <w:right w:w="288" w:type="dxa"/>
          </w:tblCellMar>
        </w:tblPrEx>
        <w:tc>
          <w:tcPr>
            <w:tcW w:w="1704" w:type="dxa"/>
            <w:tcBorders>
              <w:top w:val="nil"/>
              <w:left w:val="nil"/>
              <w:bottom w:val="nil"/>
              <w:right w:val="nil"/>
            </w:tcBorders>
            <w:shd w:val="clear" w:color="auto" w:fill="174C3C"/>
            <w:vAlign w:val="center"/>
          </w:tcPr>
          <w:p w14:paraId="335C1F9A" w14:textId="77777777" w:rsidR="00436FFF" w:rsidRPr="00010CE7" w:rsidRDefault="00436FFF" w:rsidP="00010CE7">
            <w:pPr>
              <w:spacing w:line="300" w:lineRule="auto"/>
              <w:jc w:val="center"/>
              <w:rPr>
                <w:rFonts w:ascii="Helvetica" w:hAnsi="Helvetica"/>
                <w:b/>
                <w:color w:val="1A1A1A"/>
              </w:rPr>
            </w:pPr>
            <w:r w:rsidRPr="00010CE7">
              <w:rPr>
                <w:rFonts w:ascii="Helvetica" w:hAnsi="Helvetica"/>
                <w:bCs/>
                <w:color w:val="F7F5F2"/>
              </w:rPr>
              <w:lastRenderedPageBreak/>
              <w:t>Step 3</w:t>
            </w:r>
          </w:p>
        </w:tc>
        <w:tc>
          <w:tcPr>
            <w:tcW w:w="7656" w:type="dxa"/>
            <w:gridSpan w:val="2"/>
            <w:tcBorders>
              <w:top w:val="nil"/>
              <w:left w:val="nil"/>
              <w:bottom w:val="nil"/>
              <w:right w:val="nil"/>
            </w:tcBorders>
            <w:shd w:val="clear" w:color="auto" w:fill="F7F5F2"/>
            <w:vAlign w:val="center"/>
          </w:tcPr>
          <w:p w14:paraId="703514FC" w14:textId="77777777" w:rsidR="00436FFF" w:rsidRPr="00010CE7" w:rsidRDefault="00436FFF" w:rsidP="00010CE7">
            <w:pPr>
              <w:spacing w:line="300" w:lineRule="auto"/>
              <w:rPr>
                <w:rFonts w:ascii="Helvetica" w:hAnsi="Helvetica"/>
                <w:color w:val="1A1A1A"/>
              </w:rPr>
            </w:pPr>
            <w:r w:rsidRPr="00010CE7">
              <w:rPr>
                <w:rFonts w:ascii="Helvetica" w:hAnsi="Helvetica"/>
                <w:b/>
                <w:color w:val="1A1A1A"/>
              </w:rPr>
              <w:t>Decide whether timing matters.</w:t>
            </w:r>
          </w:p>
          <w:p w14:paraId="3F72F0AC" w14:textId="77777777" w:rsidR="00436FFF" w:rsidRPr="00010CE7" w:rsidRDefault="00436FFF" w:rsidP="00010CE7">
            <w:pPr>
              <w:spacing w:line="300" w:lineRule="auto"/>
              <w:rPr>
                <w:rFonts w:ascii="Helvetica" w:hAnsi="Helvetica"/>
                <w:b/>
                <w:color w:val="1A1A1A"/>
              </w:rPr>
            </w:pPr>
            <w:r w:rsidRPr="00010CE7">
              <w:rPr>
                <w:rFonts w:ascii="Helvetica" w:hAnsi="Helvetica"/>
                <w:color w:val="1A1A1A"/>
              </w:rPr>
              <w:t>If you are speaking to investors within the next 3 to 6 months, valuation preparation should be treated as urgent. If your fundraising process is further away, the work can be staged, starting with an asset map and evidence gap review before moving into formal valuation.</w:t>
            </w:r>
          </w:p>
        </w:tc>
      </w:tr>
      <w:tr w:rsidR="00436FFF" w:rsidRPr="00010CE7" w14:paraId="4343BAF5" w14:textId="77777777" w:rsidTr="00C9796D">
        <w:trPr>
          <w:gridAfter w:val="1"/>
          <w:wAfter w:w="70" w:type="dxa"/>
        </w:trPr>
        <w:tc>
          <w:tcPr>
            <w:tcW w:w="9290" w:type="dxa"/>
            <w:gridSpan w:val="2"/>
          </w:tcPr>
          <w:p w14:paraId="05C0748B" w14:textId="77777777" w:rsidR="00436FFF" w:rsidRPr="00010CE7" w:rsidRDefault="00436FFF" w:rsidP="00010CE7">
            <w:pPr>
              <w:spacing w:line="300" w:lineRule="auto"/>
              <w:jc w:val="both"/>
              <w:rPr>
                <w:rFonts w:ascii="Helvetica" w:hAnsi="Helvetica"/>
                <w:color w:val="1A1A1A"/>
              </w:rPr>
            </w:pPr>
          </w:p>
        </w:tc>
      </w:tr>
      <w:tr w:rsidR="00436FFF" w:rsidRPr="00010CE7" w14:paraId="6EB72282" w14:textId="77777777" w:rsidTr="00C9796D">
        <w:trPr>
          <w:gridAfter w:val="1"/>
          <w:wAfter w:w="70" w:type="dxa"/>
          <w:trHeight w:val="60"/>
        </w:trPr>
        <w:tc>
          <w:tcPr>
            <w:tcW w:w="9290" w:type="dxa"/>
            <w:gridSpan w:val="2"/>
          </w:tcPr>
          <w:p w14:paraId="18682744" w14:textId="77777777" w:rsidR="00436FFF" w:rsidRPr="00010CE7" w:rsidRDefault="00436FFF" w:rsidP="00010CE7">
            <w:pPr>
              <w:spacing w:line="300" w:lineRule="auto"/>
              <w:jc w:val="both"/>
              <w:rPr>
                <w:rFonts w:ascii="Helvetica" w:hAnsi="Helvetica"/>
                <w:color w:val="1A1A1A"/>
              </w:rPr>
            </w:pPr>
          </w:p>
        </w:tc>
      </w:tr>
    </w:tbl>
    <w:p w14:paraId="63D61A33" w14:textId="10E1CF47" w:rsidR="002C145D" w:rsidRDefault="002C145D" w:rsidP="00010CE7">
      <w:pPr>
        <w:pStyle w:val="Heading2"/>
        <w:spacing w:before="0" w:after="0" w:line="300" w:lineRule="auto"/>
        <w:jc w:val="both"/>
        <w:rPr>
          <w:rFonts w:ascii="Helvetica" w:hAnsi="Helvetica"/>
          <w:color w:val="1A1A1A"/>
          <w:sz w:val="20"/>
          <w:szCs w:val="20"/>
        </w:rPr>
      </w:pPr>
      <w:r w:rsidRPr="00010CE7">
        <w:rPr>
          <w:rFonts w:ascii="Helvetica" w:hAnsi="Helvetica"/>
          <w:color w:val="1A1A1A"/>
          <w:sz w:val="20"/>
          <w:szCs w:val="20"/>
        </w:rPr>
        <w:t>Section 0</w:t>
      </w:r>
      <w:r w:rsidR="005F5D53">
        <w:rPr>
          <w:rFonts w:ascii="Helvetica" w:hAnsi="Helvetica"/>
          <w:color w:val="1A1A1A"/>
          <w:sz w:val="20"/>
          <w:szCs w:val="20"/>
        </w:rPr>
        <w:t>7</w:t>
      </w:r>
    </w:p>
    <w:p w14:paraId="6F7C1E73" w14:textId="77777777" w:rsidR="00010CE7" w:rsidRPr="00010CE7" w:rsidRDefault="00010CE7" w:rsidP="00010CE7">
      <w:pPr>
        <w:spacing w:after="0" w:line="300" w:lineRule="auto"/>
      </w:pPr>
    </w:p>
    <w:p w14:paraId="27B80426" w14:textId="106D4444" w:rsidR="002C145D" w:rsidRPr="00010CE7" w:rsidRDefault="002C145D" w:rsidP="00010CE7">
      <w:pPr>
        <w:pStyle w:val="Heading2"/>
        <w:spacing w:before="0" w:after="0" w:line="240" w:lineRule="auto"/>
        <w:jc w:val="both"/>
        <w:rPr>
          <w:rFonts w:ascii="Helvetica" w:hAnsi="Helvetica"/>
          <w:color w:val="174C3C"/>
          <w:sz w:val="40"/>
          <w:szCs w:val="40"/>
        </w:rPr>
      </w:pPr>
      <w:r w:rsidRPr="00010CE7">
        <w:rPr>
          <w:rFonts w:ascii="Helvetica" w:hAnsi="Helvetica"/>
          <w:color w:val="174C3C"/>
          <w:sz w:val="40"/>
          <w:szCs w:val="40"/>
        </w:rPr>
        <w:t>Ready to build a stronger valuation 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C145D" w:rsidRPr="00010CE7" w14:paraId="3674DFD1" w14:textId="77777777" w:rsidTr="00D25791">
        <w:tc>
          <w:tcPr>
            <w:tcW w:w="9350" w:type="dxa"/>
            <w:tcBorders>
              <w:bottom w:val="single" w:sz="6" w:space="0" w:color="E5E5E5"/>
            </w:tcBorders>
          </w:tcPr>
          <w:p w14:paraId="5983F5AD" w14:textId="77777777" w:rsidR="002C145D" w:rsidRPr="00010CE7" w:rsidRDefault="002C145D" w:rsidP="00010CE7">
            <w:pPr>
              <w:spacing w:line="300" w:lineRule="auto"/>
              <w:jc w:val="both"/>
              <w:rPr>
                <w:rFonts w:ascii="Helvetica" w:hAnsi="Helvetica"/>
                <w:color w:val="1A1A1A"/>
              </w:rPr>
            </w:pPr>
          </w:p>
        </w:tc>
      </w:tr>
      <w:tr w:rsidR="002C145D" w:rsidRPr="00010CE7" w14:paraId="6FD376DA" w14:textId="77777777" w:rsidTr="00D25791">
        <w:trPr>
          <w:trHeight w:val="60"/>
        </w:trPr>
        <w:tc>
          <w:tcPr>
            <w:tcW w:w="9350" w:type="dxa"/>
            <w:tcBorders>
              <w:top w:val="single" w:sz="6" w:space="0" w:color="E5E5E5"/>
            </w:tcBorders>
          </w:tcPr>
          <w:p w14:paraId="3CBB12F8" w14:textId="77777777" w:rsidR="0025713E" w:rsidRPr="00010CE7" w:rsidRDefault="0025713E" w:rsidP="00010CE7">
            <w:pPr>
              <w:spacing w:line="300" w:lineRule="auto"/>
              <w:jc w:val="both"/>
              <w:rPr>
                <w:rFonts w:ascii="Helvetica" w:hAnsi="Helvetica"/>
                <w:color w:val="1A1A1A"/>
              </w:rPr>
            </w:pPr>
          </w:p>
        </w:tc>
      </w:tr>
    </w:tbl>
    <w:p w14:paraId="31B6A80A" w14:textId="3DAD5E54" w:rsidR="002C145D" w:rsidRPr="00010CE7" w:rsidRDefault="00A93348" w:rsidP="00010CE7">
      <w:pPr>
        <w:spacing w:after="0" w:line="300" w:lineRule="auto"/>
        <w:jc w:val="both"/>
        <w:rPr>
          <w:rFonts w:ascii="Helvetica" w:hAnsi="Helvetica"/>
          <w:color w:val="1A1A1A"/>
        </w:rPr>
      </w:pPr>
      <w:r w:rsidRPr="00010CE7">
        <w:rPr>
          <w:rFonts w:ascii="Helvetica" w:hAnsi="Helvetica"/>
          <w:color w:val="1A1A1A"/>
        </w:rPr>
        <w:t>I</w:t>
      </w:r>
      <w:r w:rsidR="002C145D" w:rsidRPr="00010CE7">
        <w:rPr>
          <w:rFonts w:ascii="Helvetica" w:hAnsi="Helvetica"/>
          <w:color w:val="1A1A1A"/>
        </w:rPr>
        <w:t>f you are preparing for fundraising, M&amp;A, board reporting, ESOP planning, or any situation where enterprise value needs to be explained with more discipline than a simple multiple.</w:t>
      </w:r>
      <w:r w:rsidRPr="00010CE7">
        <w:rPr>
          <w:rFonts w:ascii="Helvetica" w:hAnsi="Helvetica"/>
          <w:color w:val="1A1A1A"/>
        </w:rPr>
        <w:t xml:space="preserve"> </w:t>
      </w:r>
      <w:r w:rsidR="002C145D" w:rsidRPr="00010CE7">
        <w:rPr>
          <w:rFonts w:ascii="Helvetica" w:hAnsi="Helvetica"/>
          <w:color w:val="1A1A1A"/>
        </w:rPr>
        <w:t>We will walk through your business, identify the intangible assets worth reviewing, and give you a clear view of whether a sum of parts valuation could strengthen your investor or board narrative.</w:t>
      </w:r>
    </w:p>
    <w:p w14:paraId="1C94D85F" w14:textId="77777777" w:rsidR="002C145D" w:rsidRPr="00010CE7" w:rsidRDefault="002C145D" w:rsidP="00010CE7">
      <w:pPr>
        <w:spacing w:after="0" w:line="300" w:lineRule="auto"/>
        <w:jc w:val="both"/>
        <w:rPr>
          <w:rFonts w:ascii="Helvetica" w:hAnsi="Helvetica"/>
          <w:color w:val="1A1A1A"/>
        </w:rPr>
      </w:pPr>
    </w:p>
    <w:p w14:paraId="58E8C478" w14:textId="3D7011B0" w:rsidR="00A93348" w:rsidRPr="00010CE7" w:rsidRDefault="00A93348" w:rsidP="00010CE7">
      <w:pPr>
        <w:spacing w:after="0" w:line="300" w:lineRule="auto"/>
        <w:jc w:val="both"/>
        <w:rPr>
          <w:rFonts w:ascii="Helvetica" w:hAnsi="Helvetica"/>
          <w:color w:val="1A1A1A"/>
        </w:rPr>
      </w:pPr>
      <w:r w:rsidRPr="00010CE7">
        <w:rPr>
          <w:rFonts w:ascii="Helvetica" w:hAnsi="Helvetica"/>
          <w:color w:val="1A1A1A"/>
        </w:rPr>
        <w:t xml:space="preserve">Book a call with Bain Squared </w:t>
      </w:r>
      <w:hyperlink r:id="rId7" w:history="1">
        <w:r w:rsidRPr="00010CE7">
          <w:rPr>
            <w:rStyle w:val="Hyperlink"/>
            <w:rFonts w:ascii="Helvetica" w:hAnsi="Helvetica"/>
          </w:rPr>
          <w:t>here</w:t>
        </w:r>
      </w:hyperlink>
      <w:r w:rsidRPr="00010CE7">
        <w:rPr>
          <w:rFonts w:ascii="Helvetica" w:hAnsi="Helvetica"/>
          <w:color w:val="1A1A1A"/>
        </w:rPr>
        <w:t>.</w:t>
      </w:r>
    </w:p>
    <w:p w14:paraId="0C1B59B4" w14:textId="77777777" w:rsidR="00031859" w:rsidRPr="00010CE7" w:rsidRDefault="00031859" w:rsidP="00010CE7">
      <w:pPr>
        <w:spacing w:after="0" w:line="300" w:lineRule="auto"/>
        <w:jc w:val="both"/>
        <w:rPr>
          <w:rFonts w:ascii="Helvetica" w:hAnsi="Helvetica"/>
          <w:color w:val="1A1A1A"/>
        </w:rPr>
      </w:pPr>
    </w:p>
    <w:sectPr w:rsidR="00031859" w:rsidRPr="00010CE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D8C3" w14:textId="77777777" w:rsidR="00B8724F" w:rsidRDefault="00B8724F" w:rsidP="000A5A0F">
      <w:pPr>
        <w:spacing w:after="0" w:line="240" w:lineRule="auto"/>
      </w:pPr>
      <w:r>
        <w:separator/>
      </w:r>
    </w:p>
  </w:endnote>
  <w:endnote w:type="continuationSeparator" w:id="0">
    <w:p w14:paraId="133857A4" w14:textId="77777777" w:rsidR="00B8724F" w:rsidRDefault="00B8724F" w:rsidP="000A5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D629" w14:textId="77777777" w:rsidR="001100F8" w:rsidRPr="001100F8" w:rsidRDefault="001100F8" w:rsidP="001100F8">
    <w:pPr>
      <w:pBdr>
        <w:top w:val="single" w:sz="4" w:space="6" w:color="CCCCCC"/>
      </w:pBdr>
      <w:tabs>
        <w:tab w:val="right" w:pos="9000"/>
      </w:tabs>
      <w:rPr>
        <w:rFonts w:ascii="Helvetica" w:hAnsi="Helvetica"/>
        <w:color w:val="1A1A1A"/>
        <w:sz w:val="32"/>
        <w:szCs w:val="32"/>
      </w:rPr>
    </w:pPr>
    <w:r w:rsidRPr="001100F8">
      <w:rPr>
        <w:rFonts w:ascii="Arial" w:eastAsia="Arial" w:hAnsi="Arial" w:cs="Arial"/>
        <w:color w:val="808080" w:themeColor="background1" w:themeShade="80"/>
        <w:sz w:val="16"/>
        <w:szCs w:val="16"/>
      </w:rPr>
      <w:t>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D3DA" w14:textId="00C44D75" w:rsidR="001100F8" w:rsidRPr="00031859" w:rsidRDefault="001100F8" w:rsidP="001100F8">
    <w:pPr>
      <w:pBdr>
        <w:top w:val="single" w:sz="4" w:space="6" w:color="CCCCCC"/>
      </w:pBdr>
      <w:tabs>
        <w:tab w:val="right" w:pos="9000"/>
      </w:tabs>
      <w:rPr>
        <w:rFonts w:ascii="Helvetica" w:hAnsi="Helvetica"/>
        <w:color w:val="1A1A1A"/>
        <w:sz w:val="16"/>
        <w:szCs w:val="16"/>
      </w:rPr>
    </w:pPr>
    <w:r w:rsidRPr="00031859">
      <w:rPr>
        <w:rFonts w:ascii="Helvetica" w:eastAsia="Arial" w:hAnsi="Helvetica" w:cs="Arial"/>
        <w:color w:val="1A1A1A"/>
        <w:sz w:val="16"/>
        <w:szCs w:val="16"/>
      </w:rPr>
      <w:t>2</w:t>
    </w:r>
    <w:r w:rsidR="00031859" w:rsidRPr="00031859">
      <w:rPr>
        <w:rFonts w:ascii="Helvetica" w:eastAsia="Arial" w:hAnsi="Helvetica" w:cs="Arial"/>
        <w:color w:val="1A1A1A"/>
        <w:sz w:val="16"/>
        <w:szCs w:val="16"/>
      </w:rPr>
      <w:t>02</w:t>
    </w:r>
    <w:r w:rsidRPr="00031859">
      <w:rPr>
        <w:rFonts w:ascii="Helvetica" w:eastAsia="Arial" w:hAnsi="Helvetica" w:cs="Arial"/>
        <w:color w:val="1A1A1A"/>
        <w:sz w:val="16"/>
        <w:szCs w:val="16"/>
      </w:rPr>
      <w:t xml:space="preserve">6 Bain Squared | </w:t>
    </w:r>
    <w:hyperlink r:id="rId1" w:history="1">
      <w:r w:rsidRPr="00031859">
        <w:rPr>
          <w:rStyle w:val="Hyperlink"/>
          <w:rFonts w:ascii="Helvetica" w:eastAsia="Arial" w:hAnsi="Helvetica" w:cs="Arial"/>
          <w:color w:val="1A1A1A"/>
          <w:sz w:val="16"/>
          <w:szCs w:val="16"/>
        </w:rPr>
        <w:t>www.bainsquared.com</w:t>
      </w:r>
    </w:hyperlink>
    <w:r w:rsidRPr="00031859">
      <w:rPr>
        <w:rFonts w:ascii="Helvetica" w:eastAsia="Arial" w:hAnsi="Helvetica" w:cs="Arial"/>
        <w:color w:val="1A1A1A"/>
        <w:sz w:val="16"/>
        <w:szCs w:val="16"/>
      </w:rPr>
      <w:t xml:space="preserve"> </w:t>
    </w:r>
    <w:r w:rsidRPr="00031859">
      <w:rPr>
        <w:rFonts w:ascii="Helvetica" w:eastAsia="Arial" w:hAnsi="Helvetica" w:cs="Arial"/>
        <w:color w:val="1A1A1A"/>
        <w:sz w:val="16"/>
        <w:szCs w:val="16"/>
      </w:rPr>
      <w:tab/>
      <w:t xml:space="preserve">Page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PAGE</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w:t>
    </w:r>
    <w:r w:rsidRPr="00031859">
      <w:rPr>
        <w:rFonts w:ascii="Helvetica" w:eastAsia="Arial" w:hAnsi="Helvetica" w:cs="Arial"/>
        <w:color w:val="1A1A1A"/>
        <w:sz w:val="16"/>
        <w:szCs w:val="16"/>
      </w:rPr>
      <w:fldChar w:fldCharType="end"/>
    </w:r>
    <w:r w:rsidRPr="00031859">
      <w:rPr>
        <w:rFonts w:ascii="Helvetica" w:eastAsia="Arial" w:hAnsi="Helvetica" w:cs="Arial"/>
        <w:color w:val="1A1A1A"/>
        <w:sz w:val="16"/>
        <w:szCs w:val="16"/>
      </w:rPr>
      <w:t xml:space="preserve"> of </w:t>
    </w:r>
    <w:r w:rsidRPr="00031859">
      <w:rPr>
        <w:rFonts w:ascii="Helvetica" w:eastAsia="Arial" w:hAnsi="Helvetica" w:cs="Arial"/>
        <w:color w:val="1A1A1A"/>
        <w:sz w:val="16"/>
        <w:szCs w:val="16"/>
      </w:rPr>
      <w:fldChar w:fldCharType="begin"/>
    </w:r>
    <w:r w:rsidRPr="00031859">
      <w:rPr>
        <w:rFonts w:ascii="Helvetica" w:eastAsia="Arial" w:hAnsi="Helvetica" w:cs="Arial"/>
        <w:color w:val="1A1A1A"/>
        <w:sz w:val="16"/>
        <w:szCs w:val="16"/>
      </w:rPr>
      <w:instrText>NUMPAGES</w:instrText>
    </w:r>
    <w:r w:rsidRPr="00031859">
      <w:rPr>
        <w:rFonts w:ascii="Helvetica" w:eastAsia="Arial" w:hAnsi="Helvetica" w:cs="Arial"/>
        <w:color w:val="1A1A1A"/>
        <w:sz w:val="16"/>
        <w:szCs w:val="16"/>
      </w:rPr>
      <w:fldChar w:fldCharType="separate"/>
    </w:r>
    <w:r w:rsidRPr="00031859">
      <w:rPr>
        <w:rFonts w:ascii="Helvetica" w:eastAsia="Arial" w:hAnsi="Helvetica" w:cs="Arial"/>
        <w:color w:val="1A1A1A"/>
        <w:sz w:val="16"/>
        <w:szCs w:val="16"/>
      </w:rPr>
      <w:t>16</w:t>
    </w:r>
    <w:r w:rsidRPr="00031859">
      <w:rPr>
        <w:rFonts w:ascii="Helvetica" w:eastAsia="Arial" w:hAnsi="Helvetica" w:cs="Arial"/>
        <w:color w:val="1A1A1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43C6" w14:textId="77777777" w:rsidR="00245F27" w:rsidRDefault="00245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1DBC" w14:textId="77777777" w:rsidR="00B8724F" w:rsidRDefault="00B8724F" w:rsidP="000A5A0F">
      <w:pPr>
        <w:spacing w:after="0" w:line="240" w:lineRule="auto"/>
      </w:pPr>
      <w:r>
        <w:separator/>
      </w:r>
    </w:p>
  </w:footnote>
  <w:footnote w:type="continuationSeparator" w:id="0">
    <w:p w14:paraId="7DFB84D2" w14:textId="77777777" w:rsidR="00B8724F" w:rsidRDefault="00B8724F" w:rsidP="000A5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B56" w14:textId="77777777" w:rsidR="000A5A0F" w:rsidRDefault="000A5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2B1C" w14:textId="5771439C" w:rsidR="00031859" w:rsidRPr="00031859" w:rsidRDefault="00C04B8F" w:rsidP="00031859">
    <w:pPr>
      <w:pBdr>
        <w:bottom w:val="single" w:sz="4" w:space="6" w:color="CCCCCC"/>
      </w:pBdr>
      <w:tabs>
        <w:tab w:val="right" w:pos="9000"/>
      </w:tabs>
      <w:jc w:val="right"/>
      <w:rPr>
        <w:rFonts w:ascii="Helvetica" w:hAnsi="Helvetica"/>
        <w:color w:val="1A1A1A"/>
        <w:sz w:val="16"/>
        <w:szCs w:val="16"/>
      </w:rPr>
    </w:pPr>
    <w:r w:rsidRPr="00C04B8F">
      <w:rPr>
        <w:rFonts w:ascii="Helvetica" w:hAnsi="Helvetica"/>
        <w:color w:val="1A1A1A"/>
        <w:sz w:val="16"/>
        <w:szCs w:val="16"/>
      </w:rPr>
      <w:t xml:space="preserve">Intangibles </w:t>
    </w:r>
    <w:r w:rsidR="00031859" w:rsidRPr="00031859">
      <w:rPr>
        <w:rFonts w:ascii="Helvetica" w:hAnsi="Helvetica"/>
        <w:color w:val="1A1A1A"/>
        <w:sz w:val="16"/>
        <w:szCs w:val="16"/>
      </w:rPr>
      <w:t>Value Advisory Report: The Fundraising Valuation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283B" w14:textId="77777777" w:rsidR="000A5A0F" w:rsidRDefault="000A5A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5C"/>
    <w:rsid w:val="00010CE7"/>
    <w:rsid w:val="000254D9"/>
    <w:rsid w:val="00031859"/>
    <w:rsid w:val="000426D4"/>
    <w:rsid w:val="000A5A0F"/>
    <w:rsid w:val="000C2FD7"/>
    <w:rsid w:val="001100F8"/>
    <w:rsid w:val="00164E92"/>
    <w:rsid w:val="001F3551"/>
    <w:rsid w:val="00215712"/>
    <w:rsid w:val="00245F27"/>
    <w:rsid w:val="0025713E"/>
    <w:rsid w:val="00293358"/>
    <w:rsid w:val="002A3DAD"/>
    <w:rsid w:val="002C145D"/>
    <w:rsid w:val="00350144"/>
    <w:rsid w:val="00382DC8"/>
    <w:rsid w:val="00387FED"/>
    <w:rsid w:val="003C3BF5"/>
    <w:rsid w:val="00435F90"/>
    <w:rsid w:val="00436FFF"/>
    <w:rsid w:val="00501D0A"/>
    <w:rsid w:val="005B3A89"/>
    <w:rsid w:val="005F4112"/>
    <w:rsid w:val="005F5D53"/>
    <w:rsid w:val="0060274C"/>
    <w:rsid w:val="00635A80"/>
    <w:rsid w:val="006A7B5C"/>
    <w:rsid w:val="0073709B"/>
    <w:rsid w:val="007D5EEB"/>
    <w:rsid w:val="008B4850"/>
    <w:rsid w:val="008E2A6F"/>
    <w:rsid w:val="009429BB"/>
    <w:rsid w:val="00965E5F"/>
    <w:rsid w:val="009B22F9"/>
    <w:rsid w:val="009E58F1"/>
    <w:rsid w:val="00A1627F"/>
    <w:rsid w:val="00A93348"/>
    <w:rsid w:val="00B45EA6"/>
    <w:rsid w:val="00B8020A"/>
    <w:rsid w:val="00B8724F"/>
    <w:rsid w:val="00BC101C"/>
    <w:rsid w:val="00C04B8F"/>
    <w:rsid w:val="00D25791"/>
    <w:rsid w:val="00D74AE5"/>
    <w:rsid w:val="00E82BCD"/>
    <w:rsid w:val="00E84056"/>
    <w:rsid w:val="00F20E26"/>
    <w:rsid w:val="00FD495A"/>
    <w:rsid w:val="00FF5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8C0BD"/>
  <w15:chartTrackingRefBased/>
  <w15:docId w15:val="{5D278724-BBCF-9A41-9D02-B8962BCD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B5C"/>
    <w:rPr>
      <w:rFonts w:eastAsiaTheme="majorEastAsia" w:cstheme="majorBidi"/>
      <w:color w:val="272727" w:themeColor="text1" w:themeTint="D8"/>
    </w:rPr>
  </w:style>
  <w:style w:type="paragraph" w:styleId="Title">
    <w:name w:val="Title"/>
    <w:basedOn w:val="Normal"/>
    <w:next w:val="Normal"/>
    <w:link w:val="TitleChar"/>
    <w:uiPriority w:val="10"/>
    <w:qFormat/>
    <w:rsid w:val="006A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B5C"/>
    <w:pPr>
      <w:spacing w:before="160"/>
      <w:jc w:val="center"/>
    </w:pPr>
    <w:rPr>
      <w:i/>
      <w:iCs/>
      <w:color w:val="404040" w:themeColor="text1" w:themeTint="BF"/>
    </w:rPr>
  </w:style>
  <w:style w:type="character" w:customStyle="1" w:styleId="QuoteChar">
    <w:name w:val="Quote Char"/>
    <w:basedOn w:val="DefaultParagraphFont"/>
    <w:link w:val="Quote"/>
    <w:uiPriority w:val="29"/>
    <w:rsid w:val="006A7B5C"/>
    <w:rPr>
      <w:i/>
      <w:iCs/>
      <w:color w:val="404040" w:themeColor="text1" w:themeTint="BF"/>
    </w:rPr>
  </w:style>
  <w:style w:type="paragraph" w:styleId="ListParagraph">
    <w:name w:val="List Paragraph"/>
    <w:basedOn w:val="Normal"/>
    <w:uiPriority w:val="34"/>
    <w:qFormat/>
    <w:rsid w:val="006A7B5C"/>
    <w:pPr>
      <w:ind w:left="720"/>
      <w:contextualSpacing/>
    </w:pPr>
  </w:style>
  <w:style w:type="character" w:styleId="IntenseEmphasis">
    <w:name w:val="Intense Emphasis"/>
    <w:basedOn w:val="DefaultParagraphFont"/>
    <w:uiPriority w:val="21"/>
    <w:qFormat/>
    <w:rsid w:val="006A7B5C"/>
    <w:rPr>
      <w:i/>
      <w:iCs/>
      <w:color w:val="0F4761" w:themeColor="accent1" w:themeShade="BF"/>
    </w:rPr>
  </w:style>
  <w:style w:type="paragraph" w:styleId="IntenseQuote">
    <w:name w:val="Intense Quote"/>
    <w:basedOn w:val="Normal"/>
    <w:next w:val="Normal"/>
    <w:link w:val="IntenseQuoteChar"/>
    <w:uiPriority w:val="30"/>
    <w:qFormat/>
    <w:rsid w:val="006A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B5C"/>
    <w:rPr>
      <w:i/>
      <w:iCs/>
      <w:color w:val="0F4761" w:themeColor="accent1" w:themeShade="BF"/>
    </w:rPr>
  </w:style>
  <w:style w:type="character" w:styleId="IntenseReference">
    <w:name w:val="Intense Reference"/>
    <w:basedOn w:val="DefaultParagraphFont"/>
    <w:uiPriority w:val="32"/>
    <w:qFormat/>
    <w:rsid w:val="006A7B5C"/>
    <w:rPr>
      <w:b/>
      <w:bCs/>
      <w:smallCaps/>
      <w:color w:val="0F4761" w:themeColor="accent1" w:themeShade="BF"/>
      <w:spacing w:val="5"/>
    </w:rPr>
  </w:style>
  <w:style w:type="table" w:styleId="TableGrid">
    <w:name w:val="Table Grid"/>
    <w:basedOn w:val="TableNormal"/>
    <w:uiPriority w:val="59"/>
    <w:rsid w:val="006A7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5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A0F"/>
  </w:style>
  <w:style w:type="paragraph" w:styleId="Footer">
    <w:name w:val="footer"/>
    <w:basedOn w:val="Normal"/>
    <w:link w:val="FooterChar"/>
    <w:uiPriority w:val="99"/>
    <w:unhideWhenUsed/>
    <w:rsid w:val="000A5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A0F"/>
  </w:style>
  <w:style w:type="character" w:styleId="Hyperlink">
    <w:name w:val="Hyperlink"/>
    <w:basedOn w:val="DefaultParagraphFont"/>
    <w:uiPriority w:val="99"/>
    <w:unhideWhenUsed/>
    <w:rsid w:val="001100F8"/>
    <w:rPr>
      <w:color w:val="467886" w:themeColor="hyperlink"/>
      <w:u w:val="single"/>
    </w:rPr>
  </w:style>
  <w:style w:type="character" w:styleId="UnresolvedMention">
    <w:name w:val="Unresolved Mention"/>
    <w:basedOn w:val="DefaultParagraphFont"/>
    <w:uiPriority w:val="99"/>
    <w:semiHidden/>
    <w:unhideWhenUsed/>
    <w:rsid w:val="00110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al.com/bain-squared/ia-valuation"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bainsqua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Tan</dc:creator>
  <cp:keywords/>
  <dc:description/>
  <cp:lastModifiedBy>Nicholas Tan</cp:lastModifiedBy>
  <cp:revision>3</cp:revision>
  <cp:lastPrinted>2026-05-05T08:31:00Z</cp:lastPrinted>
  <dcterms:created xsi:type="dcterms:W3CDTF">2026-05-05T08:31:00Z</dcterms:created>
  <dcterms:modified xsi:type="dcterms:W3CDTF">2026-05-05T08:31:00Z</dcterms:modified>
</cp:coreProperties>
</file>