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5F2"/>
  <w:body>
    <w:p w14:paraId="58412447" w14:textId="03A3FB93" w:rsidR="007D5EEB" w:rsidRPr="00010CE7" w:rsidRDefault="00031859" w:rsidP="00010CE7">
      <w:pPr>
        <w:spacing w:after="0" w:line="300" w:lineRule="auto"/>
        <w:jc w:val="both"/>
        <w:rPr>
          <w:rFonts w:ascii="Helvetica" w:hAnsi="Helvetica"/>
          <w:color w:val="F7F5F2"/>
        </w:rPr>
      </w:pPr>
      <w:r w:rsidRPr="00010CE7">
        <w:rPr>
          <w:rFonts w:ascii="Helvetica" w:hAnsi="Helvetica"/>
          <w:noProof/>
          <w:color w:val="F7F5F2"/>
        </w:rPr>
        <mc:AlternateContent>
          <mc:Choice Requires="wps">
            <w:drawing>
              <wp:anchor distT="0" distB="0" distL="114300" distR="114300" simplePos="0" relativeHeight="251659264" behindDoc="1" locked="0" layoutInCell="1" allowOverlap="1" wp14:anchorId="2969FF22" wp14:editId="1DEE4D4A">
                <wp:simplePos x="0" y="0"/>
                <wp:positionH relativeFrom="column">
                  <wp:posOffset>-913130</wp:posOffset>
                </wp:positionH>
                <wp:positionV relativeFrom="paragraph">
                  <wp:posOffset>-1099185</wp:posOffset>
                </wp:positionV>
                <wp:extent cx="7772400" cy="10515600"/>
                <wp:effectExtent l="0" t="0" r="12700" b="12700"/>
                <wp:wrapNone/>
                <wp:docPr id="403793553" name="Rectangle 2"/>
                <wp:cNvGraphicFramePr/>
                <a:graphic xmlns:a="http://schemas.openxmlformats.org/drawingml/2006/main">
                  <a:graphicData uri="http://schemas.microsoft.com/office/word/2010/wordprocessingShape">
                    <wps:wsp>
                      <wps:cNvSpPr/>
                      <wps:spPr>
                        <a:xfrm>
                          <a:off x="0" y="0"/>
                          <a:ext cx="7772400" cy="10515600"/>
                        </a:xfrm>
                        <a:prstGeom prst="rect">
                          <a:avLst/>
                        </a:prstGeom>
                        <a:solidFill>
                          <a:srgbClr val="174C3C"/>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9B00E9" id="Rectangle 2" o:spid="_x0000_s1026" style="position:absolute;margin-left:-71.9pt;margin-top:-86.55pt;width:612pt;height:82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" fillcolor="#174c3c" strokecolor="#030e13 [484]" strokeweight="1pt"/>
            </w:pict>
          </mc:Fallback>
        </mc:AlternateContent>
      </w:r>
      <w:r w:rsidRPr="00010CE7">
        <w:rPr>
          <w:rFonts w:ascii="Helvetica" w:hAnsi="Helvetica"/>
          <w:noProof/>
          <w:color w:val="1A1A1A"/>
        </w:rPr>
        <w:drawing>
          <wp:inline distT="0" distB="0" distL="0" distR="0" wp14:anchorId="5AA18B32" wp14:editId="7235B097">
            <wp:extent cx="2560320" cy="595493"/>
            <wp:effectExtent l="0" t="0" r="0" b="1905"/>
            <wp:docPr id="257914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4837" name="Picture 2579148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0320" cy="595493"/>
                    </a:xfrm>
                    <a:prstGeom prst="rect">
                      <a:avLst/>
                    </a:prstGeom>
                  </pic:spPr>
                </pic:pic>
              </a:graphicData>
            </a:graphic>
          </wp:inline>
        </w:drawing>
      </w:r>
    </w:p>
    <w:p w14:paraId="3072E8D0" w14:textId="77777777" w:rsidR="007D5EEB" w:rsidRPr="00010CE7" w:rsidRDefault="007D5EEB" w:rsidP="00010CE7">
      <w:pPr>
        <w:spacing w:after="0" w:line="300" w:lineRule="auto"/>
        <w:jc w:val="both"/>
        <w:rPr>
          <w:rFonts w:ascii="Helvetica" w:hAnsi="Helvetica"/>
          <w:color w:val="F7F5F2"/>
        </w:rPr>
      </w:pPr>
    </w:p>
    <w:p w14:paraId="7B2730C6" w14:textId="5888B7B8" w:rsidR="007D5EEB" w:rsidRPr="00010CE7" w:rsidRDefault="007D5EEB" w:rsidP="00010CE7">
      <w:pPr>
        <w:spacing w:after="0" w:line="300" w:lineRule="auto"/>
        <w:jc w:val="both"/>
        <w:rPr>
          <w:rFonts w:ascii="Helvetica" w:hAnsi="Helvetica"/>
          <w:color w:val="F7F5F2"/>
        </w:rPr>
      </w:pPr>
    </w:p>
    <w:p w14:paraId="52E1FB70" w14:textId="77777777" w:rsidR="00010CE7" w:rsidRDefault="00010CE7" w:rsidP="00010CE7">
      <w:pPr>
        <w:spacing w:after="0" w:line="300" w:lineRule="auto"/>
        <w:jc w:val="both"/>
        <w:rPr>
          <w:rFonts w:ascii="Helvetica" w:hAnsi="Helvetica"/>
          <w:color w:val="F7F5F2"/>
        </w:rPr>
      </w:pPr>
    </w:p>
    <w:p w14:paraId="0B20C909" w14:textId="77777777" w:rsidR="00010CE7" w:rsidRDefault="00010CE7" w:rsidP="00010CE7">
      <w:pPr>
        <w:spacing w:after="0" w:line="300" w:lineRule="auto"/>
        <w:jc w:val="both"/>
        <w:rPr>
          <w:rFonts w:ascii="Helvetica" w:hAnsi="Helvetica"/>
          <w:color w:val="F7F5F2"/>
        </w:rPr>
      </w:pPr>
    </w:p>
    <w:p w14:paraId="1071C9EB" w14:textId="77777777" w:rsidR="00010CE7" w:rsidRDefault="00010CE7" w:rsidP="00010CE7">
      <w:pPr>
        <w:spacing w:after="0" w:line="300" w:lineRule="auto"/>
        <w:jc w:val="both"/>
        <w:rPr>
          <w:rFonts w:ascii="Helvetica" w:hAnsi="Helvetica"/>
          <w:color w:val="F7F5F2"/>
          <w:sz w:val="20"/>
          <w:szCs w:val="20"/>
        </w:rPr>
      </w:pPr>
    </w:p>
    <w:p w14:paraId="7CD3298F" w14:textId="77777777" w:rsidR="00010CE7" w:rsidRDefault="00010CE7" w:rsidP="00010CE7">
      <w:pPr>
        <w:spacing w:after="0" w:line="300" w:lineRule="auto"/>
        <w:jc w:val="both"/>
        <w:rPr>
          <w:rFonts w:ascii="Helvetica" w:hAnsi="Helvetica"/>
          <w:color w:val="F7F5F2"/>
          <w:sz w:val="20"/>
          <w:szCs w:val="20"/>
        </w:rPr>
      </w:pPr>
    </w:p>
    <w:p w14:paraId="15D8E42D" w14:textId="03D85966" w:rsidR="007D5EEB" w:rsidRPr="00010CE7" w:rsidRDefault="00C12B5F" w:rsidP="00010CE7">
      <w:pPr>
        <w:spacing w:after="0" w:line="300" w:lineRule="auto"/>
        <w:jc w:val="both"/>
        <w:rPr>
          <w:rFonts w:ascii="Helvetica" w:hAnsi="Helvetica"/>
          <w:color w:val="F7F5F2"/>
          <w:sz w:val="20"/>
          <w:szCs w:val="20"/>
        </w:rPr>
      </w:pPr>
      <w:r w:rsidRPr="00C12B5F">
        <w:rPr>
          <w:rFonts w:ascii="Helvetica" w:hAnsi="Helvetica"/>
          <w:color w:val="F7F5F2"/>
          <w:sz w:val="20"/>
          <w:szCs w:val="20"/>
        </w:rPr>
        <w:t xml:space="preserve">Intangibles </w:t>
      </w:r>
      <w:r w:rsidR="00436FFF" w:rsidRPr="00010CE7">
        <w:rPr>
          <w:rFonts w:ascii="Helvetica" w:hAnsi="Helvetica"/>
          <w:color w:val="F7F5F2"/>
          <w:sz w:val="20"/>
          <w:szCs w:val="20"/>
        </w:rPr>
        <w:t>Value Advisory Report</w:t>
      </w:r>
    </w:p>
    <w:p w14:paraId="36EF4958" w14:textId="20485E72" w:rsidR="007D5EEB" w:rsidRPr="00010CE7" w:rsidRDefault="007D5EEB" w:rsidP="00010CE7">
      <w:pPr>
        <w:spacing w:after="0" w:line="300" w:lineRule="auto"/>
        <w:jc w:val="both"/>
        <w:rPr>
          <w:rFonts w:ascii="Helvetica" w:hAnsi="Helvetica"/>
          <w:color w:val="F7F5F2"/>
        </w:rPr>
      </w:pPr>
    </w:p>
    <w:p w14:paraId="6DEF3564" w14:textId="4CD46536" w:rsidR="00010CE7" w:rsidRDefault="00814CCF" w:rsidP="00010CE7">
      <w:pPr>
        <w:spacing w:after="0" w:line="300" w:lineRule="auto"/>
        <w:jc w:val="both"/>
        <w:rPr>
          <w:rFonts w:ascii="Helvetica" w:hAnsi="Helvetica"/>
          <w:color w:val="F7F5F2"/>
        </w:rPr>
      </w:pPr>
      <w:r w:rsidRPr="00814CCF">
        <w:rPr>
          <w:rFonts w:ascii="Helvetica" w:hAnsi="Helvetica"/>
          <w:b/>
          <w:bCs/>
          <w:color w:val="F7F5F2"/>
          <w:sz w:val="96"/>
          <w:szCs w:val="96"/>
        </w:rPr>
        <w:t>The Intangible Asset Discovery Guide</w:t>
      </w:r>
    </w:p>
    <w:p w14:paraId="1B24238F" w14:textId="53267EA2" w:rsidR="007D5EEB" w:rsidRDefault="002A4ABC" w:rsidP="00010CE7">
      <w:pPr>
        <w:spacing w:after="0" w:line="300" w:lineRule="auto"/>
        <w:jc w:val="both"/>
        <w:rPr>
          <w:rFonts w:ascii="Helvetica" w:hAnsi="Helvetica"/>
          <w:color w:val="E5E5E5"/>
        </w:rPr>
      </w:pPr>
      <w:r w:rsidRPr="002A4ABC">
        <w:rPr>
          <w:rFonts w:ascii="Helvetica" w:hAnsi="Helvetica"/>
          <w:color w:val="E5E5E5"/>
        </w:rPr>
        <w:t>Prepared for founders and finance leaders who want to understand and formally map the true value of their business assets for strategic planning and stakeholder reporting.</w:t>
      </w:r>
    </w:p>
    <w:p w14:paraId="31357F61" w14:textId="77777777" w:rsidR="002A4ABC" w:rsidRPr="00010CE7" w:rsidRDefault="002A4ABC" w:rsidP="00010CE7">
      <w:pPr>
        <w:spacing w:after="0" w:line="300" w:lineRule="auto"/>
        <w:jc w:val="both"/>
        <w:rPr>
          <w:rFonts w:ascii="Helvetica" w:hAnsi="Helvetica"/>
          <w:color w:val="E5E5E5"/>
        </w:rPr>
      </w:pPr>
    </w:p>
    <w:p w14:paraId="24EF991F" w14:textId="77777777" w:rsidR="007D5EEB" w:rsidRPr="00010CE7" w:rsidRDefault="007D5EEB" w:rsidP="00010CE7">
      <w:pPr>
        <w:spacing w:after="0" w:line="300" w:lineRule="auto"/>
        <w:jc w:val="both"/>
        <w:rPr>
          <w:rFonts w:ascii="Helvetica" w:hAnsi="Helvetica"/>
          <w:color w:val="E5E5E5"/>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tblGrid>
      <w:tr w:rsidR="007D5EEB" w:rsidRPr="00010CE7" w14:paraId="5965C067" w14:textId="77777777" w:rsidTr="007D5EEB">
        <w:tc>
          <w:tcPr>
            <w:tcW w:w="1440" w:type="dxa"/>
            <w:tcBorders>
              <w:bottom w:val="single" w:sz="24" w:space="0" w:color="F7F5F2"/>
            </w:tcBorders>
          </w:tcPr>
          <w:p w14:paraId="4E2415D1" w14:textId="77777777" w:rsidR="007D5EEB" w:rsidRPr="00010CE7" w:rsidRDefault="007D5EEB" w:rsidP="00010CE7">
            <w:pPr>
              <w:spacing w:line="300" w:lineRule="auto"/>
              <w:jc w:val="both"/>
              <w:rPr>
                <w:rFonts w:ascii="Helvetica" w:hAnsi="Helvetica"/>
                <w:color w:val="F7F5F2"/>
              </w:rPr>
            </w:pPr>
          </w:p>
        </w:tc>
      </w:tr>
      <w:tr w:rsidR="007D5EEB" w:rsidRPr="00010CE7" w14:paraId="35C8C6CE" w14:textId="77777777" w:rsidTr="007D5EEB">
        <w:trPr>
          <w:trHeight w:val="60"/>
        </w:trPr>
        <w:tc>
          <w:tcPr>
            <w:tcW w:w="1440" w:type="dxa"/>
            <w:tcBorders>
              <w:top w:val="single" w:sz="24" w:space="0" w:color="F7F5F2"/>
            </w:tcBorders>
          </w:tcPr>
          <w:p w14:paraId="2F930237" w14:textId="77777777" w:rsidR="007D5EEB" w:rsidRPr="00010CE7" w:rsidRDefault="007D5EEB" w:rsidP="00010CE7">
            <w:pPr>
              <w:spacing w:line="300" w:lineRule="auto"/>
              <w:jc w:val="both"/>
              <w:rPr>
                <w:rFonts w:ascii="Helvetica" w:hAnsi="Helvetica"/>
                <w:color w:val="F7F5F2"/>
              </w:rPr>
            </w:pPr>
          </w:p>
        </w:tc>
      </w:tr>
    </w:tbl>
    <w:p w14:paraId="1052098C" w14:textId="77777777" w:rsidR="007D5EEB" w:rsidRPr="00010CE7" w:rsidRDefault="007D5EEB" w:rsidP="00010CE7">
      <w:pPr>
        <w:spacing w:after="0" w:line="300" w:lineRule="auto"/>
        <w:jc w:val="both"/>
        <w:rPr>
          <w:rFonts w:ascii="Helvetica" w:hAnsi="Helvetica"/>
          <w:color w:val="F7F5F2"/>
        </w:rPr>
      </w:pPr>
    </w:p>
    <w:p w14:paraId="3D095221" w14:textId="13AF9504" w:rsidR="007D5EEB" w:rsidRPr="00010CE7" w:rsidRDefault="007D5EEB" w:rsidP="00010CE7">
      <w:pPr>
        <w:spacing w:after="0" w:line="300" w:lineRule="auto"/>
        <w:jc w:val="both"/>
        <w:rPr>
          <w:rFonts w:ascii="Helvetica" w:hAnsi="Helvetica"/>
          <w:color w:val="F7F5F2"/>
          <w:sz w:val="20"/>
          <w:szCs w:val="20"/>
        </w:rPr>
      </w:pPr>
      <w:r w:rsidRPr="00010CE7">
        <w:rPr>
          <w:rFonts w:ascii="Helvetica" w:hAnsi="Helvetica"/>
          <w:color w:val="F7F5F2"/>
          <w:sz w:val="20"/>
          <w:szCs w:val="20"/>
        </w:rPr>
        <w:t>Prepared by: Bain Squared Valuation Advisory</w:t>
      </w:r>
    </w:p>
    <w:p w14:paraId="76BDB638" w14:textId="77777777" w:rsidR="00436FFF" w:rsidRPr="00010CE7" w:rsidRDefault="00436FFF" w:rsidP="00010CE7">
      <w:pPr>
        <w:spacing w:after="0" w:line="300" w:lineRule="auto"/>
        <w:jc w:val="both"/>
        <w:rPr>
          <w:rFonts w:ascii="Helvetica" w:hAnsi="Helvetica"/>
          <w:color w:val="F7F5F2"/>
        </w:rPr>
      </w:pPr>
    </w:p>
    <w:p w14:paraId="12FA37EE" w14:textId="77777777" w:rsidR="00436FFF" w:rsidRPr="00010CE7" w:rsidRDefault="00436FFF" w:rsidP="00010CE7">
      <w:pPr>
        <w:spacing w:after="0" w:line="300" w:lineRule="auto"/>
        <w:jc w:val="both"/>
        <w:rPr>
          <w:rFonts w:ascii="Helvetica" w:hAnsi="Helvetica"/>
          <w:color w:val="F7F5F2"/>
        </w:rPr>
      </w:pPr>
    </w:p>
    <w:p w14:paraId="5205B35A" w14:textId="77777777" w:rsidR="00436FFF" w:rsidRPr="00010CE7" w:rsidRDefault="00436FFF" w:rsidP="00010CE7">
      <w:pPr>
        <w:spacing w:after="0" w:line="300" w:lineRule="auto"/>
        <w:jc w:val="both"/>
        <w:rPr>
          <w:rFonts w:ascii="Helvetica" w:hAnsi="Helvetica"/>
          <w:color w:val="F7F5F2"/>
        </w:rPr>
      </w:pPr>
    </w:p>
    <w:p w14:paraId="0991B7EA" w14:textId="77777777" w:rsidR="009429BB" w:rsidRPr="00010CE7" w:rsidRDefault="009429BB" w:rsidP="00010CE7">
      <w:pPr>
        <w:spacing w:after="0" w:line="300" w:lineRule="auto"/>
        <w:jc w:val="both"/>
        <w:rPr>
          <w:rFonts w:ascii="Helvetica" w:hAnsi="Helvetica"/>
          <w:i/>
          <w:iCs/>
          <w:color w:val="F7F5F2"/>
          <w:sz w:val="20"/>
          <w:szCs w:val="20"/>
        </w:rPr>
      </w:pPr>
      <w:r w:rsidRPr="00010CE7">
        <w:rPr>
          <w:rFonts w:ascii="Helvetica" w:hAnsi="Helvetica"/>
          <w:i/>
          <w:iCs/>
          <w:color w:val="F7F5F2"/>
          <w:sz w:val="20"/>
          <w:szCs w:val="20"/>
        </w:rPr>
        <w:t>Important notice: This report is general guidance based on assessment responses. It is not a valuation report, investment advice, legal advice, tax advice, or a commitment to support fundraising. Bain Squared does not guarantee funding, investor interest, valuation uplift, or transaction completion. Formal advice requires a separate engagement and review of source documentation.</w:t>
      </w:r>
    </w:p>
    <w:p w14:paraId="4B06B15A" w14:textId="77777777" w:rsidR="00C12B5F" w:rsidRDefault="00C12B5F">
      <w:pPr>
        <w:rPr>
          <w:rFonts w:ascii="Helvetica" w:hAnsi="Helvetica"/>
          <w:color w:val="1A1A1A"/>
          <w:sz w:val="20"/>
          <w:szCs w:val="20"/>
        </w:rPr>
      </w:pPr>
      <w:r>
        <w:rPr>
          <w:rFonts w:ascii="Helvetica" w:hAnsi="Helvetica"/>
          <w:color w:val="1A1A1A"/>
          <w:sz w:val="20"/>
          <w:szCs w:val="20"/>
        </w:rPr>
        <w:br w:type="page"/>
      </w:r>
    </w:p>
    <w:p w14:paraId="09281681" w14:textId="77777777" w:rsidR="002A4ABC" w:rsidRPr="00010CE7" w:rsidRDefault="002A4ABC" w:rsidP="002A4ABC">
      <w:pPr>
        <w:spacing w:after="0" w:line="240" w:lineRule="auto"/>
        <w:jc w:val="both"/>
        <w:rPr>
          <w:rFonts w:ascii="Helvetica" w:hAnsi="Helvetica"/>
          <w:color w:val="174C3C"/>
          <w:sz w:val="40"/>
          <w:szCs w:val="40"/>
        </w:rPr>
      </w:pPr>
      <w:r w:rsidRPr="000025CE">
        <w:rPr>
          <w:rFonts w:ascii="Helvetica" w:hAnsi="Helvetica"/>
          <w:color w:val="174C3C"/>
          <w:sz w:val="40"/>
          <w:szCs w:val="40"/>
        </w:rPr>
        <w:lastRenderedPageBreak/>
        <w:t>Your Assessment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A4ABC" w:rsidRPr="00010CE7" w14:paraId="6BD4900E" w14:textId="77777777" w:rsidTr="00527C4E">
        <w:tc>
          <w:tcPr>
            <w:tcW w:w="9350" w:type="dxa"/>
            <w:tcBorders>
              <w:bottom w:val="single" w:sz="6" w:space="0" w:color="E5E5E5"/>
            </w:tcBorders>
          </w:tcPr>
          <w:p w14:paraId="61F414F3" w14:textId="77777777" w:rsidR="002A4ABC" w:rsidRPr="00010CE7" w:rsidRDefault="002A4ABC" w:rsidP="00527C4E">
            <w:pPr>
              <w:spacing w:line="300" w:lineRule="auto"/>
              <w:jc w:val="both"/>
              <w:rPr>
                <w:rFonts w:ascii="Helvetica" w:hAnsi="Helvetica"/>
                <w:color w:val="1A1A1A"/>
              </w:rPr>
            </w:pPr>
          </w:p>
        </w:tc>
      </w:tr>
      <w:tr w:rsidR="002A4ABC" w:rsidRPr="00010CE7" w14:paraId="35BB6AD7" w14:textId="77777777" w:rsidTr="00527C4E">
        <w:trPr>
          <w:trHeight w:val="60"/>
        </w:trPr>
        <w:tc>
          <w:tcPr>
            <w:tcW w:w="9350" w:type="dxa"/>
            <w:tcBorders>
              <w:top w:val="single" w:sz="6" w:space="0" w:color="E5E5E5"/>
            </w:tcBorders>
          </w:tcPr>
          <w:p w14:paraId="54A76ADC" w14:textId="77777777" w:rsidR="002A4ABC" w:rsidRPr="00010CE7" w:rsidRDefault="002A4ABC" w:rsidP="00527C4E">
            <w:pPr>
              <w:spacing w:line="300" w:lineRule="auto"/>
              <w:jc w:val="both"/>
              <w:rPr>
                <w:rFonts w:ascii="Helvetica" w:hAnsi="Helvetica"/>
                <w:color w:val="1A1A1A"/>
              </w:rPr>
            </w:pPr>
          </w:p>
        </w:tc>
      </w:tr>
    </w:tbl>
    <w:p w14:paraId="71FE89AD" w14:textId="06B92D43" w:rsidR="002A4ABC" w:rsidRDefault="002A4ABC" w:rsidP="002A4ABC">
      <w:pPr>
        <w:spacing w:after="0" w:line="300" w:lineRule="auto"/>
        <w:jc w:val="both"/>
        <w:rPr>
          <w:rFonts w:ascii="Helvetica" w:hAnsi="Helvetica"/>
          <w:color w:val="1A1A1A"/>
        </w:rPr>
      </w:pPr>
      <w:r w:rsidRPr="002A4ABC">
        <w:rPr>
          <w:rFonts w:ascii="Helvetica" w:hAnsi="Helvetica"/>
          <w:color w:val="1A1A1A"/>
        </w:rPr>
        <w:t>Based on your responses, your business has built significant value in areas like brand, customer relationships, software, or IP. Even without an immediate transaction, mapping these assets gives you a clearer picture of your competitive advantage and provides a defensible narrative for your board, bank, or partners.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A4ABC" w:rsidRPr="00010CE7" w14:paraId="61CFB4EF" w14:textId="77777777" w:rsidTr="00527C4E">
        <w:tc>
          <w:tcPr>
            <w:tcW w:w="9350" w:type="dxa"/>
          </w:tcPr>
          <w:p w14:paraId="4CF4AE4E" w14:textId="77777777" w:rsidR="002A4ABC" w:rsidRPr="00010CE7" w:rsidRDefault="002A4ABC" w:rsidP="00527C4E">
            <w:pPr>
              <w:spacing w:line="300" w:lineRule="auto"/>
              <w:jc w:val="both"/>
              <w:rPr>
                <w:rFonts w:ascii="Helvetica" w:hAnsi="Helvetica"/>
                <w:color w:val="1A1A1A"/>
              </w:rPr>
            </w:pPr>
          </w:p>
        </w:tc>
      </w:tr>
      <w:tr w:rsidR="002A4ABC" w:rsidRPr="00010CE7" w14:paraId="28249D9C" w14:textId="77777777" w:rsidTr="00527C4E">
        <w:trPr>
          <w:trHeight w:val="60"/>
        </w:trPr>
        <w:tc>
          <w:tcPr>
            <w:tcW w:w="9350" w:type="dxa"/>
          </w:tcPr>
          <w:p w14:paraId="785D236A" w14:textId="77777777" w:rsidR="002A4ABC" w:rsidRPr="00010CE7" w:rsidRDefault="002A4ABC" w:rsidP="00527C4E">
            <w:pPr>
              <w:spacing w:line="300" w:lineRule="auto"/>
              <w:jc w:val="both"/>
              <w:rPr>
                <w:rFonts w:ascii="Helvetica" w:hAnsi="Helvetica"/>
                <w:color w:val="1A1A1A"/>
              </w:rPr>
            </w:pPr>
          </w:p>
        </w:tc>
      </w:tr>
    </w:tbl>
    <w:p w14:paraId="0608B6E6" w14:textId="63122AF4" w:rsidR="006A7B5C" w:rsidRPr="00010CE7" w:rsidRDefault="006A7B5C" w:rsidP="00010CE7">
      <w:pPr>
        <w:spacing w:after="0" w:line="300" w:lineRule="auto"/>
        <w:jc w:val="both"/>
        <w:rPr>
          <w:rFonts w:ascii="Helvetica" w:hAnsi="Helvetica"/>
          <w:color w:val="1A1A1A"/>
          <w:sz w:val="20"/>
          <w:szCs w:val="20"/>
        </w:rPr>
      </w:pPr>
      <w:r w:rsidRPr="00010CE7">
        <w:rPr>
          <w:rFonts w:ascii="Helvetica" w:hAnsi="Helvetica"/>
          <w:color w:val="1A1A1A"/>
          <w:sz w:val="20"/>
          <w:szCs w:val="20"/>
        </w:rPr>
        <w:t>Section 01</w:t>
      </w:r>
    </w:p>
    <w:p w14:paraId="01D4D23B" w14:textId="77777777" w:rsidR="00010CE7" w:rsidRPr="00010CE7" w:rsidRDefault="00010CE7" w:rsidP="00010CE7">
      <w:pPr>
        <w:spacing w:after="0" w:line="300" w:lineRule="auto"/>
        <w:jc w:val="both"/>
        <w:rPr>
          <w:rFonts w:ascii="Helvetica" w:hAnsi="Helvetica"/>
          <w:color w:val="1A1A1A"/>
        </w:rPr>
      </w:pPr>
    </w:p>
    <w:p w14:paraId="1880C4A8" w14:textId="191EFECD" w:rsidR="00FF57BA" w:rsidRPr="00010CE7" w:rsidRDefault="00814CCF" w:rsidP="00010CE7">
      <w:pPr>
        <w:spacing w:after="0" w:line="240" w:lineRule="auto"/>
        <w:jc w:val="both"/>
        <w:rPr>
          <w:rFonts w:ascii="Helvetica" w:hAnsi="Helvetica"/>
          <w:color w:val="174C3C"/>
          <w:sz w:val="40"/>
          <w:szCs w:val="40"/>
        </w:rPr>
      </w:pPr>
      <w:r w:rsidRPr="00814CCF">
        <w:rPr>
          <w:rFonts w:ascii="Helvetica" w:hAnsi="Helvetica"/>
          <w:color w:val="174C3C"/>
          <w:sz w:val="40"/>
          <w:szCs w:val="40"/>
        </w:rPr>
        <w:t>Your business has strong intangible assets worth reviewing.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A7B5C" w:rsidRPr="00010CE7" w14:paraId="699247C5" w14:textId="77777777" w:rsidTr="00D25791">
        <w:tc>
          <w:tcPr>
            <w:tcW w:w="9350" w:type="dxa"/>
            <w:tcBorders>
              <w:bottom w:val="single" w:sz="6" w:space="0" w:color="E5E5E5"/>
            </w:tcBorders>
          </w:tcPr>
          <w:p w14:paraId="2FDA6CF2" w14:textId="77777777" w:rsidR="006A7B5C" w:rsidRPr="00010CE7" w:rsidRDefault="006A7B5C" w:rsidP="00010CE7">
            <w:pPr>
              <w:spacing w:line="300" w:lineRule="auto"/>
              <w:jc w:val="both"/>
              <w:rPr>
                <w:rFonts w:ascii="Helvetica" w:hAnsi="Helvetica"/>
                <w:color w:val="1A1A1A"/>
              </w:rPr>
            </w:pPr>
          </w:p>
        </w:tc>
      </w:tr>
      <w:tr w:rsidR="006A7B5C" w:rsidRPr="00010CE7" w14:paraId="4B3C5D20" w14:textId="77777777" w:rsidTr="00D25791">
        <w:trPr>
          <w:trHeight w:val="60"/>
        </w:trPr>
        <w:tc>
          <w:tcPr>
            <w:tcW w:w="9350" w:type="dxa"/>
            <w:tcBorders>
              <w:top w:val="single" w:sz="6" w:space="0" w:color="E5E5E5"/>
            </w:tcBorders>
          </w:tcPr>
          <w:p w14:paraId="34375ECB" w14:textId="77777777" w:rsidR="0025713E" w:rsidRPr="00010CE7" w:rsidRDefault="0025713E" w:rsidP="00010CE7">
            <w:pPr>
              <w:spacing w:line="300" w:lineRule="auto"/>
              <w:jc w:val="both"/>
              <w:rPr>
                <w:rFonts w:ascii="Helvetica" w:hAnsi="Helvetica"/>
                <w:color w:val="1A1A1A"/>
              </w:rPr>
            </w:pPr>
          </w:p>
        </w:tc>
      </w:tr>
    </w:tbl>
    <w:p w14:paraId="03C1431A" w14:textId="4988D4EF" w:rsidR="00814CCF" w:rsidRDefault="002A4ABC" w:rsidP="00814CCF">
      <w:pPr>
        <w:spacing w:after="0" w:line="300" w:lineRule="auto"/>
        <w:jc w:val="both"/>
        <w:rPr>
          <w:rFonts w:ascii="Helvetica" w:hAnsi="Helvetica"/>
          <w:color w:val="1A1A1A"/>
        </w:rPr>
      </w:pPr>
      <w:r w:rsidRPr="002A4ABC">
        <w:rPr>
          <w:rFonts w:ascii="Helvetica" w:hAnsi="Helvetica"/>
          <w:color w:val="1A1A1A"/>
        </w:rPr>
        <w:t>Many businesses build meaningful value in areas such as brand, customer relationships, software, and intellectual property long before a transaction occurs. You may not be actively selling the business, but that does not make the value less important.</w:t>
      </w:r>
    </w:p>
    <w:p w14:paraId="232A941C" w14:textId="77777777" w:rsidR="002A4ABC" w:rsidRPr="00814CCF" w:rsidRDefault="002A4ABC" w:rsidP="00814CCF">
      <w:pPr>
        <w:spacing w:after="0" w:line="300" w:lineRule="auto"/>
        <w:jc w:val="both"/>
        <w:rPr>
          <w:rFonts w:ascii="Helvetica" w:hAnsi="Helvetica"/>
          <w:color w:val="1A1A1A"/>
        </w:rPr>
      </w:pPr>
    </w:p>
    <w:p w14:paraId="4D915B7D" w14:textId="77777777" w:rsidR="00814CCF" w:rsidRDefault="00814CCF" w:rsidP="00814CCF">
      <w:pPr>
        <w:spacing w:after="0" w:line="300" w:lineRule="auto"/>
        <w:jc w:val="both"/>
        <w:rPr>
          <w:rFonts w:ascii="Helvetica" w:hAnsi="Helvetica"/>
          <w:color w:val="1A1A1A"/>
        </w:rPr>
      </w:pPr>
      <w:r w:rsidRPr="00814CCF">
        <w:rPr>
          <w:rFonts w:ascii="Helvetica" w:hAnsi="Helvetica"/>
          <w:color w:val="1A1A1A"/>
        </w:rPr>
        <w:t>Intangible assets are often the difference between a business that looks ordinary on paper and a business that has real strategic leverage. They explain why customers come back, why margins hold, why competitors struggle to copy what you do, and why future buyers, investors, banks, or boards may view your company as more defensible than the financial statements alone suggest.</w:t>
      </w:r>
    </w:p>
    <w:p w14:paraId="03ABB18B" w14:textId="77777777" w:rsidR="00814CCF" w:rsidRPr="00814CCF" w:rsidRDefault="00814CCF" w:rsidP="00814CCF">
      <w:pPr>
        <w:spacing w:after="0" w:line="300" w:lineRule="auto"/>
        <w:jc w:val="both"/>
        <w:rPr>
          <w:rFonts w:ascii="Helvetica" w:hAnsi="Helvetica"/>
          <w:color w:val="1A1A1A"/>
        </w:rPr>
      </w:pPr>
    </w:p>
    <w:p w14:paraId="3E5A9C85" w14:textId="5C6FAC7D" w:rsidR="00350144" w:rsidRPr="00010CE7" w:rsidRDefault="00814CCF" w:rsidP="00814CCF">
      <w:pPr>
        <w:spacing w:after="0" w:line="300" w:lineRule="auto"/>
        <w:jc w:val="both"/>
        <w:rPr>
          <w:rFonts w:ascii="Helvetica" w:hAnsi="Helvetica"/>
          <w:color w:val="1A1A1A"/>
        </w:rPr>
      </w:pPr>
      <w:r w:rsidRPr="00814CCF">
        <w:rPr>
          <w:rFonts w:ascii="Helvetica" w:hAnsi="Helvetica"/>
          <w:color w:val="1A1A1A"/>
        </w:rPr>
        <w:t>This guide explains how intangible assets are formally reviewed, why mapping them early creates a strategic advantage, and what evidence you should begin gathering before a transaction, financing discussion, or board level valuation question becomes urgent.</w:t>
      </w:r>
    </w:p>
    <w:p w14:paraId="184E131F" w14:textId="77777777" w:rsidR="002A4ABC" w:rsidRDefault="002A4ABC">
      <w:pPr>
        <w:rPr>
          <w:rFonts w:ascii="Helvetica" w:eastAsiaTheme="majorEastAsia" w:hAnsi="Helvetica" w:cstheme="majorBidi"/>
          <w:color w:val="1A1A1A"/>
          <w:sz w:val="20"/>
          <w:szCs w:val="20"/>
        </w:rPr>
      </w:pPr>
      <w:r>
        <w:rPr>
          <w:rFonts w:ascii="Helvetica" w:hAnsi="Helvetica"/>
          <w:color w:val="1A1A1A"/>
          <w:sz w:val="20"/>
          <w:szCs w:val="20"/>
        </w:rPr>
        <w:br w:type="page"/>
      </w:r>
    </w:p>
    <w:p w14:paraId="56E0508A" w14:textId="2FDEFAF3" w:rsidR="00010CE7" w:rsidRPr="00010CE7"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010CE7" w:rsidRPr="00010CE7">
        <w:rPr>
          <w:rFonts w:ascii="Helvetica" w:hAnsi="Helvetica"/>
          <w:color w:val="1A1A1A"/>
          <w:sz w:val="20"/>
          <w:szCs w:val="20"/>
        </w:rPr>
        <w:t>2</w:t>
      </w:r>
    </w:p>
    <w:p w14:paraId="0222D5A0" w14:textId="73BE046D" w:rsidR="00350144" w:rsidRPr="00010CE7" w:rsidRDefault="00350144" w:rsidP="00010CE7">
      <w:pPr>
        <w:pStyle w:val="Heading2"/>
        <w:spacing w:before="0" w:after="0" w:line="300" w:lineRule="auto"/>
        <w:jc w:val="both"/>
        <w:rPr>
          <w:rFonts w:ascii="Helvetica" w:hAnsi="Helvetica"/>
          <w:color w:val="1A1A1A"/>
          <w:sz w:val="24"/>
          <w:szCs w:val="24"/>
        </w:rPr>
      </w:pPr>
    </w:p>
    <w:p w14:paraId="4A12ACF7" w14:textId="33ABB89E" w:rsidR="00965E5F" w:rsidRPr="00010CE7" w:rsidRDefault="00814CCF" w:rsidP="00010CE7">
      <w:pPr>
        <w:pStyle w:val="Heading2"/>
        <w:spacing w:before="0" w:after="0" w:line="240" w:lineRule="auto"/>
        <w:jc w:val="both"/>
        <w:rPr>
          <w:rFonts w:ascii="Helvetica" w:hAnsi="Helvetica"/>
          <w:color w:val="174C3C"/>
          <w:sz w:val="40"/>
          <w:szCs w:val="40"/>
        </w:rPr>
      </w:pPr>
      <w:r w:rsidRPr="00814CCF">
        <w:rPr>
          <w:rFonts w:ascii="Helvetica" w:hAnsi="Helvetica"/>
          <w:color w:val="174C3C"/>
          <w:sz w:val="40"/>
          <w:szCs w:val="40"/>
        </w:rPr>
        <w:t>What a Sum of Parts Valuation Actually Means</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65E5F" w:rsidRPr="00010CE7" w14:paraId="2AAB64EA" w14:textId="77777777" w:rsidTr="00D25791">
        <w:tc>
          <w:tcPr>
            <w:tcW w:w="9350" w:type="dxa"/>
            <w:tcBorders>
              <w:bottom w:val="single" w:sz="6" w:space="0" w:color="E5E5E5"/>
            </w:tcBorders>
          </w:tcPr>
          <w:p w14:paraId="35C39156" w14:textId="77777777" w:rsidR="00965E5F" w:rsidRPr="00010CE7" w:rsidRDefault="00965E5F" w:rsidP="00010CE7">
            <w:pPr>
              <w:spacing w:line="300" w:lineRule="auto"/>
              <w:jc w:val="both"/>
              <w:rPr>
                <w:rFonts w:ascii="Helvetica" w:hAnsi="Helvetica"/>
                <w:color w:val="1A1A1A"/>
              </w:rPr>
            </w:pPr>
          </w:p>
        </w:tc>
      </w:tr>
      <w:tr w:rsidR="00965E5F" w:rsidRPr="00010CE7" w14:paraId="396CCDE8" w14:textId="77777777" w:rsidTr="00D25791">
        <w:trPr>
          <w:trHeight w:val="60"/>
        </w:trPr>
        <w:tc>
          <w:tcPr>
            <w:tcW w:w="9350" w:type="dxa"/>
            <w:tcBorders>
              <w:top w:val="single" w:sz="6" w:space="0" w:color="E5E5E5"/>
            </w:tcBorders>
          </w:tcPr>
          <w:p w14:paraId="0C4B223A" w14:textId="77777777" w:rsidR="0025713E" w:rsidRPr="00010CE7" w:rsidRDefault="0025713E" w:rsidP="00010CE7">
            <w:pPr>
              <w:spacing w:line="300" w:lineRule="auto"/>
              <w:jc w:val="both"/>
              <w:rPr>
                <w:rFonts w:ascii="Helvetica" w:hAnsi="Helvetica"/>
                <w:color w:val="1A1A1A"/>
              </w:rPr>
            </w:pPr>
          </w:p>
        </w:tc>
      </w:tr>
    </w:tbl>
    <w:p w14:paraId="44F1C8FE" w14:textId="77777777" w:rsidR="00814CCF" w:rsidRDefault="00814CCF" w:rsidP="00814CCF">
      <w:pPr>
        <w:spacing w:after="0" w:line="300" w:lineRule="auto"/>
        <w:jc w:val="both"/>
        <w:rPr>
          <w:rFonts w:ascii="Helvetica" w:hAnsi="Helvetica"/>
          <w:color w:val="1A1A1A"/>
        </w:rPr>
      </w:pPr>
      <w:r w:rsidRPr="00814CCF">
        <w:rPr>
          <w:rFonts w:ascii="Helvetica" w:hAnsi="Helvetica"/>
          <w:color w:val="1A1A1A"/>
        </w:rPr>
        <w:t>A standard financial valuation usually starts with revenue, EBITDA, profit, growth rate, and comparable market multiples. That is useful, but it mainly captures the operating business as reflected through the income statement.</w:t>
      </w:r>
    </w:p>
    <w:p w14:paraId="57757D32" w14:textId="77777777" w:rsidR="00814CCF" w:rsidRPr="00814CCF" w:rsidRDefault="00814CCF" w:rsidP="00814CCF">
      <w:pPr>
        <w:spacing w:after="0" w:line="300" w:lineRule="auto"/>
        <w:jc w:val="both"/>
        <w:rPr>
          <w:rFonts w:ascii="Helvetica" w:hAnsi="Helvetica"/>
          <w:color w:val="1A1A1A"/>
        </w:rPr>
      </w:pPr>
    </w:p>
    <w:p w14:paraId="0AB8A3F3" w14:textId="77777777" w:rsidR="00814CCF" w:rsidRDefault="00814CCF" w:rsidP="00814CCF">
      <w:pPr>
        <w:spacing w:after="0" w:line="300" w:lineRule="auto"/>
        <w:jc w:val="both"/>
        <w:rPr>
          <w:rFonts w:ascii="Helvetica" w:hAnsi="Helvetica"/>
          <w:color w:val="1A1A1A"/>
        </w:rPr>
      </w:pPr>
      <w:r w:rsidRPr="00814CCF">
        <w:rPr>
          <w:rFonts w:ascii="Helvetica" w:hAnsi="Helvetica"/>
          <w:color w:val="1A1A1A"/>
        </w:rPr>
        <w:t>A sum of parts valuation goes one layer deeper. It separates the value of the operating business from the value of specific intangible assets that support that business. Your financial multiple captures what the business earns today. Your intangible asset valuation captures the additional economic value created by assets such as brand equity, customer relationships, proprietary software, data, contracts, and intellectual property.</w:t>
      </w:r>
    </w:p>
    <w:p w14:paraId="20EC81D7" w14:textId="77777777" w:rsidR="00814CCF" w:rsidRPr="00814CCF" w:rsidRDefault="00814CCF" w:rsidP="00814CCF">
      <w:pPr>
        <w:spacing w:after="0" w:line="300" w:lineRule="auto"/>
        <w:jc w:val="both"/>
        <w:rPr>
          <w:rFonts w:ascii="Helvetica" w:hAnsi="Helvetica"/>
          <w:color w:val="1A1A1A"/>
        </w:rPr>
      </w:pPr>
    </w:p>
    <w:p w14:paraId="2713EA97" w14:textId="1389ED5E" w:rsidR="000A5A0F" w:rsidRDefault="00814CCF" w:rsidP="00814CCF">
      <w:pPr>
        <w:spacing w:after="0" w:line="300" w:lineRule="auto"/>
        <w:jc w:val="both"/>
        <w:rPr>
          <w:rFonts w:ascii="Helvetica" w:hAnsi="Helvetica"/>
          <w:color w:val="1A1A1A"/>
        </w:rPr>
      </w:pPr>
      <w:r w:rsidRPr="00814CCF">
        <w:rPr>
          <w:rFonts w:ascii="Helvetica" w:hAnsi="Helvetica"/>
          <w:color w:val="1A1A1A"/>
        </w:rPr>
        <w:t>This is not about inflating a valuation number. It is about making visible what already exists but is not clearly reflected in your profit and loss statement. A company valued at 2 times EBITDA on financials alone may support a stronger valuation when brand strength, customer stickiness, proprietary systems, or recurring contractual relationships are formally evidenced and valued as separate components.</w:t>
      </w:r>
    </w:p>
    <w:tbl>
      <w:tblPr>
        <w:tblStyle w:val="TableGrid"/>
        <w:tblW w:w="9355" w:type="dxa"/>
        <w:tblLook w:val="04A0" w:firstRow="1" w:lastRow="0" w:firstColumn="1" w:lastColumn="0" w:noHBand="0" w:noVBand="1"/>
      </w:tblPr>
      <w:tblGrid>
        <w:gridCol w:w="9355"/>
      </w:tblGrid>
      <w:tr w:rsidR="00010CE7" w:rsidRPr="00010CE7" w14:paraId="7FF72B16" w14:textId="77777777" w:rsidTr="00010CE7">
        <w:tc>
          <w:tcPr>
            <w:tcW w:w="9355" w:type="dxa"/>
            <w:tcBorders>
              <w:top w:val="nil"/>
              <w:left w:val="nil"/>
              <w:bottom w:val="nil"/>
              <w:right w:val="nil"/>
            </w:tcBorders>
          </w:tcPr>
          <w:p w14:paraId="2BCA038E" w14:textId="77777777" w:rsidR="00010CE7" w:rsidRPr="00010CE7" w:rsidRDefault="00010CE7" w:rsidP="00010CE7">
            <w:pPr>
              <w:spacing w:line="300" w:lineRule="auto"/>
              <w:jc w:val="both"/>
              <w:rPr>
                <w:rFonts w:ascii="Helvetica" w:hAnsi="Helvetica"/>
                <w:color w:val="1A1A1A"/>
              </w:rPr>
            </w:pPr>
          </w:p>
        </w:tc>
      </w:tr>
      <w:tr w:rsidR="00010CE7" w:rsidRPr="00010CE7" w14:paraId="60F5B2EB" w14:textId="77777777" w:rsidTr="00010CE7">
        <w:trPr>
          <w:trHeight w:val="60"/>
        </w:trPr>
        <w:tc>
          <w:tcPr>
            <w:tcW w:w="9355" w:type="dxa"/>
            <w:tcBorders>
              <w:top w:val="nil"/>
              <w:left w:val="nil"/>
              <w:bottom w:val="nil"/>
              <w:right w:val="nil"/>
            </w:tcBorders>
          </w:tcPr>
          <w:p w14:paraId="483CD64A" w14:textId="77777777" w:rsidR="00010CE7" w:rsidRPr="00010CE7" w:rsidRDefault="00010CE7" w:rsidP="00010CE7">
            <w:pPr>
              <w:spacing w:line="300" w:lineRule="auto"/>
              <w:jc w:val="both"/>
              <w:rPr>
                <w:rFonts w:ascii="Helvetica" w:hAnsi="Helvetica"/>
                <w:color w:val="1A1A1A"/>
              </w:rPr>
            </w:pPr>
          </w:p>
        </w:tc>
      </w:tr>
      <w:tr w:rsidR="000A5A0F" w:rsidRPr="00010CE7" w14:paraId="4C3C1113" w14:textId="77777777" w:rsidTr="00C12B5F">
        <w:tblPrEx>
          <w:tblBorders>
            <w:top w:val="none" w:sz="0" w:space="0" w:color="auto"/>
            <w:left w:val="single" w:sz="48" w:space="0" w:color="D97706"/>
            <w:bottom w:val="none" w:sz="0" w:space="0" w:color="auto"/>
            <w:right w:val="none" w:sz="0" w:space="0" w:color="auto"/>
            <w:insideH w:val="none" w:sz="0" w:space="0" w:color="auto"/>
            <w:insideV w:val="none" w:sz="0" w:space="0" w:color="auto"/>
          </w:tblBorders>
          <w:shd w:val="clear" w:color="auto" w:fill="FEF3C7"/>
          <w:tblCellMar>
            <w:top w:w="288" w:type="dxa"/>
            <w:left w:w="720" w:type="dxa"/>
            <w:bottom w:w="288" w:type="dxa"/>
            <w:right w:w="720" w:type="dxa"/>
          </w:tblCellMar>
        </w:tblPrEx>
        <w:tc>
          <w:tcPr>
            <w:tcW w:w="9355" w:type="dxa"/>
            <w:tcBorders>
              <w:top w:val="nil"/>
              <w:bottom w:val="nil"/>
            </w:tcBorders>
            <w:shd w:val="clear" w:color="auto" w:fill="FEF3C7"/>
          </w:tcPr>
          <w:p w14:paraId="17F47327" w14:textId="22363738" w:rsidR="000A5A0F" w:rsidRPr="00010CE7" w:rsidRDefault="00814CCF" w:rsidP="000426D4">
            <w:pPr>
              <w:spacing w:line="300" w:lineRule="auto"/>
              <w:rPr>
                <w:rFonts w:ascii="Helvetica" w:hAnsi="Helvetica"/>
                <w:b/>
                <w:bCs/>
                <w:color w:val="D97706"/>
              </w:rPr>
            </w:pPr>
            <w:r>
              <w:rPr>
                <w:rFonts w:ascii="Helvetica" w:hAnsi="Helvetica"/>
                <w:b/>
                <w:bCs/>
                <w:color w:val="D97706"/>
              </w:rPr>
              <w:t>Example</w:t>
            </w:r>
          </w:p>
          <w:p w14:paraId="4D478813" w14:textId="67CB9F09" w:rsidR="000A5A0F" w:rsidRPr="00010CE7" w:rsidRDefault="00814CCF" w:rsidP="000426D4">
            <w:pPr>
              <w:spacing w:line="300" w:lineRule="auto"/>
              <w:rPr>
                <w:rFonts w:ascii="Helvetica" w:hAnsi="Helvetica"/>
                <w:color w:val="1A1A1A"/>
              </w:rPr>
            </w:pPr>
            <w:r w:rsidRPr="00814CCF">
              <w:rPr>
                <w:rFonts w:ascii="Helvetica" w:hAnsi="Helvetica"/>
                <w:color w:val="1A1A1A"/>
              </w:rPr>
              <w:t>Brand and intellectual property are commonly assessed using a relief from royalty approach. Customer relationships are often reviewed through an excess earnings method. Software, data assets, and proprietary technology may be evaluated through income based approaches that consider the incremental cash flows, cost savings, or strategic advantage created by the asset.</w:t>
            </w:r>
          </w:p>
        </w:tc>
      </w:tr>
      <w:tr w:rsidR="00C12B5F" w:rsidRPr="00010CE7" w14:paraId="0CBB5B84" w14:textId="77777777" w:rsidTr="00C12B5F">
        <w:tc>
          <w:tcPr>
            <w:tcW w:w="9355" w:type="dxa"/>
            <w:tcBorders>
              <w:top w:val="nil"/>
              <w:left w:val="nil"/>
              <w:bottom w:val="nil"/>
              <w:right w:val="nil"/>
            </w:tcBorders>
          </w:tcPr>
          <w:p w14:paraId="4FD72BE2" w14:textId="77777777" w:rsidR="00C12B5F" w:rsidRPr="00010CE7" w:rsidRDefault="00C12B5F" w:rsidP="00C9796D">
            <w:pPr>
              <w:spacing w:line="300" w:lineRule="auto"/>
              <w:jc w:val="both"/>
              <w:rPr>
                <w:rFonts w:ascii="Helvetica" w:hAnsi="Helvetica"/>
                <w:color w:val="1A1A1A"/>
              </w:rPr>
            </w:pPr>
          </w:p>
        </w:tc>
      </w:tr>
      <w:tr w:rsidR="00C12B5F" w:rsidRPr="00010CE7" w14:paraId="7DB1F86C" w14:textId="77777777" w:rsidTr="00C12B5F">
        <w:trPr>
          <w:trHeight w:val="60"/>
        </w:trPr>
        <w:tc>
          <w:tcPr>
            <w:tcW w:w="9355" w:type="dxa"/>
            <w:tcBorders>
              <w:top w:val="nil"/>
              <w:left w:val="nil"/>
              <w:bottom w:val="nil"/>
              <w:right w:val="nil"/>
            </w:tcBorders>
          </w:tcPr>
          <w:p w14:paraId="0AB28556" w14:textId="77777777" w:rsidR="00C12B5F" w:rsidRPr="00010CE7" w:rsidRDefault="00C12B5F" w:rsidP="00C9796D">
            <w:pPr>
              <w:spacing w:line="300" w:lineRule="auto"/>
              <w:jc w:val="both"/>
              <w:rPr>
                <w:rFonts w:ascii="Helvetica" w:hAnsi="Helvetica"/>
                <w:color w:val="1A1A1A"/>
              </w:rPr>
            </w:pPr>
          </w:p>
        </w:tc>
      </w:tr>
    </w:tbl>
    <w:p w14:paraId="706523A0" w14:textId="67490377" w:rsidR="00010CE7" w:rsidRPr="00010CE7" w:rsidRDefault="007D5EEB"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010CE7" w:rsidRPr="00010CE7">
        <w:rPr>
          <w:rFonts w:ascii="Helvetica" w:hAnsi="Helvetica"/>
          <w:color w:val="1A1A1A"/>
          <w:sz w:val="20"/>
          <w:szCs w:val="20"/>
        </w:rPr>
        <w:t>3</w:t>
      </w:r>
    </w:p>
    <w:p w14:paraId="0CCB8B33" w14:textId="7CBE2B6E" w:rsidR="007D5EEB" w:rsidRPr="00010CE7" w:rsidRDefault="007D5EEB" w:rsidP="00010CE7">
      <w:pPr>
        <w:pStyle w:val="Heading2"/>
        <w:spacing w:before="0" w:after="0" w:line="300" w:lineRule="auto"/>
        <w:jc w:val="both"/>
        <w:rPr>
          <w:rFonts w:ascii="Helvetica" w:hAnsi="Helvetica"/>
          <w:color w:val="1A1A1A"/>
          <w:sz w:val="24"/>
          <w:szCs w:val="24"/>
        </w:rPr>
      </w:pPr>
    </w:p>
    <w:p w14:paraId="77A7D786" w14:textId="649C5C00" w:rsidR="007D5EEB" w:rsidRPr="00010CE7" w:rsidRDefault="00814CCF" w:rsidP="00010CE7">
      <w:pPr>
        <w:pStyle w:val="Heading2"/>
        <w:spacing w:before="0" w:after="0" w:line="240" w:lineRule="auto"/>
        <w:jc w:val="both"/>
        <w:rPr>
          <w:rFonts w:ascii="Helvetica" w:hAnsi="Helvetica"/>
          <w:color w:val="174C3C"/>
          <w:sz w:val="40"/>
          <w:szCs w:val="40"/>
        </w:rPr>
      </w:pPr>
      <w:r w:rsidRPr="00814CCF">
        <w:rPr>
          <w:rFonts w:ascii="Helvetica" w:hAnsi="Helvetica"/>
          <w:color w:val="174C3C"/>
          <w:sz w:val="40"/>
          <w:szCs w:val="40"/>
        </w:rPr>
        <w:t>Why Discover Value Before You Need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D5EEB" w:rsidRPr="00010CE7" w14:paraId="2503FEF8" w14:textId="77777777" w:rsidTr="00D25791">
        <w:tc>
          <w:tcPr>
            <w:tcW w:w="9350" w:type="dxa"/>
            <w:tcBorders>
              <w:bottom w:val="single" w:sz="6" w:space="0" w:color="E5E5E5"/>
            </w:tcBorders>
          </w:tcPr>
          <w:p w14:paraId="7D043220" w14:textId="77777777" w:rsidR="007D5EEB" w:rsidRPr="00010CE7" w:rsidRDefault="007D5EEB" w:rsidP="00010CE7">
            <w:pPr>
              <w:spacing w:line="300" w:lineRule="auto"/>
              <w:jc w:val="both"/>
              <w:rPr>
                <w:rFonts w:ascii="Helvetica" w:hAnsi="Helvetica"/>
                <w:color w:val="1A1A1A"/>
              </w:rPr>
            </w:pPr>
          </w:p>
        </w:tc>
      </w:tr>
    </w:tbl>
    <w:p w14:paraId="592D129A" w14:textId="77777777" w:rsidR="0025713E" w:rsidRPr="00010CE7" w:rsidRDefault="0025713E" w:rsidP="00010CE7">
      <w:pPr>
        <w:spacing w:after="0" w:line="300" w:lineRule="auto"/>
        <w:jc w:val="both"/>
        <w:rPr>
          <w:rFonts w:ascii="Helvetica" w:hAnsi="Helvetica"/>
          <w:color w:val="1A1A1A"/>
        </w:rPr>
      </w:pPr>
    </w:p>
    <w:p w14:paraId="0A8C834B" w14:textId="77777777" w:rsidR="00814CCF" w:rsidRPr="00814CCF" w:rsidRDefault="00814CCF" w:rsidP="00814CCF">
      <w:pPr>
        <w:spacing w:after="0" w:line="300" w:lineRule="auto"/>
        <w:jc w:val="both"/>
        <w:rPr>
          <w:rFonts w:ascii="Helvetica" w:hAnsi="Helvetica"/>
          <w:color w:val="1A1A1A"/>
        </w:rPr>
      </w:pPr>
      <w:r w:rsidRPr="00814CCF">
        <w:rPr>
          <w:rFonts w:ascii="Helvetica" w:hAnsi="Helvetica"/>
          <w:color w:val="1A1A1A"/>
        </w:rPr>
        <w:t>Undocumented value is usually treated as unsupported value. That becomes a problem when the company enters a fundraising process, M&amp;A discussion, bank financing review, shareholder conversation, or strategic planning cycle where valuation suddenly matters.</w:t>
      </w:r>
    </w:p>
    <w:p w14:paraId="693CB8D8" w14:textId="77777777" w:rsidR="00814CCF" w:rsidRDefault="00814CCF" w:rsidP="00814CCF">
      <w:pPr>
        <w:spacing w:after="0" w:line="300" w:lineRule="auto"/>
        <w:jc w:val="both"/>
        <w:rPr>
          <w:rFonts w:ascii="Helvetica" w:hAnsi="Helvetica"/>
          <w:color w:val="1A1A1A"/>
        </w:rPr>
      </w:pPr>
    </w:p>
    <w:p w14:paraId="4B958FAA" w14:textId="09359FB6" w:rsidR="00814CCF" w:rsidRDefault="00814CCF" w:rsidP="00814CCF">
      <w:pPr>
        <w:spacing w:after="0" w:line="300" w:lineRule="auto"/>
        <w:jc w:val="both"/>
        <w:rPr>
          <w:rFonts w:ascii="Helvetica" w:hAnsi="Helvetica"/>
          <w:color w:val="1A1A1A"/>
        </w:rPr>
      </w:pPr>
      <w:r w:rsidRPr="00814CCF">
        <w:rPr>
          <w:rFonts w:ascii="Helvetica" w:hAnsi="Helvetica"/>
          <w:color w:val="1A1A1A"/>
        </w:rPr>
        <w:t>By the time a transaction is live, there is rarely enough time to build the evidence properly. Buyers and investors will ask for customer data, brand evidence, contract quality, technology documentation, IP ownership records, and financial linkage between the asset and commercial performance. If that evidence has not been gathered, the conversation becomes defensive. The business may still have value, but the valuation case becomes harder to prove.</w:t>
      </w:r>
    </w:p>
    <w:p w14:paraId="716829AF" w14:textId="77777777" w:rsidR="00814CCF" w:rsidRPr="00814CCF" w:rsidRDefault="00814CCF" w:rsidP="00814CCF">
      <w:pPr>
        <w:spacing w:after="0" w:line="300" w:lineRule="auto"/>
        <w:jc w:val="both"/>
        <w:rPr>
          <w:rFonts w:ascii="Helvetica" w:hAnsi="Helvetica"/>
          <w:color w:val="1A1A1A"/>
        </w:rPr>
      </w:pPr>
    </w:p>
    <w:p w14:paraId="43B5482C" w14:textId="77777777" w:rsidR="00814CCF" w:rsidRDefault="00814CCF" w:rsidP="00814CCF">
      <w:pPr>
        <w:spacing w:after="0" w:line="300" w:lineRule="auto"/>
        <w:jc w:val="both"/>
        <w:rPr>
          <w:rFonts w:ascii="Helvetica" w:hAnsi="Helvetica"/>
          <w:color w:val="1A1A1A"/>
        </w:rPr>
      </w:pPr>
      <w:r w:rsidRPr="00814CCF">
        <w:rPr>
          <w:rFonts w:ascii="Helvetica" w:hAnsi="Helvetica"/>
          <w:color w:val="1A1A1A"/>
        </w:rPr>
        <w:t>Mapping intangible assets early gives management a sharper view of where value is actually being created. If customer relationships are the strongest asset, then retention, renewal quality, and concentration risk should be tracked more carefully. If proprietary software is the asset, then documentation, usage data, replacement cost, and productivity impact matter. If brand is the asset, then customer preference, pricing power, awareness, and reputation signals need to be measured instead of assumed.</w:t>
      </w:r>
    </w:p>
    <w:p w14:paraId="4E615E57" w14:textId="77777777" w:rsidR="00814CCF" w:rsidRPr="00814CCF" w:rsidRDefault="00814CCF" w:rsidP="00814CCF">
      <w:pPr>
        <w:spacing w:after="0" w:line="300" w:lineRule="auto"/>
        <w:jc w:val="both"/>
        <w:rPr>
          <w:rFonts w:ascii="Helvetica" w:hAnsi="Helvetica"/>
          <w:color w:val="1A1A1A"/>
        </w:rPr>
      </w:pPr>
    </w:p>
    <w:p w14:paraId="43EE1866" w14:textId="086D1C68" w:rsidR="0025713E" w:rsidRDefault="00814CCF" w:rsidP="00814CCF">
      <w:pPr>
        <w:spacing w:after="0" w:line="300" w:lineRule="auto"/>
        <w:jc w:val="both"/>
        <w:rPr>
          <w:rFonts w:ascii="Helvetica" w:hAnsi="Helvetica"/>
          <w:color w:val="1A1A1A"/>
        </w:rPr>
      </w:pPr>
      <w:r w:rsidRPr="00814CCF">
        <w:rPr>
          <w:rFonts w:ascii="Helvetica" w:hAnsi="Helvetica"/>
          <w:color w:val="1A1A1A"/>
        </w:rPr>
        <w:t>This changes how the business is managed. The exercise is not only for future valuation reports. It helps founders and management teams decide where to invest, which assets to protect, what evidence to preserve, and which parts of the business deserve more strategic attention.</w:t>
      </w:r>
      <w:r w:rsidR="00C12B5F">
        <w:rPr>
          <w:rFonts w:ascii="Helvetica" w:hAnsi="Helvetica"/>
          <w:color w:val="1A1A1A"/>
        </w:rPr>
        <w:t xml:space="preserve"> </w:t>
      </w:r>
    </w:p>
    <w:p w14:paraId="6CD984CD" w14:textId="77777777" w:rsidR="002A4ABC" w:rsidRDefault="002A4ABC">
      <w:pPr>
        <w:rPr>
          <w:rFonts w:ascii="Helvetica" w:eastAsiaTheme="majorEastAsia" w:hAnsi="Helvetica" w:cstheme="majorBidi"/>
          <w:color w:val="1A1A1A"/>
          <w:sz w:val="20"/>
          <w:szCs w:val="20"/>
        </w:rPr>
      </w:pPr>
      <w:r>
        <w:rPr>
          <w:rFonts w:ascii="Helvetica" w:hAnsi="Helvetica"/>
          <w:color w:val="1A1A1A"/>
          <w:sz w:val="20"/>
          <w:szCs w:val="20"/>
        </w:rPr>
        <w:br w:type="page"/>
      </w:r>
    </w:p>
    <w:p w14:paraId="691686D6" w14:textId="064053BF" w:rsidR="00350144"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0A5A0F" w:rsidRPr="00010CE7">
        <w:rPr>
          <w:rFonts w:ascii="Helvetica" w:hAnsi="Helvetica"/>
          <w:color w:val="1A1A1A"/>
          <w:sz w:val="20"/>
          <w:szCs w:val="20"/>
        </w:rPr>
        <w:t>4</w:t>
      </w:r>
    </w:p>
    <w:p w14:paraId="0B4406BB" w14:textId="77777777" w:rsidR="00010CE7" w:rsidRPr="00010CE7" w:rsidRDefault="00010CE7" w:rsidP="00010CE7">
      <w:pPr>
        <w:pStyle w:val="Heading2"/>
        <w:spacing w:before="0" w:after="0" w:line="300" w:lineRule="auto"/>
        <w:jc w:val="both"/>
        <w:rPr>
          <w:rFonts w:ascii="Helvetica" w:hAnsi="Helvetica"/>
          <w:color w:val="174C3C"/>
          <w:sz w:val="24"/>
          <w:szCs w:val="24"/>
        </w:rPr>
      </w:pPr>
    </w:p>
    <w:p w14:paraId="203FAC51" w14:textId="06B625A9" w:rsidR="00350144" w:rsidRPr="00010CE7" w:rsidRDefault="00814CCF" w:rsidP="00010CE7">
      <w:pPr>
        <w:pStyle w:val="Heading2"/>
        <w:spacing w:before="0" w:after="0" w:line="240" w:lineRule="auto"/>
        <w:jc w:val="both"/>
        <w:rPr>
          <w:rFonts w:ascii="Helvetica" w:hAnsi="Helvetica"/>
          <w:color w:val="174C3C"/>
          <w:sz w:val="40"/>
          <w:szCs w:val="40"/>
        </w:rPr>
      </w:pPr>
      <w:r w:rsidRPr="00814CCF">
        <w:rPr>
          <w:rFonts w:ascii="Helvetica" w:hAnsi="Helvetica"/>
          <w:color w:val="174C3C"/>
          <w:sz w:val="40"/>
          <w:szCs w:val="40"/>
        </w:rPr>
        <w:t>What Good Evidence Looks Like</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50144" w:rsidRPr="00010CE7" w14:paraId="4C158C87" w14:textId="77777777" w:rsidTr="00D25791">
        <w:tc>
          <w:tcPr>
            <w:tcW w:w="9350" w:type="dxa"/>
            <w:tcBorders>
              <w:bottom w:val="single" w:sz="6" w:space="0" w:color="E5E5E5"/>
            </w:tcBorders>
          </w:tcPr>
          <w:p w14:paraId="45C25A78" w14:textId="275C2A48" w:rsidR="00350144" w:rsidRPr="00010CE7" w:rsidRDefault="00350144" w:rsidP="00010CE7">
            <w:pPr>
              <w:spacing w:line="300" w:lineRule="auto"/>
              <w:jc w:val="both"/>
              <w:rPr>
                <w:rFonts w:ascii="Helvetica" w:hAnsi="Helvetica"/>
                <w:color w:val="1A1A1A"/>
              </w:rPr>
            </w:pPr>
          </w:p>
        </w:tc>
      </w:tr>
      <w:tr w:rsidR="00350144" w:rsidRPr="00010CE7" w14:paraId="793DF697" w14:textId="77777777" w:rsidTr="00D25791">
        <w:trPr>
          <w:trHeight w:val="60"/>
        </w:trPr>
        <w:tc>
          <w:tcPr>
            <w:tcW w:w="9350" w:type="dxa"/>
            <w:tcBorders>
              <w:top w:val="single" w:sz="6" w:space="0" w:color="E5E5E5"/>
            </w:tcBorders>
          </w:tcPr>
          <w:p w14:paraId="71BCF633" w14:textId="77777777" w:rsidR="0025713E" w:rsidRPr="00010CE7" w:rsidRDefault="0025713E" w:rsidP="00010CE7">
            <w:pPr>
              <w:spacing w:line="300" w:lineRule="auto"/>
              <w:jc w:val="both"/>
              <w:rPr>
                <w:rFonts w:ascii="Helvetica" w:hAnsi="Helvetica"/>
                <w:color w:val="1A1A1A"/>
              </w:rPr>
            </w:pPr>
          </w:p>
        </w:tc>
      </w:tr>
    </w:tbl>
    <w:p w14:paraId="7AC19BE7" w14:textId="5E64DC57" w:rsidR="000A5A0F" w:rsidRDefault="00814CCF" w:rsidP="00010CE7">
      <w:pPr>
        <w:spacing w:after="0" w:line="300" w:lineRule="auto"/>
        <w:jc w:val="both"/>
        <w:rPr>
          <w:rFonts w:ascii="Helvetica" w:hAnsi="Helvetica"/>
          <w:color w:val="1A1A1A"/>
        </w:rPr>
      </w:pPr>
      <w:r w:rsidRPr="00814CCF">
        <w:rPr>
          <w:rFonts w:ascii="Helvetica" w:hAnsi="Helvetica"/>
          <w:color w:val="1A1A1A"/>
        </w:rPr>
        <w:t>Strong intangible asset evidence connects the asset to commercial outcomes. The table below sets out the main categories Bain Squared would typically review during an intangible asset discovery exercise.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85"/>
      </w:tblGrid>
      <w:tr w:rsidR="00C12B5F" w:rsidRPr="00010CE7" w14:paraId="201F257F" w14:textId="77777777" w:rsidTr="00C12B5F">
        <w:tc>
          <w:tcPr>
            <w:tcW w:w="9355" w:type="dxa"/>
            <w:gridSpan w:val="2"/>
          </w:tcPr>
          <w:p w14:paraId="54CB8E4E" w14:textId="77777777" w:rsidR="00C12B5F" w:rsidRPr="00010CE7" w:rsidRDefault="00C12B5F" w:rsidP="00C9796D">
            <w:pPr>
              <w:spacing w:line="300" w:lineRule="auto"/>
              <w:jc w:val="both"/>
              <w:rPr>
                <w:rFonts w:ascii="Helvetica" w:hAnsi="Helvetica"/>
                <w:color w:val="1A1A1A"/>
              </w:rPr>
            </w:pPr>
          </w:p>
        </w:tc>
      </w:tr>
      <w:tr w:rsidR="00C12B5F" w:rsidRPr="00010CE7" w14:paraId="01206772" w14:textId="77777777" w:rsidTr="00C12B5F">
        <w:trPr>
          <w:trHeight w:val="60"/>
        </w:trPr>
        <w:tc>
          <w:tcPr>
            <w:tcW w:w="9355" w:type="dxa"/>
            <w:gridSpan w:val="2"/>
          </w:tcPr>
          <w:p w14:paraId="65EE46D6" w14:textId="77777777" w:rsidR="00C12B5F" w:rsidRPr="00010CE7" w:rsidRDefault="00C12B5F" w:rsidP="00C9796D">
            <w:pPr>
              <w:spacing w:line="300" w:lineRule="auto"/>
              <w:jc w:val="both"/>
              <w:rPr>
                <w:rFonts w:ascii="Helvetica" w:hAnsi="Helvetica"/>
                <w:color w:val="1A1A1A"/>
              </w:rPr>
            </w:pPr>
          </w:p>
        </w:tc>
      </w:tr>
      <w:tr w:rsidR="00C12B5F" w:rsidRPr="00010CE7" w14:paraId="795F1312" w14:textId="77777777" w:rsidTr="00814CCF">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174C3C"/>
            <w:vAlign w:val="center"/>
          </w:tcPr>
          <w:p w14:paraId="78CF9804" w14:textId="4A22C473" w:rsidR="00C12B5F" w:rsidRPr="00010CE7" w:rsidRDefault="00C12B5F" w:rsidP="00C9796D">
            <w:pPr>
              <w:spacing w:line="300" w:lineRule="auto"/>
              <w:rPr>
                <w:rFonts w:ascii="Helvetica" w:hAnsi="Helvetica"/>
                <w:color w:val="F7F5F2"/>
              </w:rPr>
            </w:pPr>
            <w:r w:rsidRPr="00C12B5F">
              <w:rPr>
                <w:rFonts w:ascii="Helvetica" w:hAnsi="Helvetica"/>
                <w:b/>
                <w:color w:val="F7F5F2"/>
              </w:rPr>
              <w:t>Asset Type</w:t>
            </w:r>
          </w:p>
        </w:tc>
        <w:tc>
          <w:tcPr>
            <w:tcW w:w="4685" w:type="dxa"/>
            <w:shd w:val="clear" w:color="auto" w:fill="174C3C"/>
            <w:vAlign w:val="center"/>
          </w:tcPr>
          <w:p w14:paraId="4F07CD62" w14:textId="0B28FC3D" w:rsidR="00C12B5F" w:rsidRPr="00010CE7" w:rsidRDefault="00C12B5F" w:rsidP="00C9796D">
            <w:pPr>
              <w:spacing w:line="300" w:lineRule="auto"/>
              <w:rPr>
                <w:rFonts w:ascii="Helvetica" w:hAnsi="Helvetica"/>
                <w:color w:val="F7F5F2"/>
              </w:rPr>
            </w:pPr>
            <w:r w:rsidRPr="00C12B5F">
              <w:rPr>
                <w:rFonts w:ascii="Helvetica" w:hAnsi="Helvetica"/>
                <w:b/>
                <w:color w:val="F7F5F2"/>
              </w:rPr>
              <w:t>What You Should Start Tracking</w:t>
            </w:r>
          </w:p>
        </w:tc>
      </w:tr>
      <w:tr w:rsidR="00C12B5F" w:rsidRPr="00010CE7" w14:paraId="1A411CD3" w14:textId="77777777" w:rsidTr="00814CCF">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7F5F2"/>
            <w:vAlign w:val="center"/>
          </w:tcPr>
          <w:p w14:paraId="4F6B9E03" w14:textId="40E2E90B" w:rsidR="00C12B5F" w:rsidRPr="00010CE7" w:rsidRDefault="00C12B5F" w:rsidP="00C9796D">
            <w:pPr>
              <w:spacing w:line="300" w:lineRule="auto"/>
              <w:rPr>
                <w:rFonts w:ascii="Helvetica" w:hAnsi="Helvetica"/>
                <w:color w:val="1A1A1A"/>
              </w:rPr>
            </w:pPr>
            <w:r>
              <w:rPr>
                <w:rFonts w:ascii="Helvetica" w:hAnsi="Helvetica"/>
                <w:b/>
                <w:color w:val="1A1A1A"/>
              </w:rPr>
              <w:t>Brand</w:t>
            </w:r>
          </w:p>
        </w:tc>
        <w:tc>
          <w:tcPr>
            <w:tcW w:w="4685" w:type="dxa"/>
            <w:shd w:val="clear" w:color="auto" w:fill="F7F5F2"/>
            <w:vAlign w:val="center"/>
          </w:tcPr>
          <w:p w14:paraId="6E99B852" w14:textId="44B660BE" w:rsidR="00C12B5F" w:rsidRPr="00010CE7" w:rsidRDefault="00C12B5F" w:rsidP="00C9796D">
            <w:pPr>
              <w:spacing w:line="300" w:lineRule="auto"/>
              <w:rPr>
                <w:rFonts w:ascii="Helvetica" w:hAnsi="Helvetica"/>
                <w:color w:val="1A1A1A"/>
              </w:rPr>
            </w:pPr>
            <w:r w:rsidRPr="00C12B5F">
              <w:rPr>
                <w:rFonts w:ascii="Helvetica" w:hAnsi="Helvetica"/>
                <w:color w:val="1A1A1A"/>
              </w:rPr>
              <w:t>Customer survey data, Net Promoter Scores, brand recognition indicators, referral sources, and evidence that you can charge a premium over competitors.</w:t>
            </w:r>
          </w:p>
        </w:tc>
      </w:tr>
      <w:tr w:rsidR="00C12B5F" w:rsidRPr="00010CE7" w14:paraId="44C9B792" w14:textId="77777777" w:rsidTr="00814CCF">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FFFFF" w:themeFill="background1"/>
            <w:vAlign w:val="center"/>
          </w:tcPr>
          <w:p w14:paraId="4EFB87DE" w14:textId="44FDB5AD" w:rsidR="00C12B5F" w:rsidRPr="00010CE7" w:rsidRDefault="00C12B5F" w:rsidP="00C9796D">
            <w:pPr>
              <w:spacing w:line="300" w:lineRule="auto"/>
              <w:rPr>
                <w:rFonts w:ascii="Helvetica" w:hAnsi="Helvetica"/>
                <w:color w:val="1A1A1A"/>
              </w:rPr>
            </w:pPr>
            <w:r>
              <w:rPr>
                <w:rFonts w:ascii="Helvetica" w:hAnsi="Helvetica"/>
                <w:b/>
                <w:color w:val="1A1A1A"/>
              </w:rPr>
              <w:t>Customer relationships</w:t>
            </w:r>
          </w:p>
        </w:tc>
        <w:tc>
          <w:tcPr>
            <w:tcW w:w="4685" w:type="dxa"/>
            <w:shd w:val="clear" w:color="auto" w:fill="FFFFFF" w:themeFill="background1"/>
            <w:vAlign w:val="center"/>
          </w:tcPr>
          <w:p w14:paraId="229838DA" w14:textId="045594EC" w:rsidR="00C12B5F" w:rsidRPr="00010CE7" w:rsidRDefault="00C12B5F" w:rsidP="00C9796D">
            <w:pPr>
              <w:spacing w:line="300" w:lineRule="auto"/>
              <w:rPr>
                <w:rFonts w:ascii="Helvetica" w:hAnsi="Helvetica"/>
                <w:color w:val="1A1A1A"/>
              </w:rPr>
            </w:pPr>
            <w:r w:rsidRPr="00C12B5F">
              <w:rPr>
                <w:rFonts w:ascii="Helvetica" w:hAnsi="Helvetica"/>
                <w:color w:val="1A1A1A"/>
              </w:rPr>
              <w:t>Churn rates, repeat purchase data, customer concentration, account expansion, customer tenure, and renewal behaviour.</w:t>
            </w:r>
          </w:p>
        </w:tc>
      </w:tr>
      <w:tr w:rsidR="00C12B5F" w:rsidRPr="00010CE7" w14:paraId="0C2BEF65" w14:textId="77777777" w:rsidTr="00814CCF">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7F5F2"/>
            <w:vAlign w:val="center"/>
          </w:tcPr>
          <w:p w14:paraId="0994349C" w14:textId="17DFC96A" w:rsidR="00C12B5F" w:rsidRPr="00010CE7" w:rsidRDefault="00C12B5F" w:rsidP="00C9796D">
            <w:pPr>
              <w:spacing w:line="300" w:lineRule="auto"/>
              <w:rPr>
                <w:rFonts w:ascii="Helvetica" w:hAnsi="Helvetica"/>
                <w:color w:val="1A1A1A"/>
              </w:rPr>
            </w:pPr>
            <w:r>
              <w:rPr>
                <w:rFonts w:ascii="Helvetica" w:hAnsi="Helvetica"/>
                <w:b/>
                <w:color w:val="1A1A1A"/>
              </w:rPr>
              <w:t>Recurring revenue</w:t>
            </w:r>
          </w:p>
        </w:tc>
        <w:tc>
          <w:tcPr>
            <w:tcW w:w="4685" w:type="dxa"/>
            <w:shd w:val="clear" w:color="auto" w:fill="F7F5F2"/>
            <w:vAlign w:val="center"/>
          </w:tcPr>
          <w:p w14:paraId="15B2EC9D" w14:textId="41BE6829" w:rsidR="00C12B5F" w:rsidRPr="00010CE7" w:rsidRDefault="00C12B5F" w:rsidP="00C9796D">
            <w:pPr>
              <w:spacing w:line="300" w:lineRule="auto"/>
              <w:rPr>
                <w:rFonts w:ascii="Helvetica" w:hAnsi="Helvetica"/>
                <w:color w:val="1A1A1A"/>
              </w:rPr>
            </w:pPr>
            <w:r w:rsidRPr="00C12B5F">
              <w:rPr>
                <w:rFonts w:ascii="Helvetica" w:hAnsi="Helvetica"/>
                <w:color w:val="1A1A1A"/>
              </w:rPr>
              <w:t>The percentage of revenue that comes from subscriptions, retainers, recurring contracts, automatic renewals, or repeat customer behaviour.</w:t>
            </w:r>
          </w:p>
        </w:tc>
      </w:tr>
      <w:tr w:rsidR="00C12B5F" w:rsidRPr="00010CE7" w14:paraId="0446A0E6" w14:textId="77777777" w:rsidTr="00814CCF">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FFFFF" w:themeFill="background1"/>
            <w:vAlign w:val="center"/>
          </w:tcPr>
          <w:p w14:paraId="0C8BBD8D" w14:textId="1366C87D" w:rsidR="00C12B5F" w:rsidRPr="00010CE7" w:rsidRDefault="00C12B5F" w:rsidP="00C9796D">
            <w:pPr>
              <w:spacing w:line="300" w:lineRule="auto"/>
              <w:rPr>
                <w:rFonts w:ascii="Helvetica" w:hAnsi="Helvetica"/>
                <w:color w:val="1A1A1A"/>
              </w:rPr>
            </w:pPr>
            <w:r>
              <w:rPr>
                <w:rFonts w:ascii="Helvetica" w:hAnsi="Helvetica"/>
                <w:b/>
                <w:color w:val="1A1A1A"/>
              </w:rPr>
              <w:t>Software and technology</w:t>
            </w:r>
          </w:p>
        </w:tc>
        <w:tc>
          <w:tcPr>
            <w:tcW w:w="4685" w:type="dxa"/>
            <w:shd w:val="clear" w:color="auto" w:fill="FFFFFF" w:themeFill="background1"/>
            <w:vAlign w:val="center"/>
          </w:tcPr>
          <w:p w14:paraId="67F3851D" w14:textId="7F05E069" w:rsidR="00C12B5F" w:rsidRPr="00010CE7" w:rsidRDefault="00C12B5F" w:rsidP="00C9796D">
            <w:pPr>
              <w:spacing w:line="300" w:lineRule="auto"/>
              <w:rPr>
                <w:rFonts w:ascii="Helvetica" w:hAnsi="Helvetica"/>
                <w:color w:val="1A1A1A"/>
              </w:rPr>
            </w:pPr>
            <w:r w:rsidRPr="00C12B5F">
              <w:rPr>
                <w:rFonts w:ascii="Helvetica" w:hAnsi="Helvetica"/>
                <w:color w:val="1A1A1A"/>
              </w:rPr>
              <w:t>Documentation of internal tools, product systems, and measurable cost or time savings compared with manual alternatives.</w:t>
            </w:r>
          </w:p>
        </w:tc>
      </w:tr>
      <w:tr w:rsidR="00C12B5F" w:rsidRPr="00010CE7" w14:paraId="5DC43C5D" w14:textId="77777777" w:rsidTr="00814CCF">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7F5F2"/>
            <w:vAlign w:val="center"/>
          </w:tcPr>
          <w:p w14:paraId="24975898" w14:textId="382F72A9" w:rsidR="00C12B5F" w:rsidRPr="00010CE7" w:rsidRDefault="00C12B5F" w:rsidP="00C9796D">
            <w:pPr>
              <w:spacing w:line="300" w:lineRule="auto"/>
              <w:rPr>
                <w:rFonts w:ascii="Helvetica" w:hAnsi="Helvetica"/>
                <w:b/>
                <w:color w:val="1A1A1A"/>
              </w:rPr>
            </w:pPr>
            <w:r w:rsidRPr="00C12B5F">
              <w:rPr>
                <w:rFonts w:ascii="Helvetica" w:hAnsi="Helvetica"/>
                <w:b/>
                <w:color w:val="1A1A1A"/>
              </w:rPr>
              <w:t>IP, trademarks, and know how</w:t>
            </w:r>
          </w:p>
        </w:tc>
        <w:tc>
          <w:tcPr>
            <w:tcW w:w="4685" w:type="dxa"/>
            <w:shd w:val="clear" w:color="auto" w:fill="F7F5F2"/>
            <w:vAlign w:val="center"/>
          </w:tcPr>
          <w:p w14:paraId="5D2E8C2B" w14:textId="4E92C526" w:rsidR="00C12B5F" w:rsidRPr="00010CE7" w:rsidRDefault="00C12B5F" w:rsidP="00C9796D">
            <w:pPr>
              <w:spacing w:line="300" w:lineRule="auto"/>
              <w:rPr>
                <w:rFonts w:ascii="Helvetica" w:hAnsi="Helvetica"/>
                <w:color w:val="1A1A1A"/>
              </w:rPr>
            </w:pPr>
            <w:r w:rsidRPr="00C12B5F">
              <w:rPr>
                <w:rFonts w:ascii="Helvetica" w:hAnsi="Helvetica"/>
                <w:color w:val="1A1A1A"/>
              </w:rPr>
              <w:t xml:space="preserve">Registration certificates, licence agreements, proprietary methods, </w:t>
            </w:r>
            <w:r w:rsidRPr="00C12B5F">
              <w:rPr>
                <w:rFonts w:ascii="Helvetica" w:hAnsi="Helvetica"/>
                <w:color w:val="1A1A1A"/>
              </w:rPr>
              <w:lastRenderedPageBreak/>
              <w:t>technical documentation, evidence of active use, and ownership records.</w:t>
            </w:r>
          </w:p>
        </w:tc>
      </w:tr>
      <w:tr w:rsidR="00C12B5F" w:rsidRPr="00010CE7" w14:paraId="1043997B" w14:textId="77777777" w:rsidTr="00814CCF">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FFFFF" w:themeFill="background1"/>
            <w:vAlign w:val="center"/>
          </w:tcPr>
          <w:p w14:paraId="4C4CA775" w14:textId="77777777" w:rsidR="00C12B5F" w:rsidRPr="00010CE7" w:rsidRDefault="00C12B5F" w:rsidP="00C9796D">
            <w:pPr>
              <w:spacing w:line="300" w:lineRule="auto"/>
              <w:rPr>
                <w:rFonts w:ascii="Helvetica" w:hAnsi="Helvetica"/>
                <w:b/>
                <w:color w:val="1A1A1A"/>
              </w:rPr>
            </w:pPr>
            <w:r w:rsidRPr="00010CE7">
              <w:rPr>
                <w:rFonts w:ascii="Helvetica" w:hAnsi="Helvetica"/>
                <w:b/>
                <w:color w:val="1A1A1A"/>
              </w:rPr>
              <w:lastRenderedPageBreak/>
              <w:t>Contracts</w:t>
            </w:r>
          </w:p>
        </w:tc>
        <w:tc>
          <w:tcPr>
            <w:tcW w:w="4685" w:type="dxa"/>
            <w:shd w:val="clear" w:color="auto" w:fill="FFFFFF" w:themeFill="background1"/>
            <w:vAlign w:val="center"/>
          </w:tcPr>
          <w:p w14:paraId="33C10E05" w14:textId="6EEF594A" w:rsidR="00C12B5F" w:rsidRPr="00010CE7" w:rsidRDefault="00C12B5F" w:rsidP="00C9796D">
            <w:pPr>
              <w:spacing w:line="300" w:lineRule="auto"/>
              <w:rPr>
                <w:rFonts w:ascii="Helvetica" w:hAnsi="Helvetica"/>
                <w:color w:val="1A1A1A"/>
              </w:rPr>
            </w:pPr>
            <w:r w:rsidRPr="00C12B5F">
              <w:rPr>
                <w:rFonts w:ascii="Helvetica" w:hAnsi="Helvetica"/>
                <w:color w:val="1A1A1A"/>
              </w:rPr>
              <w:t>Signed agreements, contract value, renewal terms, exclusivity rights, customer quality, contract length, and termination provisions.</w:t>
            </w:r>
          </w:p>
        </w:tc>
      </w:tr>
      <w:tr w:rsidR="002A4ABC" w:rsidRPr="00010CE7" w14:paraId="70964410" w14:textId="77777777" w:rsidTr="002A4ABC">
        <w:tc>
          <w:tcPr>
            <w:tcW w:w="9355" w:type="dxa"/>
            <w:gridSpan w:val="2"/>
          </w:tcPr>
          <w:p w14:paraId="67A64447" w14:textId="77777777" w:rsidR="002A4ABC" w:rsidRPr="00010CE7" w:rsidRDefault="002A4ABC" w:rsidP="00527C4E">
            <w:pPr>
              <w:spacing w:line="300" w:lineRule="auto"/>
              <w:jc w:val="both"/>
              <w:rPr>
                <w:rFonts w:ascii="Helvetica" w:hAnsi="Helvetica"/>
                <w:color w:val="1A1A1A"/>
              </w:rPr>
            </w:pPr>
          </w:p>
        </w:tc>
      </w:tr>
      <w:tr w:rsidR="002A4ABC" w:rsidRPr="00010CE7" w14:paraId="47EDE02C" w14:textId="77777777" w:rsidTr="002A4ABC">
        <w:trPr>
          <w:trHeight w:val="60"/>
        </w:trPr>
        <w:tc>
          <w:tcPr>
            <w:tcW w:w="9355" w:type="dxa"/>
            <w:gridSpan w:val="2"/>
          </w:tcPr>
          <w:p w14:paraId="4FBE05B5" w14:textId="77777777" w:rsidR="002A4ABC" w:rsidRPr="00010CE7" w:rsidRDefault="002A4ABC" w:rsidP="00527C4E">
            <w:pPr>
              <w:spacing w:line="300" w:lineRule="auto"/>
              <w:jc w:val="both"/>
              <w:rPr>
                <w:rFonts w:ascii="Helvetica" w:hAnsi="Helvetica"/>
                <w:color w:val="1A1A1A"/>
              </w:rPr>
            </w:pPr>
          </w:p>
        </w:tc>
      </w:tr>
    </w:tbl>
    <w:p w14:paraId="68B59FAB" w14:textId="6994AA52" w:rsidR="000A5A0F"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t>Section 0</w:t>
      </w:r>
      <w:r w:rsidR="007D5EEB" w:rsidRPr="00010CE7">
        <w:rPr>
          <w:rFonts w:ascii="Helvetica" w:hAnsi="Helvetica"/>
          <w:color w:val="1A1A1A"/>
          <w:sz w:val="20"/>
          <w:szCs w:val="20"/>
        </w:rPr>
        <w:t>5</w:t>
      </w:r>
    </w:p>
    <w:p w14:paraId="194543C6" w14:textId="77777777" w:rsidR="00010CE7" w:rsidRPr="00010CE7" w:rsidRDefault="00010CE7" w:rsidP="00010CE7">
      <w:pPr>
        <w:pStyle w:val="Heading2"/>
        <w:spacing w:before="0" w:after="0" w:line="300" w:lineRule="auto"/>
        <w:jc w:val="both"/>
        <w:rPr>
          <w:rFonts w:ascii="Helvetica" w:hAnsi="Helvetica"/>
          <w:color w:val="174C3C"/>
          <w:sz w:val="24"/>
          <w:szCs w:val="24"/>
        </w:rPr>
      </w:pPr>
    </w:p>
    <w:p w14:paraId="4025D4C1" w14:textId="05397859" w:rsidR="00350144" w:rsidRPr="00010CE7" w:rsidRDefault="00C12B5F" w:rsidP="00010CE7">
      <w:pPr>
        <w:pStyle w:val="Heading2"/>
        <w:spacing w:before="0" w:after="0" w:line="240" w:lineRule="auto"/>
        <w:jc w:val="both"/>
        <w:rPr>
          <w:rFonts w:ascii="Helvetica" w:hAnsi="Helvetica"/>
          <w:color w:val="174C3C"/>
          <w:sz w:val="40"/>
          <w:szCs w:val="40"/>
        </w:rPr>
      </w:pPr>
      <w:r w:rsidRPr="00C12B5F">
        <w:rPr>
          <w:rFonts w:ascii="Helvetica" w:hAnsi="Helvetica"/>
          <w:color w:val="174C3C"/>
          <w:sz w:val="40"/>
          <w:szCs w:val="40"/>
        </w:rPr>
        <w:t>What to Do Next</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7646"/>
        <w:gridCol w:w="10"/>
      </w:tblGrid>
      <w:tr w:rsidR="00350144" w:rsidRPr="00010CE7" w14:paraId="245ED114" w14:textId="77777777" w:rsidTr="00D25791">
        <w:trPr>
          <w:gridAfter w:val="1"/>
          <w:wAfter w:w="10" w:type="dxa"/>
        </w:trPr>
        <w:tc>
          <w:tcPr>
            <w:tcW w:w="9350" w:type="dxa"/>
            <w:gridSpan w:val="2"/>
            <w:tcBorders>
              <w:bottom w:val="single" w:sz="6" w:space="0" w:color="E5E5E5"/>
            </w:tcBorders>
          </w:tcPr>
          <w:p w14:paraId="065FCD97" w14:textId="77777777" w:rsidR="00350144" w:rsidRPr="00010CE7" w:rsidRDefault="00350144" w:rsidP="00010CE7">
            <w:pPr>
              <w:spacing w:line="300" w:lineRule="auto"/>
              <w:jc w:val="both"/>
              <w:rPr>
                <w:rFonts w:ascii="Helvetica" w:hAnsi="Helvetica"/>
                <w:color w:val="1A1A1A"/>
              </w:rPr>
            </w:pPr>
          </w:p>
        </w:tc>
      </w:tr>
      <w:tr w:rsidR="00350144" w:rsidRPr="00010CE7" w14:paraId="47073425" w14:textId="77777777" w:rsidTr="00D25791">
        <w:trPr>
          <w:gridAfter w:val="1"/>
          <w:wAfter w:w="10" w:type="dxa"/>
          <w:trHeight w:val="60"/>
        </w:trPr>
        <w:tc>
          <w:tcPr>
            <w:tcW w:w="9350" w:type="dxa"/>
            <w:gridSpan w:val="2"/>
            <w:tcBorders>
              <w:top w:val="single" w:sz="6" w:space="0" w:color="E5E5E5"/>
            </w:tcBorders>
          </w:tcPr>
          <w:p w14:paraId="6487C115" w14:textId="77777777" w:rsidR="0025713E" w:rsidRPr="00010CE7" w:rsidRDefault="0025713E" w:rsidP="00010CE7">
            <w:pPr>
              <w:spacing w:line="300" w:lineRule="auto"/>
              <w:jc w:val="both"/>
              <w:rPr>
                <w:rFonts w:ascii="Helvetica" w:hAnsi="Helvetica"/>
                <w:color w:val="1A1A1A"/>
              </w:rPr>
            </w:pPr>
          </w:p>
        </w:tc>
      </w:tr>
      <w:tr w:rsidR="00436FFF" w:rsidRPr="00010CE7" w14:paraId="5B985A16" w14:textId="77777777" w:rsidTr="00387FED">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288" w:type="dxa"/>
            <w:bottom w:w="288" w:type="dxa"/>
            <w:right w:w="288" w:type="dxa"/>
          </w:tblCellMar>
        </w:tblPrEx>
        <w:tc>
          <w:tcPr>
            <w:tcW w:w="1704" w:type="dxa"/>
            <w:tcBorders>
              <w:top w:val="nil"/>
              <w:left w:val="nil"/>
              <w:bottom w:val="nil"/>
              <w:right w:val="nil"/>
            </w:tcBorders>
            <w:shd w:val="clear" w:color="auto" w:fill="174C3C"/>
            <w:vAlign w:val="center"/>
          </w:tcPr>
          <w:p w14:paraId="440622AE"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1</w:t>
            </w:r>
          </w:p>
        </w:tc>
        <w:tc>
          <w:tcPr>
            <w:tcW w:w="7656" w:type="dxa"/>
            <w:gridSpan w:val="2"/>
            <w:tcBorders>
              <w:top w:val="nil"/>
              <w:left w:val="nil"/>
              <w:bottom w:val="nil"/>
              <w:right w:val="nil"/>
            </w:tcBorders>
            <w:shd w:val="clear" w:color="auto" w:fill="F7F5F2"/>
            <w:vAlign w:val="center"/>
          </w:tcPr>
          <w:p w14:paraId="157293D1" w14:textId="77777777" w:rsidR="00814CCF" w:rsidRPr="00814CCF" w:rsidRDefault="00814CCF" w:rsidP="00010CE7">
            <w:pPr>
              <w:spacing w:line="300" w:lineRule="auto"/>
              <w:rPr>
                <w:rFonts w:ascii="Helvetica" w:hAnsi="Helvetica"/>
                <w:b/>
                <w:color w:val="1A1A1A"/>
              </w:rPr>
            </w:pPr>
            <w:r w:rsidRPr="00814CCF">
              <w:rPr>
                <w:rFonts w:ascii="Helvetica" w:hAnsi="Helvetica"/>
                <w:b/>
                <w:color w:val="1A1A1A"/>
              </w:rPr>
              <w:t xml:space="preserve">Build your asset map. </w:t>
            </w:r>
          </w:p>
          <w:p w14:paraId="0F737691" w14:textId="1DC7CF90" w:rsidR="00436FFF" w:rsidRPr="00C12B5F" w:rsidRDefault="00814CCF" w:rsidP="00010CE7">
            <w:pPr>
              <w:spacing w:line="300" w:lineRule="auto"/>
              <w:rPr>
                <w:rFonts w:ascii="Helvetica" w:hAnsi="Helvetica"/>
                <w:bCs/>
                <w:color w:val="1A1A1A"/>
              </w:rPr>
            </w:pPr>
            <w:r w:rsidRPr="00814CCF">
              <w:rPr>
                <w:rFonts w:ascii="Helvetica" w:hAnsi="Helvetica"/>
                <w:bCs/>
                <w:color w:val="1A1A1A"/>
              </w:rPr>
              <w:t>List every asset your business has built that does not show up clearly in your financial statements. Start with brand, customer relationships, software, data, intellectual property, contracts, and repeatable operating processes.</w:t>
            </w:r>
          </w:p>
        </w:tc>
      </w:tr>
      <w:tr w:rsidR="00436FFF" w:rsidRPr="00010CE7" w14:paraId="3F8D860B" w14:textId="77777777" w:rsidTr="00D25791">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288" w:type="dxa"/>
            <w:bottom w:w="288" w:type="dxa"/>
            <w:right w:w="288" w:type="dxa"/>
          </w:tblCellMar>
        </w:tblPrEx>
        <w:tc>
          <w:tcPr>
            <w:tcW w:w="1704" w:type="dxa"/>
            <w:tcBorders>
              <w:top w:val="nil"/>
              <w:left w:val="nil"/>
              <w:bottom w:val="nil"/>
              <w:right w:val="nil"/>
            </w:tcBorders>
            <w:shd w:val="clear" w:color="auto" w:fill="174C3C"/>
            <w:vAlign w:val="center"/>
          </w:tcPr>
          <w:p w14:paraId="7EC4EDC8"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2</w:t>
            </w:r>
          </w:p>
        </w:tc>
        <w:tc>
          <w:tcPr>
            <w:tcW w:w="7656" w:type="dxa"/>
            <w:gridSpan w:val="2"/>
            <w:tcBorders>
              <w:top w:val="nil"/>
              <w:left w:val="nil"/>
              <w:bottom w:val="nil"/>
              <w:right w:val="nil"/>
            </w:tcBorders>
            <w:shd w:val="clear" w:color="auto" w:fill="FFFFFF" w:themeFill="background1"/>
            <w:vAlign w:val="center"/>
          </w:tcPr>
          <w:p w14:paraId="1F7892FE" w14:textId="77777777" w:rsidR="00814CCF" w:rsidRPr="00814CCF" w:rsidRDefault="00814CCF" w:rsidP="00010CE7">
            <w:pPr>
              <w:spacing w:line="300" w:lineRule="auto"/>
              <w:rPr>
                <w:rFonts w:ascii="Helvetica" w:hAnsi="Helvetica"/>
                <w:b/>
                <w:color w:val="1A1A1A"/>
              </w:rPr>
            </w:pPr>
            <w:r w:rsidRPr="00814CCF">
              <w:rPr>
                <w:rFonts w:ascii="Helvetica" w:hAnsi="Helvetica"/>
                <w:b/>
                <w:color w:val="1A1A1A"/>
              </w:rPr>
              <w:t xml:space="preserve">Gather existing evidence. </w:t>
            </w:r>
          </w:p>
          <w:p w14:paraId="193C7627" w14:textId="012C6703" w:rsidR="00436FFF" w:rsidRPr="00C12B5F" w:rsidRDefault="00814CCF" w:rsidP="00010CE7">
            <w:pPr>
              <w:spacing w:line="300" w:lineRule="auto"/>
              <w:rPr>
                <w:rFonts w:ascii="Helvetica" w:hAnsi="Helvetica"/>
                <w:bCs/>
                <w:color w:val="1A1A1A"/>
              </w:rPr>
            </w:pPr>
            <w:r w:rsidRPr="00814CCF">
              <w:rPr>
                <w:rFonts w:ascii="Helvetica" w:hAnsi="Helvetica"/>
                <w:bCs/>
                <w:color w:val="1A1A1A"/>
              </w:rPr>
              <w:t>Pull together customer data, renewal records, technical documentation, brand materials, contract files, IP registrations, pricing history, and process documentation. The evidence does not need to be perfect. It needs to exist in one place.</w:t>
            </w:r>
          </w:p>
        </w:tc>
      </w:tr>
      <w:tr w:rsidR="00436FFF" w:rsidRPr="00010CE7" w14:paraId="3787CA54" w14:textId="77777777" w:rsidTr="00387FED">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288" w:type="dxa"/>
            <w:bottom w:w="288" w:type="dxa"/>
            <w:right w:w="288" w:type="dxa"/>
          </w:tblCellMar>
        </w:tblPrEx>
        <w:tc>
          <w:tcPr>
            <w:tcW w:w="1704" w:type="dxa"/>
            <w:tcBorders>
              <w:top w:val="nil"/>
              <w:left w:val="nil"/>
              <w:bottom w:val="nil"/>
              <w:right w:val="nil"/>
            </w:tcBorders>
            <w:shd w:val="clear" w:color="auto" w:fill="174C3C"/>
            <w:vAlign w:val="center"/>
          </w:tcPr>
          <w:p w14:paraId="335C1F9A"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3</w:t>
            </w:r>
          </w:p>
        </w:tc>
        <w:tc>
          <w:tcPr>
            <w:tcW w:w="7656" w:type="dxa"/>
            <w:gridSpan w:val="2"/>
            <w:tcBorders>
              <w:top w:val="nil"/>
              <w:left w:val="nil"/>
              <w:bottom w:val="nil"/>
              <w:right w:val="nil"/>
            </w:tcBorders>
            <w:shd w:val="clear" w:color="auto" w:fill="F7F5F2"/>
            <w:vAlign w:val="center"/>
          </w:tcPr>
          <w:p w14:paraId="6D543ABD" w14:textId="77777777" w:rsidR="00814CCF" w:rsidRPr="00814CCF" w:rsidRDefault="00814CCF" w:rsidP="00010CE7">
            <w:pPr>
              <w:spacing w:line="300" w:lineRule="auto"/>
              <w:rPr>
                <w:rFonts w:ascii="Helvetica" w:hAnsi="Helvetica"/>
                <w:b/>
                <w:color w:val="1A1A1A"/>
              </w:rPr>
            </w:pPr>
            <w:r w:rsidRPr="00814CCF">
              <w:rPr>
                <w:rFonts w:ascii="Helvetica" w:hAnsi="Helvetica"/>
                <w:b/>
                <w:color w:val="1A1A1A"/>
              </w:rPr>
              <w:t xml:space="preserve">Identify the strongest valuation candidates. </w:t>
            </w:r>
          </w:p>
          <w:p w14:paraId="3F72F0AC" w14:textId="2537EB8D" w:rsidR="00436FFF" w:rsidRPr="00C12B5F" w:rsidRDefault="00814CCF" w:rsidP="00010CE7">
            <w:pPr>
              <w:spacing w:line="300" w:lineRule="auto"/>
              <w:rPr>
                <w:rFonts w:ascii="Helvetica" w:hAnsi="Helvetica"/>
                <w:bCs/>
                <w:color w:val="1A1A1A"/>
              </w:rPr>
            </w:pPr>
            <w:r w:rsidRPr="00814CCF">
              <w:rPr>
                <w:rFonts w:ascii="Helvetica" w:hAnsi="Helvetica"/>
                <w:bCs/>
                <w:color w:val="1A1A1A"/>
              </w:rPr>
              <w:t>Look for assets that clearly influence revenue, margin, customer retention, pricing power, operational efficiency, or competitive defensibility. These are the assets most likely to matter in a future valuation discussion.</w:t>
            </w:r>
          </w:p>
        </w:tc>
      </w:tr>
    </w:tbl>
    <w:p w14:paraId="1C9C7475" w14:textId="77777777" w:rsidR="008840AD" w:rsidRDefault="008840AD" w:rsidP="008840AD">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Pr>
          <w:rFonts w:ascii="Helvetica" w:hAnsi="Helvetica"/>
          <w:color w:val="1A1A1A"/>
          <w:sz w:val="20"/>
          <w:szCs w:val="20"/>
        </w:rPr>
        <w:t>7</w:t>
      </w:r>
    </w:p>
    <w:p w14:paraId="392C80A6" w14:textId="77777777" w:rsidR="008840AD" w:rsidRPr="00010CE7" w:rsidRDefault="008840AD" w:rsidP="008840AD">
      <w:pPr>
        <w:spacing w:after="0" w:line="300" w:lineRule="auto"/>
      </w:pPr>
    </w:p>
    <w:p w14:paraId="7B503977" w14:textId="306BB419" w:rsidR="008840AD" w:rsidRPr="00010CE7" w:rsidRDefault="002A4ABC" w:rsidP="008840AD">
      <w:pPr>
        <w:pStyle w:val="Heading2"/>
        <w:spacing w:before="0" w:after="0" w:line="240" w:lineRule="auto"/>
        <w:jc w:val="both"/>
        <w:rPr>
          <w:rFonts w:ascii="Helvetica" w:hAnsi="Helvetica"/>
          <w:color w:val="174C3C"/>
          <w:sz w:val="40"/>
          <w:szCs w:val="40"/>
        </w:rPr>
      </w:pPr>
      <w:r w:rsidRPr="002A4ABC">
        <w:rPr>
          <w:rFonts w:ascii="Helvetica" w:hAnsi="Helvetica"/>
          <w:color w:val="174C3C"/>
          <w:sz w:val="40"/>
          <w:szCs w:val="40"/>
        </w:rPr>
        <w:t>Want to map your intangible assets?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840AD" w:rsidRPr="00010CE7" w14:paraId="1CE0CBFC" w14:textId="77777777" w:rsidTr="00C9796D">
        <w:tc>
          <w:tcPr>
            <w:tcW w:w="9350" w:type="dxa"/>
            <w:tcBorders>
              <w:bottom w:val="single" w:sz="6" w:space="0" w:color="E5E5E5"/>
            </w:tcBorders>
          </w:tcPr>
          <w:p w14:paraId="4FB99047" w14:textId="77777777" w:rsidR="008840AD" w:rsidRPr="00010CE7" w:rsidRDefault="008840AD" w:rsidP="00C9796D">
            <w:pPr>
              <w:spacing w:line="300" w:lineRule="auto"/>
              <w:jc w:val="both"/>
              <w:rPr>
                <w:rFonts w:ascii="Helvetica" w:hAnsi="Helvetica"/>
                <w:color w:val="1A1A1A"/>
              </w:rPr>
            </w:pPr>
          </w:p>
        </w:tc>
      </w:tr>
      <w:tr w:rsidR="008840AD" w:rsidRPr="00010CE7" w14:paraId="15F7817A" w14:textId="77777777" w:rsidTr="00C9796D">
        <w:trPr>
          <w:trHeight w:val="60"/>
        </w:trPr>
        <w:tc>
          <w:tcPr>
            <w:tcW w:w="9350" w:type="dxa"/>
            <w:tcBorders>
              <w:top w:val="single" w:sz="6" w:space="0" w:color="E5E5E5"/>
            </w:tcBorders>
          </w:tcPr>
          <w:p w14:paraId="76FE545E" w14:textId="77777777" w:rsidR="008840AD" w:rsidRPr="00010CE7" w:rsidRDefault="008840AD" w:rsidP="00C9796D">
            <w:pPr>
              <w:spacing w:line="300" w:lineRule="auto"/>
              <w:jc w:val="both"/>
              <w:rPr>
                <w:rFonts w:ascii="Helvetica" w:hAnsi="Helvetica"/>
                <w:color w:val="1A1A1A"/>
              </w:rPr>
            </w:pPr>
          </w:p>
        </w:tc>
      </w:tr>
    </w:tbl>
    <w:p w14:paraId="4A08BBB5" w14:textId="5A005F19" w:rsidR="008840AD" w:rsidRPr="00010CE7" w:rsidRDefault="002A4ABC" w:rsidP="008840AD">
      <w:pPr>
        <w:spacing w:after="0" w:line="300" w:lineRule="auto"/>
        <w:jc w:val="both"/>
        <w:rPr>
          <w:rFonts w:ascii="Helvetica" w:hAnsi="Helvetica"/>
          <w:color w:val="1A1A1A"/>
        </w:rPr>
      </w:pPr>
      <w:r w:rsidRPr="002A4ABC">
        <w:rPr>
          <w:rFonts w:ascii="Helvetica" w:hAnsi="Helvetica"/>
          <w:color w:val="1A1A1A"/>
        </w:rPr>
        <w:t>We will review your asset map, identify which intangibles are driving your business value, and scope a formal value discovery session.</w:t>
      </w:r>
    </w:p>
    <w:p w14:paraId="3C3A101C" w14:textId="77777777" w:rsidR="002A4ABC" w:rsidRDefault="002A4ABC" w:rsidP="008840AD">
      <w:pPr>
        <w:spacing w:after="0" w:line="300" w:lineRule="auto"/>
        <w:jc w:val="both"/>
        <w:rPr>
          <w:rFonts w:ascii="Helvetica" w:hAnsi="Helvetica"/>
          <w:color w:val="1A1A1A"/>
        </w:rPr>
      </w:pPr>
    </w:p>
    <w:p w14:paraId="4C15F5EE" w14:textId="5B4D36BE" w:rsidR="008840AD" w:rsidRPr="00010CE7" w:rsidRDefault="008840AD" w:rsidP="008840AD">
      <w:pPr>
        <w:spacing w:after="0" w:line="300" w:lineRule="auto"/>
        <w:jc w:val="both"/>
        <w:rPr>
          <w:rFonts w:ascii="Helvetica" w:hAnsi="Helvetica"/>
          <w:color w:val="1A1A1A"/>
        </w:rPr>
      </w:pPr>
      <w:r w:rsidRPr="00010CE7">
        <w:rPr>
          <w:rFonts w:ascii="Helvetica" w:hAnsi="Helvetica"/>
          <w:color w:val="1A1A1A"/>
        </w:rPr>
        <w:t xml:space="preserve">Book a call with Bain Squared </w:t>
      </w:r>
      <w:hyperlink r:id="rId7" w:history="1">
        <w:r w:rsidRPr="00010CE7">
          <w:rPr>
            <w:rStyle w:val="Hyperlink"/>
            <w:rFonts w:ascii="Helvetica" w:hAnsi="Helvetica"/>
          </w:rPr>
          <w:t>here</w:t>
        </w:r>
      </w:hyperlink>
      <w:r w:rsidRPr="00010CE7">
        <w:rPr>
          <w:rFonts w:ascii="Helvetica" w:hAnsi="Helvetica"/>
          <w:color w:val="1A1A1A"/>
        </w:rPr>
        <w:t>.</w:t>
      </w:r>
    </w:p>
    <w:p w14:paraId="03DB9B83" w14:textId="77777777" w:rsidR="00031859" w:rsidRPr="00010CE7" w:rsidRDefault="00031859" w:rsidP="00010CE7">
      <w:pPr>
        <w:spacing w:after="0" w:line="300" w:lineRule="auto"/>
        <w:jc w:val="both"/>
        <w:rPr>
          <w:rFonts w:ascii="Helvetica" w:hAnsi="Helvetica"/>
          <w:color w:val="1A1A1A"/>
        </w:rPr>
      </w:pPr>
    </w:p>
    <w:sectPr w:rsidR="00031859" w:rsidRPr="00010CE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E46C1" w14:textId="77777777" w:rsidR="00BB09A4" w:rsidRDefault="00BB09A4" w:rsidP="000A5A0F">
      <w:pPr>
        <w:spacing w:after="0" w:line="240" w:lineRule="auto"/>
      </w:pPr>
      <w:r>
        <w:separator/>
      </w:r>
    </w:p>
  </w:endnote>
  <w:endnote w:type="continuationSeparator" w:id="0">
    <w:p w14:paraId="7FA933F8" w14:textId="77777777" w:rsidR="00BB09A4" w:rsidRDefault="00BB09A4" w:rsidP="000A5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D629" w14:textId="77777777" w:rsidR="001100F8" w:rsidRPr="001100F8" w:rsidRDefault="001100F8" w:rsidP="001100F8">
    <w:pPr>
      <w:pBdr>
        <w:top w:val="single" w:sz="4" w:space="6" w:color="CCCCCC"/>
      </w:pBdr>
      <w:tabs>
        <w:tab w:val="right" w:pos="9000"/>
      </w:tabs>
      <w:rPr>
        <w:rFonts w:ascii="Helvetica" w:hAnsi="Helvetica"/>
        <w:color w:val="1A1A1A"/>
        <w:sz w:val="32"/>
        <w:szCs w:val="32"/>
      </w:rPr>
    </w:pPr>
    <w:r w:rsidRPr="001100F8">
      <w:rPr>
        <w:rFonts w:ascii="Arial" w:eastAsia="Arial" w:hAnsi="Arial" w:cs="Arial"/>
        <w:color w:val="808080" w:themeColor="background1" w:themeShade="80"/>
        <w:sz w:val="16"/>
        <w:szCs w:val="16"/>
      </w:rPr>
      <w:t>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D3DA" w14:textId="00C44D75" w:rsidR="001100F8" w:rsidRPr="00031859" w:rsidRDefault="001100F8" w:rsidP="001100F8">
    <w:pPr>
      <w:pBdr>
        <w:top w:val="single" w:sz="4" w:space="6" w:color="CCCCCC"/>
      </w:pBdr>
      <w:tabs>
        <w:tab w:val="right" w:pos="9000"/>
      </w:tabs>
      <w:rPr>
        <w:rFonts w:ascii="Helvetica" w:hAnsi="Helvetica"/>
        <w:color w:val="1A1A1A"/>
        <w:sz w:val="16"/>
        <w:szCs w:val="16"/>
      </w:rPr>
    </w:pPr>
    <w:r w:rsidRPr="00031859">
      <w:rPr>
        <w:rFonts w:ascii="Helvetica" w:eastAsia="Arial" w:hAnsi="Helvetica" w:cs="Arial"/>
        <w:color w:val="1A1A1A"/>
        <w:sz w:val="16"/>
        <w:szCs w:val="16"/>
      </w:rPr>
      <w:t>2</w:t>
    </w:r>
    <w:r w:rsidR="00031859" w:rsidRPr="00031859">
      <w:rPr>
        <w:rFonts w:ascii="Helvetica" w:eastAsia="Arial" w:hAnsi="Helvetica" w:cs="Arial"/>
        <w:color w:val="1A1A1A"/>
        <w:sz w:val="16"/>
        <w:szCs w:val="16"/>
      </w:rPr>
      <w:t>02</w:t>
    </w:r>
    <w:r w:rsidRPr="00031859">
      <w:rPr>
        <w:rFonts w:ascii="Helvetica" w:eastAsia="Arial" w:hAnsi="Helvetica" w:cs="Arial"/>
        <w:color w:val="1A1A1A"/>
        <w:sz w:val="16"/>
        <w:szCs w:val="16"/>
      </w:rPr>
      <w:t xml:space="preserve">6 Bain Squared | </w:t>
    </w:r>
    <w:hyperlink r:id="rId1" w:history="1">
      <w:r w:rsidRPr="00031859">
        <w:rPr>
          <w:rStyle w:val="Hyperlink"/>
          <w:rFonts w:ascii="Helvetica" w:eastAsia="Arial" w:hAnsi="Helvetica" w:cs="Arial"/>
          <w:color w:val="1A1A1A"/>
          <w:sz w:val="16"/>
          <w:szCs w:val="16"/>
        </w:rPr>
        <w:t>www.bainsquared.com</w:t>
      </w:r>
    </w:hyperlink>
    <w:r w:rsidRPr="00031859">
      <w:rPr>
        <w:rFonts w:ascii="Helvetica" w:eastAsia="Arial" w:hAnsi="Helvetica" w:cs="Arial"/>
        <w:color w:val="1A1A1A"/>
        <w:sz w:val="16"/>
        <w:szCs w:val="16"/>
      </w:rPr>
      <w:t xml:space="preserve"> </w:t>
    </w:r>
    <w:r w:rsidRPr="00031859">
      <w:rPr>
        <w:rFonts w:ascii="Helvetica" w:eastAsia="Arial" w:hAnsi="Helvetica" w:cs="Arial"/>
        <w:color w:val="1A1A1A"/>
        <w:sz w:val="16"/>
        <w:szCs w:val="16"/>
      </w:rPr>
      <w:tab/>
      <w:t xml:space="preserve">Page </w:t>
    </w:r>
    <w:r w:rsidRPr="00031859">
      <w:rPr>
        <w:rFonts w:ascii="Helvetica" w:eastAsia="Arial" w:hAnsi="Helvetica" w:cs="Arial"/>
        <w:color w:val="1A1A1A"/>
        <w:sz w:val="16"/>
        <w:szCs w:val="16"/>
      </w:rPr>
      <w:fldChar w:fldCharType="begin"/>
    </w:r>
    <w:r w:rsidRPr="00031859">
      <w:rPr>
        <w:rFonts w:ascii="Helvetica" w:eastAsia="Arial" w:hAnsi="Helvetica" w:cs="Arial"/>
        <w:color w:val="1A1A1A"/>
        <w:sz w:val="16"/>
        <w:szCs w:val="16"/>
      </w:rPr>
      <w:instrText>PAGE</w:instrText>
    </w:r>
    <w:r w:rsidRPr="00031859">
      <w:rPr>
        <w:rFonts w:ascii="Helvetica" w:eastAsia="Arial" w:hAnsi="Helvetica" w:cs="Arial"/>
        <w:color w:val="1A1A1A"/>
        <w:sz w:val="16"/>
        <w:szCs w:val="16"/>
      </w:rPr>
      <w:fldChar w:fldCharType="separate"/>
    </w:r>
    <w:r w:rsidRPr="00031859">
      <w:rPr>
        <w:rFonts w:ascii="Helvetica" w:eastAsia="Arial" w:hAnsi="Helvetica" w:cs="Arial"/>
        <w:color w:val="1A1A1A"/>
        <w:sz w:val="16"/>
        <w:szCs w:val="16"/>
      </w:rPr>
      <w:t>1</w:t>
    </w:r>
    <w:r w:rsidRPr="00031859">
      <w:rPr>
        <w:rFonts w:ascii="Helvetica" w:eastAsia="Arial" w:hAnsi="Helvetica" w:cs="Arial"/>
        <w:color w:val="1A1A1A"/>
        <w:sz w:val="16"/>
        <w:szCs w:val="16"/>
      </w:rPr>
      <w:fldChar w:fldCharType="end"/>
    </w:r>
    <w:r w:rsidRPr="00031859">
      <w:rPr>
        <w:rFonts w:ascii="Helvetica" w:eastAsia="Arial" w:hAnsi="Helvetica" w:cs="Arial"/>
        <w:color w:val="1A1A1A"/>
        <w:sz w:val="16"/>
        <w:szCs w:val="16"/>
      </w:rPr>
      <w:t xml:space="preserve"> of </w:t>
    </w:r>
    <w:r w:rsidRPr="00031859">
      <w:rPr>
        <w:rFonts w:ascii="Helvetica" w:eastAsia="Arial" w:hAnsi="Helvetica" w:cs="Arial"/>
        <w:color w:val="1A1A1A"/>
        <w:sz w:val="16"/>
        <w:szCs w:val="16"/>
      </w:rPr>
      <w:fldChar w:fldCharType="begin"/>
    </w:r>
    <w:r w:rsidRPr="00031859">
      <w:rPr>
        <w:rFonts w:ascii="Helvetica" w:eastAsia="Arial" w:hAnsi="Helvetica" w:cs="Arial"/>
        <w:color w:val="1A1A1A"/>
        <w:sz w:val="16"/>
        <w:szCs w:val="16"/>
      </w:rPr>
      <w:instrText>NUMPAGES</w:instrText>
    </w:r>
    <w:r w:rsidRPr="00031859">
      <w:rPr>
        <w:rFonts w:ascii="Helvetica" w:eastAsia="Arial" w:hAnsi="Helvetica" w:cs="Arial"/>
        <w:color w:val="1A1A1A"/>
        <w:sz w:val="16"/>
        <w:szCs w:val="16"/>
      </w:rPr>
      <w:fldChar w:fldCharType="separate"/>
    </w:r>
    <w:r w:rsidRPr="00031859">
      <w:rPr>
        <w:rFonts w:ascii="Helvetica" w:eastAsia="Arial" w:hAnsi="Helvetica" w:cs="Arial"/>
        <w:color w:val="1A1A1A"/>
        <w:sz w:val="16"/>
        <w:szCs w:val="16"/>
      </w:rPr>
      <w:t>16</w:t>
    </w:r>
    <w:r w:rsidRPr="00031859">
      <w:rPr>
        <w:rFonts w:ascii="Helvetica" w:eastAsia="Arial" w:hAnsi="Helvetica" w:cs="Arial"/>
        <w:color w:val="1A1A1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656AD" w14:textId="77777777" w:rsidR="008840AD" w:rsidRDefault="008840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02D2F" w14:textId="77777777" w:rsidR="00BB09A4" w:rsidRDefault="00BB09A4" w:rsidP="000A5A0F">
      <w:pPr>
        <w:spacing w:after="0" w:line="240" w:lineRule="auto"/>
      </w:pPr>
      <w:r>
        <w:separator/>
      </w:r>
    </w:p>
  </w:footnote>
  <w:footnote w:type="continuationSeparator" w:id="0">
    <w:p w14:paraId="323F1B25" w14:textId="77777777" w:rsidR="00BB09A4" w:rsidRDefault="00BB09A4" w:rsidP="000A5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2B56" w14:textId="77777777" w:rsidR="000A5A0F" w:rsidRDefault="000A5A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2B1C" w14:textId="4B72DCD7" w:rsidR="00031859" w:rsidRPr="00031859" w:rsidRDefault="00C12B5F" w:rsidP="00031859">
    <w:pPr>
      <w:pBdr>
        <w:bottom w:val="single" w:sz="4" w:space="6" w:color="CCCCCC"/>
      </w:pBdr>
      <w:tabs>
        <w:tab w:val="right" w:pos="9000"/>
      </w:tabs>
      <w:jc w:val="right"/>
      <w:rPr>
        <w:rFonts w:ascii="Helvetica" w:hAnsi="Helvetica"/>
        <w:color w:val="1A1A1A"/>
        <w:sz w:val="16"/>
        <w:szCs w:val="16"/>
      </w:rPr>
    </w:pPr>
    <w:r w:rsidRPr="00C12B5F">
      <w:rPr>
        <w:rFonts w:ascii="Helvetica" w:hAnsi="Helvetica"/>
        <w:color w:val="1A1A1A"/>
        <w:sz w:val="16"/>
        <w:szCs w:val="16"/>
      </w:rPr>
      <w:t xml:space="preserve">Intangibles </w:t>
    </w:r>
    <w:r w:rsidR="00031859" w:rsidRPr="00031859">
      <w:rPr>
        <w:rFonts w:ascii="Helvetica" w:hAnsi="Helvetica"/>
        <w:color w:val="1A1A1A"/>
        <w:sz w:val="16"/>
        <w:szCs w:val="16"/>
      </w:rPr>
      <w:t xml:space="preserve">Value Advisory Report: </w:t>
    </w:r>
    <w:r w:rsidR="00814CCF" w:rsidRPr="00814CCF">
      <w:rPr>
        <w:rFonts w:ascii="Helvetica" w:hAnsi="Helvetica"/>
        <w:color w:val="1A1A1A"/>
        <w:sz w:val="16"/>
        <w:szCs w:val="16"/>
      </w:rPr>
      <w:t>The Intangible Asset Discovery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283B" w14:textId="77777777" w:rsidR="000A5A0F" w:rsidRDefault="000A5A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5C"/>
    <w:rsid w:val="00010CE7"/>
    <w:rsid w:val="000254D9"/>
    <w:rsid w:val="00031859"/>
    <w:rsid w:val="000426D4"/>
    <w:rsid w:val="000A5A0F"/>
    <w:rsid w:val="000C2FD7"/>
    <w:rsid w:val="001100F8"/>
    <w:rsid w:val="00164E92"/>
    <w:rsid w:val="00215712"/>
    <w:rsid w:val="0025713E"/>
    <w:rsid w:val="00293358"/>
    <w:rsid w:val="002A3DAD"/>
    <w:rsid w:val="002A4ABC"/>
    <w:rsid w:val="002C145D"/>
    <w:rsid w:val="00350144"/>
    <w:rsid w:val="00382DC8"/>
    <w:rsid w:val="00387FED"/>
    <w:rsid w:val="004232DB"/>
    <w:rsid w:val="00435F90"/>
    <w:rsid w:val="00436FFF"/>
    <w:rsid w:val="00501D0A"/>
    <w:rsid w:val="00582465"/>
    <w:rsid w:val="005B3A89"/>
    <w:rsid w:val="005F4112"/>
    <w:rsid w:val="005F5D53"/>
    <w:rsid w:val="0060274C"/>
    <w:rsid w:val="006A7B5C"/>
    <w:rsid w:val="0073709B"/>
    <w:rsid w:val="00767FA6"/>
    <w:rsid w:val="007D5EEB"/>
    <w:rsid w:val="00814CCF"/>
    <w:rsid w:val="008840AD"/>
    <w:rsid w:val="008B4850"/>
    <w:rsid w:val="008E2A6F"/>
    <w:rsid w:val="009429BB"/>
    <w:rsid w:val="00965E5F"/>
    <w:rsid w:val="0097084D"/>
    <w:rsid w:val="009B22F9"/>
    <w:rsid w:val="009E58F1"/>
    <w:rsid w:val="00A1627F"/>
    <w:rsid w:val="00A93348"/>
    <w:rsid w:val="00B45EA6"/>
    <w:rsid w:val="00B8020A"/>
    <w:rsid w:val="00BB09A4"/>
    <w:rsid w:val="00C12B5F"/>
    <w:rsid w:val="00C81F76"/>
    <w:rsid w:val="00D25791"/>
    <w:rsid w:val="00D74AE5"/>
    <w:rsid w:val="00E82BCD"/>
    <w:rsid w:val="00E84056"/>
    <w:rsid w:val="00F20E26"/>
    <w:rsid w:val="00FD495A"/>
    <w:rsid w:val="00FF5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8C0BD"/>
  <w15:chartTrackingRefBased/>
  <w15:docId w15:val="{5D278724-BBCF-9A41-9D02-B8962BCD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7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7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B5C"/>
    <w:rPr>
      <w:rFonts w:eastAsiaTheme="majorEastAsia" w:cstheme="majorBidi"/>
      <w:color w:val="272727" w:themeColor="text1" w:themeTint="D8"/>
    </w:rPr>
  </w:style>
  <w:style w:type="paragraph" w:styleId="Title">
    <w:name w:val="Title"/>
    <w:basedOn w:val="Normal"/>
    <w:next w:val="Normal"/>
    <w:link w:val="TitleChar"/>
    <w:uiPriority w:val="10"/>
    <w:qFormat/>
    <w:rsid w:val="006A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B5C"/>
    <w:pPr>
      <w:spacing w:before="160"/>
      <w:jc w:val="center"/>
    </w:pPr>
    <w:rPr>
      <w:i/>
      <w:iCs/>
      <w:color w:val="404040" w:themeColor="text1" w:themeTint="BF"/>
    </w:rPr>
  </w:style>
  <w:style w:type="character" w:customStyle="1" w:styleId="QuoteChar">
    <w:name w:val="Quote Char"/>
    <w:basedOn w:val="DefaultParagraphFont"/>
    <w:link w:val="Quote"/>
    <w:uiPriority w:val="29"/>
    <w:rsid w:val="006A7B5C"/>
    <w:rPr>
      <w:i/>
      <w:iCs/>
      <w:color w:val="404040" w:themeColor="text1" w:themeTint="BF"/>
    </w:rPr>
  </w:style>
  <w:style w:type="paragraph" w:styleId="ListParagraph">
    <w:name w:val="List Paragraph"/>
    <w:basedOn w:val="Normal"/>
    <w:uiPriority w:val="34"/>
    <w:qFormat/>
    <w:rsid w:val="006A7B5C"/>
    <w:pPr>
      <w:ind w:left="720"/>
      <w:contextualSpacing/>
    </w:pPr>
  </w:style>
  <w:style w:type="character" w:styleId="IntenseEmphasis">
    <w:name w:val="Intense Emphasis"/>
    <w:basedOn w:val="DefaultParagraphFont"/>
    <w:uiPriority w:val="21"/>
    <w:qFormat/>
    <w:rsid w:val="006A7B5C"/>
    <w:rPr>
      <w:i/>
      <w:iCs/>
      <w:color w:val="0F4761" w:themeColor="accent1" w:themeShade="BF"/>
    </w:rPr>
  </w:style>
  <w:style w:type="paragraph" w:styleId="IntenseQuote">
    <w:name w:val="Intense Quote"/>
    <w:basedOn w:val="Normal"/>
    <w:next w:val="Normal"/>
    <w:link w:val="IntenseQuoteChar"/>
    <w:uiPriority w:val="30"/>
    <w:qFormat/>
    <w:rsid w:val="006A7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B5C"/>
    <w:rPr>
      <w:i/>
      <w:iCs/>
      <w:color w:val="0F4761" w:themeColor="accent1" w:themeShade="BF"/>
    </w:rPr>
  </w:style>
  <w:style w:type="character" w:styleId="IntenseReference">
    <w:name w:val="Intense Reference"/>
    <w:basedOn w:val="DefaultParagraphFont"/>
    <w:uiPriority w:val="32"/>
    <w:qFormat/>
    <w:rsid w:val="006A7B5C"/>
    <w:rPr>
      <w:b/>
      <w:bCs/>
      <w:smallCaps/>
      <w:color w:val="0F4761" w:themeColor="accent1" w:themeShade="BF"/>
      <w:spacing w:val="5"/>
    </w:rPr>
  </w:style>
  <w:style w:type="table" w:styleId="TableGrid">
    <w:name w:val="Table Grid"/>
    <w:basedOn w:val="TableNormal"/>
    <w:uiPriority w:val="59"/>
    <w:rsid w:val="006A7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5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A0F"/>
  </w:style>
  <w:style w:type="paragraph" w:styleId="Footer">
    <w:name w:val="footer"/>
    <w:basedOn w:val="Normal"/>
    <w:link w:val="FooterChar"/>
    <w:uiPriority w:val="99"/>
    <w:unhideWhenUsed/>
    <w:rsid w:val="000A5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A0F"/>
  </w:style>
  <w:style w:type="character" w:styleId="Hyperlink">
    <w:name w:val="Hyperlink"/>
    <w:basedOn w:val="DefaultParagraphFont"/>
    <w:uiPriority w:val="99"/>
    <w:unhideWhenUsed/>
    <w:rsid w:val="001100F8"/>
    <w:rPr>
      <w:color w:val="467886" w:themeColor="hyperlink"/>
      <w:u w:val="single"/>
    </w:rPr>
  </w:style>
  <w:style w:type="character" w:styleId="UnresolvedMention">
    <w:name w:val="Unresolved Mention"/>
    <w:basedOn w:val="DefaultParagraphFont"/>
    <w:uiPriority w:val="99"/>
    <w:semiHidden/>
    <w:unhideWhenUsed/>
    <w:rsid w:val="00110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cal.com/bain-squared/ia-valuation"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bainsqua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Tan</dc:creator>
  <cp:keywords/>
  <dc:description/>
  <cp:lastModifiedBy>Nicholas Tan</cp:lastModifiedBy>
  <cp:revision>3</cp:revision>
  <cp:lastPrinted>2026-05-05T08:32:00Z</cp:lastPrinted>
  <dcterms:created xsi:type="dcterms:W3CDTF">2026-05-05T08:32:00Z</dcterms:created>
  <dcterms:modified xsi:type="dcterms:W3CDTF">2026-05-05T08:32:00Z</dcterms:modified>
</cp:coreProperties>
</file>