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7F5F2"/>
  <w:body>
    <w:p w14:paraId="58412447" w14:textId="03A3FB93" w:rsidR="007D5EEB" w:rsidRPr="00010CE7" w:rsidRDefault="00031859" w:rsidP="00010CE7">
      <w:pPr>
        <w:spacing w:after="0" w:line="300" w:lineRule="auto"/>
        <w:jc w:val="both"/>
        <w:rPr>
          <w:rFonts w:ascii="Helvetica" w:hAnsi="Helvetica"/>
          <w:color w:val="F7F5F2"/>
        </w:rPr>
      </w:pPr>
      <w:r w:rsidRPr="00010CE7">
        <w:rPr>
          <w:rFonts w:ascii="Helvetica" w:hAnsi="Helvetica"/>
          <w:noProof/>
          <w:color w:val="F7F5F2"/>
        </w:rPr>
        <mc:AlternateContent>
          <mc:Choice Requires="wps">
            <w:drawing>
              <wp:anchor distT="0" distB="0" distL="114300" distR="114300" simplePos="0" relativeHeight="251659264" behindDoc="1" locked="0" layoutInCell="1" allowOverlap="1" wp14:anchorId="2969FF22" wp14:editId="1DEE4D4A">
                <wp:simplePos x="0" y="0"/>
                <wp:positionH relativeFrom="column">
                  <wp:posOffset>-913130</wp:posOffset>
                </wp:positionH>
                <wp:positionV relativeFrom="paragraph">
                  <wp:posOffset>-1099185</wp:posOffset>
                </wp:positionV>
                <wp:extent cx="7772400" cy="10515600"/>
                <wp:effectExtent l="0" t="0" r="12700" b="12700"/>
                <wp:wrapNone/>
                <wp:docPr id="403793553" name="Rectangle 2"/>
                <wp:cNvGraphicFramePr/>
                <a:graphic xmlns:a="http://schemas.openxmlformats.org/drawingml/2006/main">
                  <a:graphicData uri="http://schemas.microsoft.com/office/word/2010/wordprocessingShape">
                    <wps:wsp>
                      <wps:cNvSpPr/>
                      <wps:spPr>
                        <a:xfrm>
                          <a:off x="0" y="0"/>
                          <a:ext cx="7772400" cy="10515600"/>
                        </a:xfrm>
                        <a:prstGeom prst="rect">
                          <a:avLst/>
                        </a:prstGeom>
                        <a:solidFill>
                          <a:srgbClr val="174C3C"/>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9B00E9" id="Rectangle 2" o:spid="_x0000_s1026" style="position:absolute;margin-left:-71.9pt;margin-top:-86.55pt;width:612pt;height:828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" fillcolor="#174c3c" strokecolor="#030e13 [484]" strokeweight="1pt"/>
            </w:pict>
          </mc:Fallback>
        </mc:AlternateContent>
      </w:r>
      <w:r w:rsidRPr="00010CE7">
        <w:rPr>
          <w:rFonts w:ascii="Helvetica" w:hAnsi="Helvetica"/>
          <w:noProof/>
          <w:color w:val="1A1A1A"/>
        </w:rPr>
        <w:drawing>
          <wp:inline distT="0" distB="0" distL="0" distR="0" wp14:anchorId="5AA18B32" wp14:editId="0AD20D77">
            <wp:extent cx="2560320" cy="595493"/>
            <wp:effectExtent l="0" t="0" r="0" b="1905"/>
            <wp:docPr id="257914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14837" name="Picture 257914837"/>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60320" cy="595493"/>
                    </a:xfrm>
                    <a:prstGeom prst="rect">
                      <a:avLst/>
                    </a:prstGeom>
                  </pic:spPr>
                </pic:pic>
              </a:graphicData>
            </a:graphic>
          </wp:inline>
        </w:drawing>
      </w:r>
    </w:p>
    <w:p w14:paraId="3072E8D0" w14:textId="77777777" w:rsidR="007D5EEB" w:rsidRPr="00010CE7" w:rsidRDefault="007D5EEB" w:rsidP="00010CE7">
      <w:pPr>
        <w:spacing w:after="0" w:line="300" w:lineRule="auto"/>
        <w:jc w:val="both"/>
        <w:rPr>
          <w:rFonts w:ascii="Helvetica" w:hAnsi="Helvetica"/>
          <w:color w:val="F7F5F2"/>
        </w:rPr>
      </w:pPr>
    </w:p>
    <w:p w14:paraId="7B2730C6" w14:textId="5888B7B8" w:rsidR="007D5EEB" w:rsidRPr="00010CE7" w:rsidRDefault="007D5EEB" w:rsidP="00010CE7">
      <w:pPr>
        <w:spacing w:after="0" w:line="300" w:lineRule="auto"/>
        <w:jc w:val="both"/>
        <w:rPr>
          <w:rFonts w:ascii="Helvetica" w:hAnsi="Helvetica"/>
          <w:color w:val="F7F5F2"/>
        </w:rPr>
      </w:pPr>
    </w:p>
    <w:p w14:paraId="52E1FB70" w14:textId="77777777" w:rsidR="00010CE7" w:rsidRDefault="00010CE7" w:rsidP="00010CE7">
      <w:pPr>
        <w:spacing w:after="0" w:line="300" w:lineRule="auto"/>
        <w:jc w:val="both"/>
        <w:rPr>
          <w:rFonts w:ascii="Helvetica" w:hAnsi="Helvetica"/>
          <w:color w:val="F7F5F2"/>
        </w:rPr>
      </w:pPr>
    </w:p>
    <w:p w14:paraId="0B20C909" w14:textId="77777777" w:rsidR="00010CE7" w:rsidRDefault="00010CE7" w:rsidP="00010CE7">
      <w:pPr>
        <w:spacing w:after="0" w:line="300" w:lineRule="auto"/>
        <w:jc w:val="both"/>
        <w:rPr>
          <w:rFonts w:ascii="Helvetica" w:hAnsi="Helvetica"/>
          <w:color w:val="F7F5F2"/>
        </w:rPr>
      </w:pPr>
    </w:p>
    <w:p w14:paraId="1071C9EB" w14:textId="77777777" w:rsidR="00010CE7" w:rsidRDefault="00010CE7" w:rsidP="00010CE7">
      <w:pPr>
        <w:spacing w:after="0" w:line="300" w:lineRule="auto"/>
        <w:jc w:val="both"/>
        <w:rPr>
          <w:rFonts w:ascii="Helvetica" w:hAnsi="Helvetica"/>
          <w:color w:val="F7F5F2"/>
          <w:sz w:val="20"/>
          <w:szCs w:val="20"/>
        </w:rPr>
      </w:pPr>
    </w:p>
    <w:p w14:paraId="7CD3298F" w14:textId="77777777" w:rsidR="00010CE7" w:rsidRDefault="00010CE7" w:rsidP="00010CE7">
      <w:pPr>
        <w:spacing w:after="0" w:line="300" w:lineRule="auto"/>
        <w:jc w:val="both"/>
        <w:rPr>
          <w:rFonts w:ascii="Helvetica" w:hAnsi="Helvetica"/>
          <w:color w:val="F7F5F2"/>
          <w:sz w:val="20"/>
          <w:szCs w:val="20"/>
        </w:rPr>
      </w:pPr>
    </w:p>
    <w:p w14:paraId="15D8E42D" w14:textId="03D85966" w:rsidR="007D5EEB" w:rsidRPr="00010CE7" w:rsidRDefault="00C12B5F" w:rsidP="00010CE7">
      <w:pPr>
        <w:spacing w:after="0" w:line="300" w:lineRule="auto"/>
        <w:jc w:val="both"/>
        <w:rPr>
          <w:rFonts w:ascii="Helvetica" w:hAnsi="Helvetica"/>
          <w:color w:val="F7F5F2"/>
          <w:sz w:val="20"/>
          <w:szCs w:val="20"/>
        </w:rPr>
      </w:pPr>
      <w:r w:rsidRPr="00C12B5F">
        <w:rPr>
          <w:rFonts w:ascii="Helvetica" w:hAnsi="Helvetica"/>
          <w:color w:val="F7F5F2"/>
          <w:sz w:val="20"/>
          <w:szCs w:val="20"/>
        </w:rPr>
        <w:t xml:space="preserve">Intangibles </w:t>
      </w:r>
      <w:r w:rsidR="00436FFF" w:rsidRPr="00010CE7">
        <w:rPr>
          <w:rFonts w:ascii="Helvetica" w:hAnsi="Helvetica"/>
          <w:color w:val="F7F5F2"/>
          <w:sz w:val="20"/>
          <w:szCs w:val="20"/>
        </w:rPr>
        <w:t>Value Advisory Report</w:t>
      </w:r>
    </w:p>
    <w:p w14:paraId="36EF4958" w14:textId="20485E72" w:rsidR="007D5EEB" w:rsidRPr="00010CE7" w:rsidRDefault="007D5EEB" w:rsidP="00010CE7">
      <w:pPr>
        <w:spacing w:after="0" w:line="300" w:lineRule="auto"/>
        <w:jc w:val="both"/>
        <w:rPr>
          <w:rFonts w:ascii="Helvetica" w:hAnsi="Helvetica"/>
          <w:color w:val="F7F5F2"/>
        </w:rPr>
      </w:pPr>
    </w:p>
    <w:p w14:paraId="0632F39E" w14:textId="26F5B4B0" w:rsidR="007D5EEB" w:rsidRPr="00010CE7" w:rsidRDefault="00C12B5F" w:rsidP="00C12B5F">
      <w:pPr>
        <w:spacing w:after="0" w:line="300" w:lineRule="auto"/>
        <w:rPr>
          <w:rFonts w:ascii="Helvetica" w:hAnsi="Helvetica"/>
          <w:color w:val="F7F5F2"/>
        </w:rPr>
      </w:pPr>
      <w:r w:rsidRPr="00C12B5F">
        <w:rPr>
          <w:rFonts w:ascii="Helvetica" w:hAnsi="Helvetica"/>
          <w:b/>
          <w:bCs/>
          <w:color w:val="F7F5F2"/>
          <w:sz w:val="96"/>
          <w:szCs w:val="96"/>
        </w:rPr>
        <w:t xml:space="preserve">The </w:t>
      </w:r>
      <w:r>
        <w:rPr>
          <w:rFonts w:ascii="Helvetica" w:hAnsi="Helvetica"/>
          <w:b/>
          <w:bCs/>
          <w:color w:val="F7F5F2"/>
          <w:sz w:val="96"/>
          <w:szCs w:val="96"/>
        </w:rPr>
        <w:t>Intangibles</w:t>
      </w:r>
      <w:r w:rsidRPr="00C12B5F">
        <w:rPr>
          <w:rFonts w:ascii="Helvetica" w:hAnsi="Helvetica"/>
          <w:b/>
          <w:bCs/>
          <w:color w:val="F7F5F2"/>
          <w:sz w:val="96"/>
          <w:szCs w:val="96"/>
        </w:rPr>
        <w:t xml:space="preserve"> Value Starter Guide</w:t>
      </w:r>
    </w:p>
    <w:p w14:paraId="6DEF3564" w14:textId="77777777" w:rsidR="00010CE7" w:rsidRDefault="00010CE7" w:rsidP="00010CE7">
      <w:pPr>
        <w:spacing w:after="0" w:line="300" w:lineRule="auto"/>
        <w:jc w:val="both"/>
        <w:rPr>
          <w:rFonts w:ascii="Helvetica" w:hAnsi="Helvetica"/>
          <w:color w:val="F7F5F2"/>
        </w:rPr>
      </w:pPr>
    </w:p>
    <w:p w14:paraId="1B24238F" w14:textId="21799A0A" w:rsidR="007D5EEB" w:rsidRPr="00010CE7" w:rsidRDefault="00854091" w:rsidP="00010CE7">
      <w:pPr>
        <w:spacing w:after="0" w:line="300" w:lineRule="auto"/>
        <w:jc w:val="both"/>
        <w:rPr>
          <w:rFonts w:ascii="Helvetica" w:hAnsi="Helvetica"/>
          <w:color w:val="E5E5E5"/>
        </w:rPr>
      </w:pPr>
      <w:r w:rsidRPr="00854091">
        <w:rPr>
          <w:rFonts w:ascii="Helvetica" w:hAnsi="Helvetica"/>
          <w:color w:val="E5E5E5"/>
        </w:rPr>
        <w:t>Prepared for founders who are in the early stages of value discovery and want to understand the difference between standard financial value and true intangible asset value.</w:t>
      </w:r>
    </w:p>
    <w:p w14:paraId="24EF991F" w14:textId="77777777" w:rsidR="007D5EEB" w:rsidRPr="00010CE7" w:rsidRDefault="007D5EEB" w:rsidP="00010CE7">
      <w:pPr>
        <w:spacing w:after="0" w:line="300" w:lineRule="auto"/>
        <w:jc w:val="both"/>
        <w:rPr>
          <w:rFonts w:ascii="Helvetica" w:hAnsi="Helvetica"/>
          <w:color w:val="E5E5E5"/>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tblGrid>
      <w:tr w:rsidR="007D5EEB" w:rsidRPr="00010CE7" w14:paraId="5965C067" w14:textId="77777777" w:rsidTr="007D5EEB">
        <w:tc>
          <w:tcPr>
            <w:tcW w:w="1440" w:type="dxa"/>
            <w:tcBorders>
              <w:bottom w:val="single" w:sz="24" w:space="0" w:color="F7F5F2"/>
            </w:tcBorders>
          </w:tcPr>
          <w:p w14:paraId="4E2415D1" w14:textId="77777777" w:rsidR="007D5EEB" w:rsidRPr="00010CE7" w:rsidRDefault="007D5EEB" w:rsidP="00010CE7">
            <w:pPr>
              <w:spacing w:line="300" w:lineRule="auto"/>
              <w:jc w:val="both"/>
              <w:rPr>
                <w:rFonts w:ascii="Helvetica" w:hAnsi="Helvetica"/>
                <w:color w:val="F7F5F2"/>
              </w:rPr>
            </w:pPr>
          </w:p>
        </w:tc>
      </w:tr>
      <w:tr w:rsidR="007D5EEB" w:rsidRPr="00010CE7" w14:paraId="35C8C6CE" w14:textId="77777777" w:rsidTr="007D5EEB">
        <w:trPr>
          <w:trHeight w:val="60"/>
        </w:trPr>
        <w:tc>
          <w:tcPr>
            <w:tcW w:w="1440" w:type="dxa"/>
            <w:tcBorders>
              <w:top w:val="single" w:sz="24" w:space="0" w:color="F7F5F2"/>
            </w:tcBorders>
          </w:tcPr>
          <w:p w14:paraId="2F930237" w14:textId="77777777" w:rsidR="007D5EEB" w:rsidRPr="00010CE7" w:rsidRDefault="007D5EEB" w:rsidP="00010CE7">
            <w:pPr>
              <w:spacing w:line="300" w:lineRule="auto"/>
              <w:jc w:val="both"/>
              <w:rPr>
                <w:rFonts w:ascii="Helvetica" w:hAnsi="Helvetica"/>
                <w:color w:val="F7F5F2"/>
              </w:rPr>
            </w:pPr>
          </w:p>
        </w:tc>
      </w:tr>
    </w:tbl>
    <w:p w14:paraId="1052098C" w14:textId="77777777" w:rsidR="007D5EEB" w:rsidRPr="00010CE7" w:rsidRDefault="007D5EEB" w:rsidP="00010CE7">
      <w:pPr>
        <w:spacing w:after="0" w:line="300" w:lineRule="auto"/>
        <w:jc w:val="both"/>
        <w:rPr>
          <w:rFonts w:ascii="Helvetica" w:hAnsi="Helvetica"/>
          <w:color w:val="F7F5F2"/>
        </w:rPr>
      </w:pPr>
    </w:p>
    <w:p w14:paraId="3D095221" w14:textId="13AF9504" w:rsidR="007D5EEB" w:rsidRPr="00010CE7" w:rsidRDefault="007D5EEB" w:rsidP="00010CE7">
      <w:pPr>
        <w:spacing w:after="0" w:line="300" w:lineRule="auto"/>
        <w:jc w:val="both"/>
        <w:rPr>
          <w:rFonts w:ascii="Helvetica" w:hAnsi="Helvetica"/>
          <w:color w:val="F7F5F2"/>
          <w:sz w:val="20"/>
          <w:szCs w:val="20"/>
        </w:rPr>
      </w:pPr>
      <w:r w:rsidRPr="00010CE7">
        <w:rPr>
          <w:rFonts w:ascii="Helvetica" w:hAnsi="Helvetica"/>
          <w:color w:val="F7F5F2"/>
          <w:sz w:val="20"/>
          <w:szCs w:val="20"/>
        </w:rPr>
        <w:t>Prepared by: Bain Squared Valuation Advisory</w:t>
      </w:r>
    </w:p>
    <w:p w14:paraId="76BDB638" w14:textId="77777777" w:rsidR="00436FFF" w:rsidRPr="00010CE7" w:rsidRDefault="00436FFF" w:rsidP="00010CE7">
      <w:pPr>
        <w:spacing w:after="0" w:line="300" w:lineRule="auto"/>
        <w:jc w:val="both"/>
        <w:rPr>
          <w:rFonts w:ascii="Helvetica" w:hAnsi="Helvetica"/>
          <w:color w:val="F7F5F2"/>
        </w:rPr>
      </w:pPr>
    </w:p>
    <w:p w14:paraId="12FA37EE" w14:textId="77777777" w:rsidR="00436FFF" w:rsidRPr="00010CE7" w:rsidRDefault="00436FFF" w:rsidP="00010CE7">
      <w:pPr>
        <w:spacing w:after="0" w:line="300" w:lineRule="auto"/>
        <w:jc w:val="both"/>
        <w:rPr>
          <w:rFonts w:ascii="Helvetica" w:hAnsi="Helvetica"/>
          <w:color w:val="F7F5F2"/>
        </w:rPr>
      </w:pPr>
    </w:p>
    <w:p w14:paraId="5205B35A" w14:textId="77777777" w:rsidR="00436FFF" w:rsidRPr="00010CE7" w:rsidRDefault="00436FFF" w:rsidP="00010CE7">
      <w:pPr>
        <w:spacing w:after="0" w:line="300" w:lineRule="auto"/>
        <w:jc w:val="both"/>
        <w:rPr>
          <w:rFonts w:ascii="Helvetica" w:hAnsi="Helvetica"/>
          <w:color w:val="F7F5F2"/>
        </w:rPr>
      </w:pPr>
    </w:p>
    <w:p w14:paraId="0991B7EA" w14:textId="77777777" w:rsidR="009429BB" w:rsidRPr="00010CE7" w:rsidRDefault="009429BB" w:rsidP="00010CE7">
      <w:pPr>
        <w:spacing w:after="0" w:line="300" w:lineRule="auto"/>
        <w:jc w:val="both"/>
        <w:rPr>
          <w:rFonts w:ascii="Helvetica" w:hAnsi="Helvetica"/>
          <w:i/>
          <w:iCs/>
          <w:color w:val="F7F5F2"/>
          <w:sz w:val="20"/>
          <w:szCs w:val="20"/>
        </w:rPr>
      </w:pPr>
      <w:r w:rsidRPr="00010CE7">
        <w:rPr>
          <w:rFonts w:ascii="Helvetica" w:hAnsi="Helvetica"/>
          <w:i/>
          <w:iCs/>
          <w:color w:val="F7F5F2"/>
          <w:sz w:val="20"/>
          <w:szCs w:val="20"/>
        </w:rPr>
        <w:t>Important notice: This report is general guidance based on assessment responses. It is not a valuation report, investment advice, legal advice, tax advice, or a commitment to support fundraising. Bain Squared does not guarantee funding, investor interest, valuation uplift, or transaction completion. Formal advice requires a separate engagement and review of source documentation.</w:t>
      </w:r>
    </w:p>
    <w:p w14:paraId="4B06B15A" w14:textId="77777777" w:rsidR="00C12B5F" w:rsidRDefault="00C12B5F">
      <w:pPr>
        <w:rPr>
          <w:rFonts w:ascii="Helvetica" w:hAnsi="Helvetica"/>
          <w:color w:val="1A1A1A"/>
          <w:sz w:val="20"/>
          <w:szCs w:val="20"/>
        </w:rPr>
      </w:pPr>
      <w:r>
        <w:rPr>
          <w:rFonts w:ascii="Helvetica" w:hAnsi="Helvetica"/>
          <w:color w:val="1A1A1A"/>
          <w:sz w:val="20"/>
          <w:szCs w:val="20"/>
        </w:rPr>
        <w:br w:type="page"/>
      </w:r>
    </w:p>
    <w:p w14:paraId="04804D8C" w14:textId="77777777" w:rsidR="00854091" w:rsidRPr="00010CE7" w:rsidRDefault="00854091" w:rsidP="00854091">
      <w:pPr>
        <w:spacing w:after="0" w:line="240" w:lineRule="auto"/>
        <w:jc w:val="both"/>
        <w:rPr>
          <w:rFonts w:ascii="Helvetica" w:hAnsi="Helvetica"/>
          <w:color w:val="174C3C"/>
          <w:sz w:val="40"/>
          <w:szCs w:val="40"/>
        </w:rPr>
      </w:pPr>
      <w:r w:rsidRPr="000025CE">
        <w:rPr>
          <w:rFonts w:ascii="Helvetica" w:hAnsi="Helvetica"/>
          <w:color w:val="174C3C"/>
          <w:sz w:val="40"/>
          <w:szCs w:val="40"/>
        </w:rPr>
        <w:lastRenderedPageBreak/>
        <w:t>Your Assessment Summary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854091" w:rsidRPr="00010CE7" w14:paraId="2B4399F7" w14:textId="77777777" w:rsidTr="00527C4E">
        <w:tc>
          <w:tcPr>
            <w:tcW w:w="9350" w:type="dxa"/>
            <w:tcBorders>
              <w:bottom w:val="single" w:sz="6" w:space="0" w:color="E5E5E5"/>
            </w:tcBorders>
          </w:tcPr>
          <w:p w14:paraId="492BAAC8" w14:textId="77777777" w:rsidR="00854091" w:rsidRPr="00010CE7" w:rsidRDefault="00854091" w:rsidP="00527C4E">
            <w:pPr>
              <w:spacing w:line="300" w:lineRule="auto"/>
              <w:jc w:val="both"/>
              <w:rPr>
                <w:rFonts w:ascii="Helvetica" w:hAnsi="Helvetica"/>
                <w:color w:val="1A1A1A"/>
              </w:rPr>
            </w:pPr>
          </w:p>
        </w:tc>
      </w:tr>
      <w:tr w:rsidR="00854091" w:rsidRPr="00010CE7" w14:paraId="6A5B199B" w14:textId="77777777" w:rsidTr="00527C4E">
        <w:trPr>
          <w:trHeight w:val="60"/>
        </w:trPr>
        <w:tc>
          <w:tcPr>
            <w:tcW w:w="9350" w:type="dxa"/>
            <w:tcBorders>
              <w:top w:val="single" w:sz="6" w:space="0" w:color="E5E5E5"/>
            </w:tcBorders>
          </w:tcPr>
          <w:p w14:paraId="5B76745E" w14:textId="77777777" w:rsidR="00854091" w:rsidRPr="00010CE7" w:rsidRDefault="00854091" w:rsidP="00527C4E">
            <w:pPr>
              <w:spacing w:line="300" w:lineRule="auto"/>
              <w:jc w:val="both"/>
              <w:rPr>
                <w:rFonts w:ascii="Helvetica" w:hAnsi="Helvetica"/>
                <w:color w:val="1A1A1A"/>
              </w:rPr>
            </w:pPr>
          </w:p>
        </w:tc>
      </w:tr>
    </w:tbl>
    <w:p w14:paraId="43F238E2" w14:textId="693CBD9A" w:rsidR="00854091" w:rsidRDefault="00854091" w:rsidP="00854091">
      <w:pPr>
        <w:spacing w:after="0" w:line="300" w:lineRule="auto"/>
        <w:jc w:val="both"/>
        <w:rPr>
          <w:rFonts w:ascii="Helvetica" w:hAnsi="Helvetica"/>
          <w:color w:val="1A1A1A"/>
        </w:rPr>
      </w:pPr>
      <w:r w:rsidRPr="00854091">
        <w:rPr>
          <w:rFonts w:ascii="Helvetica" w:hAnsi="Helvetica"/>
          <w:color w:val="1A1A1A"/>
        </w:rPr>
        <w:t>Based on your responses, you are currently exploring how valuation works, but you do not have an immediate transaction planned. You are in the early stages of identifying and tracking the intangible assets that drive your company's worth. This guide provides a baseline for what you should track as your business grows.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854091" w:rsidRPr="00010CE7" w14:paraId="5E74C6BF" w14:textId="77777777" w:rsidTr="00527C4E">
        <w:tc>
          <w:tcPr>
            <w:tcW w:w="9350" w:type="dxa"/>
          </w:tcPr>
          <w:p w14:paraId="3E7D0D52" w14:textId="77777777" w:rsidR="00854091" w:rsidRPr="00010CE7" w:rsidRDefault="00854091" w:rsidP="00527C4E">
            <w:pPr>
              <w:spacing w:line="300" w:lineRule="auto"/>
              <w:jc w:val="both"/>
              <w:rPr>
                <w:rFonts w:ascii="Helvetica" w:hAnsi="Helvetica"/>
                <w:color w:val="1A1A1A"/>
              </w:rPr>
            </w:pPr>
          </w:p>
        </w:tc>
      </w:tr>
      <w:tr w:rsidR="00854091" w:rsidRPr="00010CE7" w14:paraId="3F46DC36" w14:textId="77777777" w:rsidTr="00527C4E">
        <w:trPr>
          <w:trHeight w:val="60"/>
        </w:trPr>
        <w:tc>
          <w:tcPr>
            <w:tcW w:w="9350" w:type="dxa"/>
          </w:tcPr>
          <w:p w14:paraId="40F983EC" w14:textId="77777777" w:rsidR="00854091" w:rsidRPr="00010CE7" w:rsidRDefault="00854091" w:rsidP="00527C4E">
            <w:pPr>
              <w:spacing w:line="300" w:lineRule="auto"/>
              <w:jc w:val="both"/>
              <w:rPr>
                <w:rFonts w:ascii="Helvetica" w:hAnsi="Helvetica"/>
                <w:color w:val="1A1A1A"/>
              </w:rPr>
            </w:pPr>
          </w:p>
        </w:tc>
      </w:tr>
    </w:tbl>
    <w:p w14:paraId="0608B6E6" w14:textId="63122AF4" w:rsidR="006A7B5C" w:rsidRPr="00010CE7" w:rsidRDefault="006A7B5C" w:rsidP="00010CE7">
      <w:pPr>
        <w:spacing w:after="0" w:line="300" w:lineRule="auto"/>
        <w:jc w:val="both"/>
        <w:rPr>
          <w:rFonts w:ascii="Helvetica" w:hAnsi="Helvetica"/>
          <w:color w:val="1A1A1A"/>
          <w:sz w:val="20"/>
          <w:szCs w:val="20"/>
        </w:rPr>
      </w:pPr>
      <w:r w:rsidRPr="00010CE7">
        <w:rPr>
          <w:rFonts w:ascii="Helvetica" w:hAnsi="Helvetica"/>
          <w:color w:val="1A1A1A"/>
          <w:sz w:val="20"/>
          <w:szCs w:val="20"/>
        </w:rPr>
        <w:t>Section 01</w:t>
      </w:r>
    </w:p>
    <w:p w14:paraId="01D4D23B" w14:textId="77777777" w:rsidR="00010CE7" w:rsidRPr="00010CE7" w:rsidRDefault="00010CE7" w:rsidP="00010CE7">
      <w:pPr>
        <w:spacing w:after="0" w:line="300" w:lineRule="auto"/>
        <w:jc w:val="both"/>
        <w:rPr>
          <w:rFonts w:ascii="Helvetica" w:hAnsi="Helvetica"/>
          <w:color w:val="1A1A1A"/>
        </w:rPr>
      </w:pPr>
    </w:p>
    <w:p w14:paraId="1880C4A8" w14:textId="7B84F67B" w:rsidR="00FF57BA" w:rsidRPr="00010CE7" w:rsidRDefault="00C12B5F" w:rsidP="00010CE7">
      <w:pPr>
        <w:spacing w:after="0" w:line="240" w:lineRule="auto"/>
        <w:jc w:val="both"/>
        <w:rPr>
          <w:rFonts w:ascii="Helvetica" w:hAnsi="Helvetica"/>
          <w:color w:val="174C3C"/>
          <w:sz w:val="40"/>
          <w:szCs w:val="40"/>
        </w:rPr>
      </w:pPr>
      <w:r w:rsidRPr="00C12B5F">
        <w:rPr>
          <w:rFonts w:ascii="Helvetica" w:hAnsi="Helvetica"/>
          <w:color w:val="174C3C"/>
          <w:sz w:val="40"/>
          <w:szCs w:val="40"/>
        </w:rPr>
        <w:t>You are in the early stages of value discovery.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6A7B5C" w:rsidRPr="00010CE7" w14:paraId="699247C5" w14:textId="77777777" w:rsidTr="00D25791">
        <w:tc>
          <w:tcPr>
            <w:tcW w:w="9350" w:type="dxa"/>
            <w:tcBorders>
              <w:bottom w:val="single" w:sz="6" w:space="0" w:color="E5E5E5"/>
            </w:tcBorders>
          </w:tcPr>
          <w:p w14:paraId="2FDA6CF2" w14:textId="77777777" w:rsidR="006A7B5C" w:rsidRPr="00010CE7" w:rsidRDefault="006A7B5C" w:rsidP="00010CE7">
            <w:pPr>
              <w:spacing w:line="300" w:lineRule="auto"/>
              <w:jc w:val="both"/>
              <w:rPr>
                <w:rFonts w:ascii="Helvetica" w:hAnsi="Helvetica"/>
                <w:color w:val="1A1A1A"/>
              </w:rPr>
            </w:pPr>
          </w:p>
        </w:tc>
      </w:tr>
      <w:tr w:rsidR="006A7B5C" w:rsidRPr="00010CE7" w14:paraId="4B3C5D20" w14:textId="77777777" w:rsidTr="00D25791">
        <w:trPr>
          <w:trHeight w:val="60"/>
        </w:trPr>
        <w:tc>
          <w:tcPr>
            <w:tcW w:w="9350" w:type="dxa"/>
            <w:tcBorders>
              <w:top w:val="single" w:sz="6" w:space="0" w:color="E5E5E5"/>
            </w:tcBorders>
          </w:tcPr>
          <w:p w14:paraId="34375ECB" w14:textId="77777777" w:rsidR="0025713E" w:rsidRPr="00010CE7" w:rsidRDefault="0025713E" w:rsidP="00010CE7">
            <w:pPr>
              <w:spacing w:line="300" w:lineRule="auto"/>
              <w:jc w:val="both"/>
              <w:rPr>
                <w:rFonts w:ascii="Helvetica" w:hAnsi="Helvetica"/>
                <w:color w:val="1A1A1A"/>
              </w:rPr>
            </w:pPr>
          </w:p>
        </w:tc>
      </w:tr>
    </w:tbl>
    <w:p w14:paraId="48A3BA86" w14:textId="71172731" w:rsidR="00C12B5F" w:rsidRDefault="00854091" w:rsidP="00C12B5F">
      <w:pPr>
        <w:spacing w:after="0" w:line="300" w:lineRule="auto"/>
        <w:jc w:val="both"/>
        <w:rPr>
          <w:rFonts w:ascii="Helvetica" w:hAnsi="Helvetica"/>
          <w:color w:val="1A1A1A"/>
        </w:rPr>
      </w:pPr>
      <w:r w:rsidRPr="00854091">
        <w:rPr>
          <w:rFonts w:ascii="Helvetica" w:hAnsi="Helvetica"/>
          <w:color w:val="1A1A1A"/>
        </w:rPr>
        <w:t>If you do not have an immediate fundraising, sale, or succession event planned, you are in the ideal window for value discovery. This is the time to identify the value drivers that are not yet fully developed or visible to an outside investor.</w:t>
      </w:r>
    </w:p>
    <w:p w14:paraId="6DFEA2A2" w14:textId="77777777" w:rsidR="00854091" w:rsidRDefault="00854091" w:rsidP="00C12B5F">
      <w:pPr>
        <w:spacing w:after="0" w:line="300" w:lineRule="auto"/>
        <w:jc w:val="both"/>
        <w:rPr>
          <w:rFonts w:ascii="Helvetica" w:hAnsi="Helvetica"/>
          <w:color w:val="1A1A1A"/>
        </w:rPr>
      </w:pPr>
    </w:p>
    <w:p w14:paraId="6F8FE683" w14:textId="62D60C53" w:rsidR="00C12B5F" w:rsidRDefault="00C12B5F" w:rsidP="00C12B5F">
      <w:pPr>
        <w:spacing w:after="0" w:line="300" w:lineRule="auto"/>
        <w:jc w:val="both"/>
        <w:rPr>
          <w:rFonts w:ascii="Helvetica" w:hAnsi="Helvetica"/>
          <w:color w:val="1A1A1A"/>
        </w:rPr>
      </w:pPr>
      <w:r w:rsidRPr="00C12B5F">
        <w:rPr>
          <w:rFonts w:ascii="Helvetica" w:hAnsi="Helvetica"/>
          <w:color w:val="1A1A1A"/>
        </w:rPr>
        <w:t>This does not mean your business lacks value. It means the value drivers may not yet be fully developed, documented, or visible to an outside investor, buyer, lender, or board member.</w:t>
      </w:r>
    </w:p>
    <w:p w14:paraId="12DDD236" w14:textId="77777777" w:rsidR="00C12B5F" w:rsidRPr="00C12B5F" w:rsidRDefault="00C12B5F" w:rsidP="00C12B5F">
      <w:pPr>
        <w:spacing w:after="0" w:line="300" w:lineRule="auto"/>
        <w:jc w:val="both"/>
        <w:rPr>
          <w:rFonts w:ascii="Helvetica" w:hAnsi="Helvetica"/>
          <w:color w:val="1A1A1A"/>
        </w:rPr>
      </w:pPr>
    </w:p>
    <w:p w14:paraId="3E5A9C85" w14:textId="7E8B2FCA" w:rsidR="00350144" w:rsidRPr="00010CE7" w:rsidRDefault="00C12B5F" w:rsidP="00C12B5F">
      <w:pPr>
        <w:spacing w:after="0" w:line="300" w:lineRule="auto"/>
        <w:jc w:val="both"/>
        <w:rPr>
          <w:rFonts w:ascii="Helvetica" w:hAnsi="Helvetica"/>
          <w:color w:val="1A1A1A"/>
        </w:rPr>
      </w:pPr>
      <w:r w:rsidRPr="00C12B5F">
        <w:rPr>
          <w:rFonts w:ascii="Helvetica" w:hAnsi="Helvetica"/>
          <w:color w:val="1A1A1A"/>
        </w:rPr>
        <w:t>This guide explains the difference between standard financial value and true business value, why intangible assets matter over time, and what you should start tracking now so your valuation story becomes stronger as the company grows.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350144" w:rsidRPr="00010CE7" w14:paraId="10A023DB" w14:textId="77777777" w:rsidTr="00350144">
        <w:tc>
          <w:tcPr>
            <w:tcW w:w="9350" w:type="dxa"/>
          </w:tcPr>
          <w:p w14:paraId="35336B17" w14:textId="77777777" w:rsidR="00350144" w:rsidRPr="00010CE7" w:rsidRDefault="00350144" w:rsidP="00010CE7">
            <w:pPr>
              <w:spacing w:line="300" w:lineRule="auto"/>
              <w:jc w:val="both"/>
              <w:rPr>
                <w:rFonts w:ascii="Helvetica" w:hAnsi="Helvetica"/>
                <w:color w:val="1A1A1A"/>
              </w:rPr>
            </w:pPr>
          </w:p>
        </w:tc>
      </w:tr>
      <w:tr w:rsidR="00350144" w:rsidRPr="00010CE7" w14:paraId="20D3D7D9" w14:textId="77777777" w:rsidTr="00350144">
        <w:trPr>
          <w:trHeight w:val="60"/>
        </w:trPr>
        <w:tc>
          <w:tcPr>
            <w:tcW w:w="9350" w:type="dxa"/>
          </w:tcPr>
          <w:p w14:paraId="6A8C3B82" w14:textId="77777777" w:rsidR="00350144" w:rsidRPr="00010CE7" w:rsidRDefault="00350144" w:rsidP="00010CE7">
            <w:pPr>
              <w:spacing w:line="300" w:lineRule="auto"/>
              <w:jc w:val="both"/>
              <w:rPr>
                <w:rFonts w:ascii="Helvetica" w:hAnsi="Helvetica"/>
                <w:color w:val="1A1A1A"/>
              </w:rPr>
            </w:pPr>
          </w:p>
        </w:tc>
      </w:tr>
    </w:tbl>
    <w:p w14:paraId="56E0508A" w14:textId="767EA648" w:rsidR="00010CE7" w:rsidRPr="00010CE7" w:rsidRDefault="00350144" w:rsidP="00010CE7">
      <w:pPr>
        <w:pStyle w:val="Heading2"/>
        <w:spacing w:before="0" w:after="0" w:line="300" w:lineRule="auto"/>
        <w:jc w:val="both"/>
        <w:rPr>
          <w:rFonts w:ascii="Helvetica" w:hAnsi="Helvetica"/>
          <w:color w:val="1A1A1A"/>
          <w:sz w:val="20"/>
          <w:szCs w:val="20"/>
        </w:rPr>
      </w:pPr>
      <w:r w:rsidRPr="00010CE7">
        <w:rPr>
          <w:rFonts w:ascii="Helvetica" w:hAnsi="Helvetica"/>
          <w:color w:val="1A1A1A"/>
          <w:sz w:val="20"/>
          <w:szCs w:val="20"/>
        </w:rPr>
        <w:t>Section 0</w:t>
      </w:r>
      <w:r w:rsidR="00010CE7" w:rsidRPr="00010CE7">
        <w:rPr>
          <w:rFonts w:ascii="Helvetica" w:hAnsi="Helvetica"/>
          <w:color w:val="1A1A1A"/>
          <w:sz w:val="20"/>
          <w:szCs w:val="20"/>
        </w:rPr>
        <w:t>2</w:t>
      </w:r>
    </w:p>
    <w:p w14:paraId="0222D5A0" w14:textId="73BE046D" w:rsidR="00350144" w:rsidRPr="00010CE7" w:rsidRDefault="00350144" w:rsidP="00010CE7">
      <w:pPr>
        <w:pStyle w:val="Heading2"/>
        <w:spacing w:before="0" w:after="0" w:line="300" w:lineRule="auto"/>
        <w:jc w:val="both"/>
        <w:rPr>
          <w:rFonts w:ascii="Helvetica" w:hAnsi="Helvetica"/>
          <w:color w:val="1A1A1A"/>
          <w:sz w:val="24"/>
          <w:szCs w:val="24"/>
        </w:rPr>
      </w:pPr>
    </w:p>
    <w:p w14:paraId="4A12ACF7" w14:textId="631F4312" w:rsidR="00965E5F" w:rsidRPr="00010CE7" w:rsidRDefault="00C12B5F" w:rsidP="00010CE7">
      <w:pPr>
        <w:pStyle w:val="Heading2"/>
        <w:spacing w:before="0" w:after="0" w:line="240" w:lineRule="auto"/>
        <w:jc w:val="both"/>
        <w:rPr>
          <w:rFonts w:ascii="Helvetica" w:hAnsi="Helvetica"/>
          <w:color w:val="174C3C"/>
          <w:sz w:val="40"/>
          <w:szCs w:val="40"/>
        </w:rPr>
      </w:pPr>
      <w:r w:rsidRPr="00C12B5F">
        <w:rPr>
          <w:rFonts w:ascii="Helvetica" w:hAnsi="Helvetica"/>
          <w:color w:val="174C3C"/>
          <w:sz w:val="40"/>
          <w:szCs w:val="40"/>
        </w:rPr>
        <w:t>Financial Value vs. Intangible Value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965E5F" w:rsidRPr="00010CE7" w14:paraId="2AAB64EA" w14:textId="77777777" w:rsidTr="00D25791">
        <w:tc>
          <w:tcPr>
            <w:tcW w:w="9350" w:type="dxa"/>
            <w:tcBorders>
              <w:bottom w:val="single" w:sz="6" w:space="0" w:color="E5E5E5"/>
            </w:tcBorders>
          </w:tcPr>
          <w:p w14:paraId="35C39156" w14:textId="77777777" w:rsidR="00965E5F" w:rsidRPr="00010CE7" w:rsidRDefault="00965E5F" w:rsidP="00010CE7">
            <w:pPr>
              <w:spacing w:line="300" w:lineRule="auto"/>
              <w:jc w:val="both"/>
              <w:rPr>
                <w:rFonts w:ascii="Helvetica" w:hAnsi="Helvetica"/>
                <w:color w:val="1A1A1A"/>
              </w:rPr>
            </w:pPr>
          </w:p>
        </w:tc>
      </w:tr>
      <w:tr w:rsidR="00965E5F" w:rsidRPr="00010CE7" w14:paraId="396CCDE8" w14:textId="77777777" w:rsidTr="00D25791">
        <w:trPr>
          <w:trHeight w:val="60"/>
        </w:trPr>
        <w:tc>
          <w:tcPr>
            <w:tcW w:w="9350" w:type="dxa"/>
            <w:tcBorders>
              <w:top w:val="single" w:sz="6" w:space="0" w:color="E5E5E5"/>
            </w:tcBorders>
          </w:tcPr>
          <w:p w14:paraId="0C4B223A" w14:textId="77777777" w:rsidR="0025713E" w:rsidRPr="00010CE7" w:rsidRDefault="0025713E" w:rsidP="00010CE7">
            <w:pPr>
              <w:spacing w:line="300" w:lineRule="auto"/>
              <w:jc w:val="both"/>
              <w:rPr>
                <w:rFonts w:ascii="Helvetica" w:hAnsi="Helvetica"/>
                <w:color w:val="1A1A1A"/>
              </w:rPr>
            </w:pPr>
          </w:p>
        </w:tc>
      </w:tr>
    </w:tbl>
    <w:p w14:paraId="344FB6B4" w14:textId="52365E72" w:rsidR="00C12B5F" w:rsidRPr="00C12B5F" w:rsidRDefault="00C12B5F" w:rsidP="00C12B5F">
      <w:pPr>
        <w:spacing w:after="0" w:line="300" w:lineRule="auto"/>
        <w:jc w:val="both"/>
        <w:rPr>
          <w:rFonts w:ascii="Helvetica" w:hAnsi="Helvetica"/>
          <w:color w:val="1A1A1A"/>
        </w:rPr>
      </w:pPr>
      <w:r w:rsidRPr="00C12B5F">
        <w:rPr>
          <w:rFonts w:ascii="Helvetica" w:hAnsi="Helvetica"/>
          <w:color w:val="1A1A1A"/>
        </w:rPr>
        <w:t xml:space="preserve">Most business owners understand financial value. If your business generates $1 million in profit, and comparable companies in your industry typically sell for 4 times profit, the </w:t>
      </w:r>
      <w:r w:rsidRPr="00C12B5F">
        <w:rPr>
          <w:rFonts w:ascii="Helvetica" w:hAnsi="Helvetica"/>
          <w:color w:val="1A1A1A"/>
        </w:rPr>
        <w:lastRenderedPageBreak/>
        <w:t>starting valuation might be $4 million. That is a standard financial multiple. It is useful because it gives everyone a common reference point.</w:t>
      </w:r>
      <w:r w:rsidR="00854091">
        <w:rPr>
          <w:rFonts w:ascii="Helvetica" w:hAnsi="Helvetica"/>
          <w:color w:val="1A1A1A"/>
        </w:rPr>
        <w:t xml:space="preserve"> </w:t>
      </w:r>
      <w:r w:rsidRPr="00C12B5F">
        <w:rPr>
          <w:rFonts w:ascii="Helvetica" w:hAnsi="Helvetica"/>
          <w:color w:val="1A1A1A"/>
        </w:rPr>
        <w:t>But a financial multiple only captures what shows up clearly in the financial statements. It does not fully capture why customers choose you, why revenue repeats, why your team can deliver faster than competitors, or why your product or service is difficult to replicate.</w:t>
      </w:r>
    </w:p>
    <w:p w14:paraId="18C60CE1" w14:textId="77777777" w:rsidR="00C12B5F" w:rsidRDefault="00C12B5F" w:rsidP="00C12B5F">
      <w:pPr>
        <w:spacing w:after="0" w:line="300" w:lineRule="auto"/>
        <w:jc w:val="both"/>
        <w:rPr>
          <w:rFonts w:ascii="Helvetica" w:hAnsi="Helvetica"/>
          <w:color w:val="1A1A1A"/>
        </w:rPr>
      </w:pPr>
    </w:p>
    <w:p w14:paraId="7120F413" w14:textId="7A4A8B11" w:rsidR="00C12B5F" w:rsidRPr="00C12B5F" w:rsidRDefault="00C12B5F" w:rsidP="00C12B5F">
      <w:pPr>
        <w:spacing w:after="0" w:line="300" w:lineRule="auto"/>
        <w:jc w:val="both"/>
        <w:rPr>
          <w:rFonts w:ascii="Helvetica" w:hAnsi="Helvetica"/>
          <w:color w:val="1A1A1A"/>
        </w:rPr>
      </w:pPr>
      <w:r w:rsidRPr="00C12B5F">
        <w:rPr>
          <w:rFonts w:ascii="Helvetica" w:hAnsi="Helvetica"/>
          <w:color w:val="1A1A1A"/>
        </w:rPr>
        <w:t>Intangible assets are the non physical assets that make revenue more defensible and profit more sustainable. They include brand strength, customer relationships, software, data, proprietary processes, intellectual property, know how, and long term contracts.</w:t>
      </w:r>
    </w:p>
    <w:p w14:paraId="6E037B95" w14:textId="77777777" w:rsidR="00C12B5F" w:rsidRDefault="00C12B5F" w:rsidP="00C12B5F">
      <w:pPr>
        <w:spacing w:after="0" w:line="300" w:lineRule="auto"/>
        <w:jc w:val="both"/>
        <w:rPr>
          <w:rFonts w:ascii="Helvetica" w:hAnsi="Helvetica"/>
          <w:color w:val="1A1A1A"/>
        </w:rPr>
      </w:pPr>
    </w:p>
    <w:p w14:paraId="2713EA97" w14:textId="5297D4A5" w:rsidR="000A5A0F" w:rsidRDefault="00C12B5F" w:rsidP="00C12B5F">
      <w:pPr>
        <w:spacing w:after="0" w:line="300" w:lineRule="auto"/>
        <w:jc w:val="both"/>
        <w:rPr>
          <w:rFonts w:ascii="Helvetica" w:hAnsi="Helvetica"/>
          <w:color w:val="1A1A1A"/>
        </w:rPr>
      </w:pPr>
      <w:r w:rsidRPr="00C12B5F">
        <w:rPr>
          <w:rFonts w:ascii="Helvetica" w:hAnsi="Helvetica"/>
          <w:color w:val="1A1A1A"/>
        </w:rPr>
        <w:t>When these assets are properly documented and valued, they can support a more complete view of enterprise value. In more mature situations, this is often reflected through a sum of parts valuation, where the financial business is assessed alongside the intangible assets that support its durability.</w:t>
      </w:r>
    </w:p>
    <w:tbl>
      <w:tblPr>
        <w:tblStyle w:val="TableGrid"/>
        <w:tblW w:w="9355" w:type="dxa"/>
        <w:tblLook w:val="04A0" w:firstRow="1" w:lastRow="0" w:firstColumn="1" w:lastColumn="0" w:noHBand="0" w:noVBand="1"/>
      </w:tblPr>
      <w:tblGrid>
        <w:gridCol w:w="9355"/>
      </w:tblGrid>
      <w:tr w:rsidR="00010CE7" w:rsidRPr="00010CE7" w14:paraId="7FF72B16" w14:textId="77777777" w:rsidTr="00010CE7">
        <w:tc>
          <w:tcPr>
            <w:tcW w:w="9355" w:type="dxa"/>
            <w:tcBorders>
              <w:top w:val="nil"/>
              <w:left w:val="nil"/>
              <w:bottom w:val="nil"/>
              <w:right w:val="nil"/>
            </w:tcBorders>
          </w:tcPr>
          <w:p w14:paraId="2BCA038E" w14:textId="77777777" w:rsidR="00010CE7" w:rsidRPr="00010CE7" w:rsidRDefault="00010CE7" w:rsidP="00010CE7">
            <w:pPr>
              <w:spacing w:line="300" w:lineRule="auto"/>
              <w:jc w:val="both"/>
              <w:rPr>
                <w:rFonts w:ascii="Helvetica" w:hAnsi="Helvetica"/>
                <w:color w:val="1A1A1A"/>
              </w:rPr>
            </w:pPr>
          </w:p>
        </w:tc>
      </w:tr>
      <w:tr w:rsidR="00010CE7" w:rsidRPr="00010CE7" w14:paraId="60F5B2EB" w14:textId="77777777" w:rsidTr="00010CE7">
        <w:trPr>
          <w:trHeight w:val="60"/>
        </w:trPr>
        <w:tc>
          <w:tcPr>
            <w:tcW w:w="9355" w:type="dxa"/>
            <w:tcBorders>
              <w:top w:val="nil"/>
              <w:left w:val="nil"/>
              <w:bottom w:val="nil"/>
              <w:right w:val="nil"/>
            </w:tcBorders>
          </w:tcPr>
          <w:p w14:paraId="483CD64A" w14:textId="77777777" w:rsidR="00010CE7" w:rsidRPr="00010CE7" w:rsidRDefault="00010CE7" w:rsidP="00010CE7">
            <w:pPr>
              <w:spacing w:line="300" w:lineRule="auto"/>
              <w:jc w:val="both"/>
              <w:rPr>
                <w:rFonts w:ascii="Helvetica" w:hAnsi="Helvetica"/>
                <w:color w:val="1A1A1A"/>
              </w:rPr>
            </w:pPr>
          </w:p>
        </w:tc>
      </w:tr>
      <w:tr w:rsidR="000A5A0F" w:rsidRPr="00010CE7" w14:paraId="4C3C1113" w14:textId="77777777" w:rsidTr="00C12B5F">
        <w:tblPrEx>
          <w:tblBorders>
            <w:top w:val="none" w:sz="0" w:space="0" w:color="auto"/>
            <w:left w:val="single" w:sz="48" w:space="0" w:color="D97706"/>
            <w:bottom w:val="none" w:sz="0" w:space="0" w:color="auto"/>
            <w:right w:val="none" w:sz="0" w:space="0" w:color="auto"/>
            <w:insideH w:val="none" w:sz="0" w:space="0" w:color="auto"/>
            <w:insideV w:val="none" w:sz="0" w:space="0" w:color="auto"/>
          </w:tblBorders>
          <w:shd w:val="clear" w:color="auto" w:fill="FEF3C7"/>
          <w:tblCellMar>
            <w:top w:w="288" w:type="dxa"/>
            <w:left w:w="720" w:type="dxa"/>
            <w:bottom w:w="288" w:type="dxa"/>
            <w:right w:w="720" w:type="dxa"/>
          </w:tblCellMar>
        </w:tblPrEx>
        <w:tc>
          <w:tcPr>
            <w:tcW w:w="9355" w:type="dxa"/>
            <w:tcBorders>
              <w:top w:val="nil"/>
              <w:bottom w:val="nil"/>
            </w:tcBorders>
            <w:shd w:val="clear" w:color="auto" w:fill="FEF3C7"/>
          </w:tcPr>
          <w:p w14:paraId="17F47327" w14:textId="4F11E2E9" w:rsidR="000A5A0F" w:rsidRPr="00010CE7" w:rsidRDefault="00C12B5F" w:rsidP="000426D4">
            <w:pPr>
              <w:spacing w:line="300" w:lineRule="auto"/>
              <w:rPr>
                <w:rFonts w:ascii="Helvetica" w:hAnsi="Helvetica"/>
                <w:b/>
                <w:bCs/>
                <w:color w:val="D97706"/>
              </w:rPr>
            </w:pPr>
            <w:r>
              <w:rPr>
                <w:rFonts w:ascii="Helvetica" w:hAnsi="Helvetica"/>
                <w:b/>
                <w:bCs/>
                <w:color w:val="D97706"/>
              </w:rPr>
              <w:t>Important Note</w:t>
            </w:r>
          </w:p>
          <w:p w14:paraId="4D478813" w14:textId="7F9F5F0E" w:rsidR="000A5A0F" w:rsidRPr="00010CE7" w:rsidRDefault="00C12B5F" w:rsidP="000426D4">
            <w:pPr>
              <w:spacing w:line="300" w:lineRule="auto"/>
              <w:rPr>
                <w:rFonts w:ascii="Helvetica" w:hAnsi="Helvetica"/>
                <w:color w:val="1A1A1A"/>
              </w:rPr>
            </w:pPr>
            <w:r w:rsidRPr="00C12B5F">
              <w:rPr>
                <w:rFonts w:ascii="Helvetica" w:hAnsi="Helvetica"/>
                <w:color w:val="1A1A1A"/>
              </w:rPr>
              <w:t>At your current stage, the goal is not to overstate value. The goal is to understand what value may already be forming and what evidence you need to build over time.</w:t>
            </w:r>
          </w:p>
        </w:tc>
      </w:tr>
      <w:tr w:rsidR="00C12B5F" w:rsidRPr="00010CE7" w14:paraId="0CBB5B84" w14:textId="77777777" w:rsidTr="00C12B5F">
        <w:tc>
          <w:tcPr>
            <w:tcW w:w="9355" w:type="dxa"/>
            <w:tcBorders>
              <w:top w:val="nil"/>
              <w:left w:val="nil"/>
              <w:bottom w:val="nil"/>
              <w:right w:val="nil"/>
            </w:tcBorders>
          </w:tcPr>
          <w:p w14:paraId="4FD72BE2" w14:textId="77777777" w:rsidR="00C12B5F" w:rsidRPr="00010CE7" w:rsidRDefault="00C12B5F" w:rsidP="00C9796D">
            <w:pPr>
              <w:spacing w:line="300" w:lineRule="auto"/>
              <w:jc w:val="both"/>
              <w:rPr>
                <w:rFonts w:ascii="Helvetica" w:hAnsi="Helvetica"/>
                <w:color w:val="1A1A1A"/>
              </w:rPr>
            </w:pPr>
          </w:p>
        </w:tc>
      </w:tr>
      <w:tr w:rsidR="00C12B5F" w:rsidRPr="00010CE7" w14:paraId="7DB1F86C" w14:textId="77777777" w:rsidTr="00C12B5F">
        <w:trPr>
          <w:trHeight w:val="60"/>
        </w:trPr>
        <w:tc>
          <w:tcPr>
            <w:tcW w:w="9355" w:type="dxa"/>
            <w:tcBorders>
              <w:top w:val="nil"/>
              <w:left w:val="nil"/>
              <w:bottom w:val="nil"/>
              <w:right w:val="nil"/>
            </w:tcBorders>
          </w:tcPr>
          <w:p w14:paraId="0AB28556" w14:textId="77777777" w:rsidR="00C12B5F" w:rsidRPr="00010CE7" w:rsidRDefault="00C12B5F" w:rsidP="00C9796D">
            <w:pPr>
              <w:spacing w:line="300" w:lineRule="auto"/>
              <w:jc w:val="both"/>
              <w:rPr>
                <w:rFonts w:ascii="Helvetica" w:hAnsi="Helvetica"/>
                <w:color w:val="1A1A1A"/>
              </w:rPr>
            </w:pPr>
          </w:p>
        </w:tc>
      </w:tr>
    </w:tbl>
    <w:p w14:paraId="706523A0" w14:textId="67490377" w:rsidR="00010CE7" w:rsidRPr="00010CE7" w:rsidRDefault="007D5EEB" w:rsidP="00010CE7">
      <w:pPr>
        <w:pStyle w:val="Heading2"/>
        <w:spacing w:before="0" w:after="0" w:line="300" w:lineRule="auto"/>
        <w:jc w:val="both"/>
        <w:rPr>
          <w:rFonts w:ascii="Helvetica" w:hAnsi="Helvetica"/>
          <w:color w:val="1A1A1A"/>
          <w:sz w:val="20"/>
          <w:szCs w:val="20"/>
        </w:rPr>
      </w:pPr>
      <w:r w:rsidRPr="00010CE7">
        <w:rPr>
          <w:rFonts w:ascii="Helvetica" w:hAnsi="Helvetica"/>
          <w:color w:val="1A1A1A"/>
          <w:sz w:val="20"/>
          <w:szCs w:val="20"/>
        </w:rPr>
        <w:t>Section 0</w:t>
      </w:r>
      <w:r w:rsidR="00010CE7" w:rsidRPr="00010CE7">
        <w:rPr>
          <w:rFonts w:ascii="Helvetica" w:hAnsi="Helvetica"/>
          <w:color w:val="1A1A1A"/>
          <w:sz w:val="20"/>
          <w:szCs w:val="20"/>
        </w:rPr>
        <w:t>3</w:t>
      </w:r>
    </w:p>
    <w:p w14:paraId="0CCB8B33" w14:textId="7CBE2B6E" w:rsidR="007D5EEB" w:rsidRPr="00010CE7" w:rsidRDefault="007D5EEB" w:rsidP="00010CE7">
      <w:pPr>
        <w:pStyle w:val="Heading2"/>
        <w:spacing w:before="0" w:after="0" w:line="300" w:lineRule="auto"/>
        <w:jc w:val="both"/>
        <w:rPr>
          <w:rFonts w:ascii="Helvetica" w:hAnsi="Helvetica"/>
          <w:color w:val="1A1A1A"/>
          <w:sz w:val="24"/>
          <w:szCs w:val="24"/>
        </w:rPr>
      </w:pPr>
    </w:p>
    <w:p w14:paraId="77A7D786" w14:textId="7A63A041" w:rsidR="007D5EEB" w:rsidRPr="00010CE7" w:rsidRDefault="00C12B5F" w:rsidP="00010CE7">
      <w:pPr>
        <w:pStyle w:val="Heading2"/>
        <w:spacing w:before="0" w:after="0" w:line="240" w:lineRule="auto"/>
        <w:jc w:val="both"/>
        <w:rPr>
          <w:rFonts w:ascii="Helvetica" w:hAnsi="Helvetica"/>
          <w:color w:val="174C3C"/>
          <w:sz w:val="40"/>
          <w:szCs w:val="40"/>
        </w:rPr>
      </w:pPr>
      <w:r w:rsidRPr="00C12B5F">
        <w:rPr>
          <w:rFonts w:ascii="Helvetica" w:hAnsi="Helvetica"/>
          <w:color w:val="174C3C"/>
          <w:sz w:val="40"/>
          <w:szCs w:val="40"/>
        </w:rPr>
        <w:t>Why Start Thinking About This Now?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7D5EEB" w:rsidRPr="00010CE7" w14:paraId="2503FEF8" w14:textId="77777777" w:rsidTr="00D25791">
        <w:tc>
          <w:tcPr>
            <w:tcW w:w="9350" w:type="dxa"/>
            <w:tcBorders>
              <w:bottom w:val="single" w:sz="6" w:space="0" w:color="E5E5E5"/>
            </w:tcBorders>
          </w:tcPr>
          <w:p w14:paraId="7D043220" w14:textId="77777777" w:rsidR="007D5EEB" w:rsidRPr="00010CE7" w:rsidRDefault="007D5EEB" w:rsidP="00010CE7">
            <w:pPr>
              <w:spacing w:line="300" w:lineRule="auto"/>
              <w:jc w:val="both"/>
              <w:rPr>
                <w:rFonts w:ascii="Helvetica" w:hAnsi="Helvetica"/>
                <w:color w:val="1A1A1A"/>
              </w:rPr>
            </w:pPr>
          </w:p>
        </w:tc>
      </w:tr>
    </w:tbl>
    <w:p w14:paraId="592D129A" w14:textId="77777777" w:rsidR="0025713E" w:rsidRPr="00010CE7" w:rsidRDefault="0025713E" w:rsidP="00010CE7">
      <w:pPr>
        <w:spacing w:after="0" w:line="300" w:lineRule="auto"/>
        <w:jc w:val="both"/>
        <w:rPr>
          <w:rFonts w:ascii="Helvetica" w:hAnsi="Helvetica"/>
          <w:color w:val="1A1A1A"/>
        </w:rPr>
      </w:pPr>
    </w:p>
    <w:p w14:paraId="09D2E845" w14:textId="6BE22352" w:rsidR="00C12B5F" w:rsidRPr="00C12B5F" w:rsidRDefault="00C12B5F" w:rsidP="00C12B5F">
      <w:pPr>
        <w:spacing w:after="0" w:line="300" w:lineRule="auto"/>
        <w:jc w:val="both"/>
        <w:rPr>
          <w:rFonts w:ascii="Helvetica" w:hAnsi="Helvetica"/>
          <w:color w:val="1A1A1A"/>
        </w:rPr>
      </w:pPr>
      <w:r w:rsidRPr="00C12B5F">
        <w:rPr>
          <w:rFonts w:ascii="Helvetica" w:hAnsi="Helvetica"/>
          <w:color w:val="1A1A1A"/>
        </w:rPr>
        <w:t>If you are not raising funds or selling the business tomorrow, it may feel premature to think about intangible asset value. In reality, this is the best time to start.</w:t>
      </w:r>
      <w:r>
        <w:rPr>
          <w:rFonts w:ascii="Helvetica" w:hAnsi="Helvetica"/>
          <w:color w:val="1A1A1A"/>
        </w:rPr>
        <w:t xml:space="preserve"> </w:t>
      </w:r>
      <w:r w:rsidRPr="00C12B5F">
        <w:rPr>
          <w:rFonts w:ascii="Helvetica" w:hAnsi="Helvetica"/>
          <w:color w:val="1A1A1A"/>
        </w:rPr>
        <w:t xml:space="preserve">Undocumented value is usually treated as uncertain value. Investors, buyers, and lenders do not give full credit for claims they cannot verify. </w:t>
      </w:r>
    </w:p>
    <w:p w14:paraId="2C915D69" w14:textId="77777777" w:rsidR="00C12B5F" w:rsidRDefault="00C12B5F" w:rsidP="00C12B5F">
      <w:pPr>
        <w:spacing w:after="0" w:line="300" w:lineRule="auto"/>
        <w:jc w:val="both"/>
        <w:rPr>
          <w:rFonts w:ascii="Helvetica" w:hAnsi="Helvetica"/>
          <w:color w:val="1A1A1A"/>
        </w:rPr>
      </w:pPr>
    </w:p>
    <w:p w14:paraId="43EE1866" w14:textId="1F7F2604" w:rsidR="0025713E" w:rsidRDefault="00C12B5F" w:rsidP="00C12B5F">
      <w:pPr>
        <w:spacing w:after="0" w:line="300" w:lineRule="auto"/>
        <w:jc w:val="both"/>
        <w:rPr>
          <w:rFonts w:ascii="Helvetica" w:hAnsi="Helvetica"/>
          <w:color w:val="1A1A1A"/>
        </w:rPr>
      </w:pPr>
      <w:r w:rsidRPr="00C12B5F">
        <w:rPr>
          <w:rFonts w:ascii="Helvetica" w:hAnsi="Helvetica"/>
          <w:color w:val="1A1A1A"/>
        </w:rPr>
        <w:lastRenderedPageBreak/>
        <w:t>Early tracking changes how you manage the business. If customer relationships are becoming the strongest source of value, you should track churn, repeat purchases, customer concentration, and renewal behaviour. If technology is improving margins, you should document the workflows, cost savings, and productivity gains. If brand is helping you charge a premium, you should start collecting customer feedback and market evidence.</w:t>
      </w:r>
      <w:r>
        <w:rPr>
          <w:rFonts w:ascii="Helvetica" w:hAnsi="Helvetica"/>
          <w:color w:val="1A1A1A"/>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854091" w:rsidRPr="00010CE7" w14:paraId="651A51D9" w14:textId="77777777" w:rsidTr="00527C4E">
        <w:tc>
          <w:tcPr>
            <w:tcW w:w="9350" w:type="dxa"/>
          </w:tcPr>
          <w:p w14:paraId="55923579" w14:textId="77777777" w:rsidR="00854091" w:rsidRPr="00010CE7" w:rsidRDefault="00854091" w:rsidP="00527C4E">
            <w:pPr>
              <w:spacing w:line="300" w:lineRule="auto"/>
              <w:jc w:val="both"/>
              <w:rPr>
                <w:rFonts w:ascii="Helvetica" w:hAnsi="Helvetica"/>
                <w:color w:val="1A1A1A"/>
              </w:rPr>
            </w:pPr>
          </w:p>
        </w:tc>
      </w:tr>
      <w:tr w:rsidR="00854091" w:rsidRPr="00010CE7" w14:paraId="79CF2052" w14:textId="77777777" w:rsidTr="00527C4E">
        <w:trPr>
          <w:trHeight w:val="60"/>
        </w:trPr>
        <w:tc>
          <w:tcPr>
            <w:tcW w:w="9350" w:type="dxa"/>
          </w:tcPr>
          <w:p w14:paraId="3DC2EB71" w14:textId="77777777" w:rsidR="00854091" w:rsidRPr="00010CE7" w:rsidRDefault="00854091" w:rsidP="00527C4E">
            <w:pPr>
              <w:spacing w:line="300" w:lineRule="auto"/>
              <w:jc w:val="both"/>
              <w:rPr>
                <w:rFonts w:ascii="Helvetica" w:hAnsi="Helvetica"/>
                <w:color w:val="1A1A1A"/>
              </w:rPr>
            </w:pPr>
          </w:p>
        </w:tc>
      </w:tr>
    </w:tbl>
    <w:p w14:paraId="691686D6" w14:textId="24E66B7A" w:rsidR="00350144" w:rsidRDefault="00350144" w:rsidP="00010CE7">
      <w:pPr>
        <w:pStyle w:val="Heading2"/>
        <w:spacing w:before="0" w:after="0" w:line="300" w:lineRule="auto"/>
        <w:jc w:val="both"/>
        <w:rPr>
          <w:rFonts w:ascii="Helvetica" w:hAnsi="Helvetica"/>
          <w:color w:val="1A1A1A"/>
          <w:sz w:val="20"/>
          <w:szCs w:val="20"/>
        </w:rPr>
      </w:pPr>
      <w:r w:rsidRPr="00010CE7">
        <w:rPr>
          <w:rFonts w:ascii="Helvetica" w:hAnsi="Helvetica"/>
          <w:color w:val="1A1A1A"/>
          <w:sz w:val="20"/>
          <w:szCs w:val="20"/>
        </w:rPr>
        <w:t>Section 0</w:t>
      </w:r>
      <w:r w:rsidR="000A5A0F" w:rsidRPr="00010CE7">
        <w:rPr>
          <w:rFonts w:ascii="Helvetica" w:hAnsi="Helvetica"/>
          <w:color w:val="1A1A1A"/>
          <w:sz w:val="20"/>
          <w:szCs w:val="20"/>
        </w:rPr>
        <w:t>4</w:t>
      </w:r>
    </w:p>
    <w:p w14:paraId="0B4406BB" w14:textId="77777777" w:rsidR="00010CE7" w:rsidRPr="00010CE7" w:rsidRDefault="00010CE7" w:rsidP="00010CE7">
      <w:pPr>
        <w:pStyle w:val="Heading2"/>
        <w:spacing w:before="0" w:after="0" w:line="300" w:lineRule="auto"/>
        <w:jc w:val="both"/>
        <w:rPr>
          <w:rFonts w:ascii="Helvetica" w:hAnsi="Helvetica"/>
          <w:color w:val="174C3C"/>
          <w:sz w:val="24"/>
          <w:szCs w:val="24"/>
        </w:rPr>
      </w:pPr>
    </w:p>
    <w:p w14:paraId="203FAC51" w14:textId="289B9429" w:rsidR="00350144" w:rsidRPr="00010CE7" w:rsidRDefault="00C12B5F" w:rsidP="00010CE7">
      <w:pPr>
        <w:pStyle w:val="Heading2"/>
        <w:spacing w:before="0" w:after="0" w:line="240" w:lineRule="auto"/>
        <w:jc w:val="both"/>
        <w:rPr>
          <w:rFonts w:ascii="Helvetica" w:hAnsi="Helvetica"/>
          <w:color w:val="174C3C"/>
          <w:sz w:val="40"/>
          <w:szCs w:val="40"/>
        </w:rPr>
      </w:pPr>
      <w:r w:rsidRPr="00C12B5F">
        <w:rPr>
          <w:rFonts w:ascii="Helvetica" w:hAnsi="Helvetica"/>
          <w:color w:val="174C3C"/>
          <w:sz w:val="40"/>
          <w:szCs w:val="40"/>
        </w:rPr>
        <w:t>What to Start Tracking</w:t>
      </w:r>
      <w:r>
        <w:rPr>
          <w:rFonts w:ascii="Helvetica" w:hAnsi="Helvetica"/>
          <w:color w:val="174C3C"/>
          <w:sz w:val="40"/>
          <w:szCs w:val="4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350144" w:rsidRPr="00010CE7" w14:paraId="4C158C87" w14:textId="77777777" w:rsidTr="00D25791">
        <w:tc>
          <w:tcPr>
            <w:tcW w:w="9350" w:type="dxa"/>
            <w:tcBorders>
              <w:bottom w:val="single" w:sz="6" w:space="0" w:color="E5E5E5"/>
            </w:tcBorders>
          </w:tcPr>
          <w:p w14:paraId="45C25A78" w14:textId="275C2A48" w:rsidR="00350144" w:rsidRPr="00010CE7" w:rsidRDefault="00350144" w:rsidP="00010CE7">
            <w:pPr>
              <w:spacing w:line="300" w:lineRule="auto"/>
              <w:jc w:val="both"/>
              <w:rPr>
                <w:rFonts w:ascii="Helvetica" w:hAnsi="Helvetica"/>
                <w:color w:val="1A1A1A"/>
              </w:rPr>
            </w:pPr>
          </w:p>
        </w:tc>
      </w:tr>
      <w:tr w:rsidR="00350144" w:rsidRPr="00010CE7" w14:paraId="793DF697" w14:textId="77777777" w:rsidTr="00D25791">
        <w:trPr>
          <w:trHeight w:val="60"/>
        </w:trPr>
        <w:tc>
          <w:tcPr>
            <w:tcW w:w="9350" w:type="dxa"/>
            <w:tcBorders>
              <w:top w:val="single" w:sz="6" w:space="0" w:color="E5E5E5"/>
            </w:tcBorders>
          </w:tcPr>
          <w:p w14:paraId="71BCF633" w14:textId="77777777" w:rsidR="0025713E" w:rsidRPr="00010CE7" w:rsidRDefault="0025713E" w:rsidP="00010CE7">
            <w:pPr>
              <w:spacing w:line="300" w:lineRule="auto"/>
              <w:jc w:val="both"/>
              <w:rPr>
                <w:rFonts w:ascii="Helvetica" w:hAnsi="Helvetica"/>
                <w:color w:val="1A1A1A"/>
              </w:rPr>
            </w:pPr>
          </w:p>
        </w:tc>
      </w:tr>
    </w:tbl>
    <w:p w14:paraId="7AC19BE7" w14:textId="6A07C375" w:rsidR="000A5A0F" w:rsidRDefault="00C12B5F" w:rsidP="00010CE7">
      <w:pPr>
        <w:spacing w:after="0" w:line="300" w:lineRule="auto"/>
        <w:jc w:val="both"/>
        <w:rPr>
          <w:rFonts w:ascii="Helvetica" w:hAnsi="Helvetica"/>
          <w:color w:val="1A1A1A"/>
        </w:rPr>
      </w:pPr>
      <w:r w:rsidRPr="00C12B5F">
        <w:rPr>
          <w:rFonts w:ascii="Helvetica" w:hAnsi="Helvetica"/>
          <w:color w:val="1A1A1A"/>
        </w:rPr>
        <w:t>The strongest valuation stories are built before they are needed. Start by identifying which intangible assets already exist in your business, then create a simple documentation habit around them.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0"/>
        <w:gridCol w:w="4685"/>
      </w:tblGrid>
      <w:tr w:rsidR="00C12B5F" w:rsidRPr="00010CE7" w14:paraId="201F257F" w14:textId="77777777" w:rsidTr="00C12B5F">
        <w:tc>
          <w:tcPr>
            <w:tcW w:w="9355" w:type="dxa"/>
            <w:gridSpan w:val="2"/>
          </w:tcPr>
          <w:p w14:paraId="54CB8E4E" w14:textId="77777777" w:rsidR="00C12B5F" w:rsidRPr="00010CE7" w:rsidRDefault="00C12B5F" w:rsidP="00C9796D">
            <w:pPr>
              <w:spacing w:line="300" w:lineRule="auto"/>
              <w:jc w:val="both"/>
              <w:rPr>
                <w:rFonts w:ascii="Helvetica" w:hAnsi="Helvetica"/>
                <w:color w:val="1A1A1A"/>
              </w:rPr>
            </w:pPr>
          </w:p>
        </w:tc>
      </w:tr>
      <w:tr w:rsidR="00C12B5F" w:rsidRPr="00010CE7" w14:paraId="01206772" w14:textId="77777777" w:rsidTr="00C12B5F">
        <w:trPr>
          <w:trHeight w:val="60"/>
        </w:trPr>
        <w:tc>
          <w:tcPr>
            <w:tcW w:w="9355" w:type="dxa"/>
            <w:gridSpan w:val="2"/>
          </w:tcPr>
          <w:p w14:paraId="65EE46D6" w14:textId="77777777" w:rsidR="00C12B5F" w:rsidRPr="00010CE7" w:rsidRDefault="00C12B5F" w:rsidP="00C9796D">
            <w:pPr>
              <w:spacing w:line="300" w:lineRule="auto"/>
              <w:jc w:val="both"/>
              <w:rPr>
                <w:rFonts w:ascii="Helvetica" w:hAnsi="Helvetica"/>
                <w:color w:val="1A1A1A"/>
              </w:rPr>
            </w:pPr>
          </w:p>
        </w:tc>
      </w:tr>
      <w:tr w:rsidR="00C12B5F" w:rsidRPr="00010CE7" w14:paraId="795F1312" w14:textId="77777777" w:rsidTr="00854091">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c>
          <w:tcPr>
            <w:tcW w:w="4670" w:type="dxa"/>
            <w:shd w:val="clear" w:color="auto" w:fill="174C3C"/>
            <w:vAlign w:val="center"/>
          </w:tcPr>
          <w:p w14:paraId="78CF9804" w14:textId="4A22C473" w:rsidR="00C12B5F" w:rsidRPr="00010CE7" w:rsidRDefault="00C12B5F" w:rsidP="00C9796D">
            <w:pPr>
              <w:spacing w:line="300" w:lineRule="auto"/>
              <w:rPr>
                <w:rFonts w:ascii="Helvetica" w:hAnsi="Helvetica"/>
                <w:color w:val="F7F5F2"/>
              </w:rPr>
            </w:pPr>
            <w:r w:rsidRPr="00C12B5F">
              <w:rPr>
                <w:rFonts w:ascii="Helvetica" w:hAnsi="Helvetica"/>
                <w:b/>
                <w:color w:val="F7F5F2"/>
              </w:rPr>
              <w:t>Asset Type</w:t>
            </w:r>
          </w:p>
        </w:tc>
        <w:tc>
          <w:tcPr>
            <w:tcW w:w="4685" w:type="dxa"/>
            <w:shd w:val="clear" w:color="auto" w:fill="174C3C"/>
            <w:vAlign w:val="center"/>
          </w:tcPr>
          <w:p w14:paraId="4F07CD62" w14:textId="0B28FC3D" w:rsidR="00C12B5F" w:rsidRPr="00010CE7" w:rsidRDefault="00C12B5F" w:rsidP="00C9796D">
            <w:pPr>
              <w:spacing w:line="300" w:lineRule="auto"/>
              <w:rPr>
                <w:rFonts w:ascii="Helvetica" w:hAnsi="Helvetica"/>
                <w:color w:val="F7F5F2"/>
              </w:rPr>
            </w:pPr>
            <w:r w:rsidRPr="00C12B5F">
              <w:rPr>
                <w:rFonts w:ascii="Helvetica" w:hAnsi="Helvetica"/>
                <w:b/>
                <w:color w:val="F7F5F2"/>
              </w:rPr>
              <w:t>What You Should Start Tracking</w:t>
            </w:r>
          </w:p>
        </w:tc>
      </w:tr>
      <w:tr w:rsidR="00C12B5F" w:rsidRPr="00010CE7" w14:paraId="1A411CD3" w14:textId="77777777" w:rsidTr="00854091">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c>
          <w:tcPr>
            <w:tcW w:w="4670" w:type="dxa"/>
            <w:shd w:val="clear" w:color="auto" w:fill="F7F5F2"/>
            <w:vAlign w:val="center"/>
          </w:tcPr>
          <w:p w14:paraId="4F6B9E03" w14:textId="40E2E90B" w:rsidR="00C12B5F" w:rsidRPr="00010CE7" w:rsidRDefault="00C12B5F" w:rsidP="00C9796D">
            <w:pPr>
              <w:spacing w:line="300" w:lineRule="auto"/>
              <w:rPr>
                <w:rFonts w:ascii="Helvetica" w:hAnsi="Helvetica"/>
                <w:color w:val="1A1A1A"/>
              </w:rPr>
            </w:pPr>
            <w:r>
              <w:rPr>
                <w:rFonts w:ascii="Helvetica" w:hAnsi="Helvetica"/>
                <w:b/>
                <w:color w:val="1A1A1A"/>
              </w:rPr>
              <w:t>Brand</w:t>
            </w:r>
          </w:p>
        </w:tc>
        <w:tc>
          <w:tcPr>
            <w:tcW w:w="4685" w:type="dxa"/>
            <w:shd w:val="clear" w:color="auto" w:fill="F7F5F2"/>
            <w:vAlign w:val="center"/>
          </w:tcPr>
          <w:p w14:paraId="6E99B852" w14:textId="44B660BE" w:rsidR="00C12B5F" w:rsidRPr="00010CE7" w:rsidRDefault="00C12B5F" w:rsidP="00C9796D">
            <w:pPr>
              <w:spacing w:line="300" w:lineRule="auto"/>
              <w:rPr>
                <w:rFonts w:ascii="Helvetica" w:hAnsi="Helvetica"/>
                <w:color w:val="1A1A1A"/>
              </w:rPr>
            </w:pPr>
            <w:r w:rsidRPr="00C12B5F">
              <w:rPr>
                <w:rFonts w:ascii="Helvetica" w:hAnsi="Helvetica"/>
                <w:color w:val="1A1A1A"/>
              </w:rPr>
              <w:t>Customer survey data, Net Promoter Scores, brand recognition indicators, referral sources, and evidence that you can charge a premium over competitors.</w:t>
            </w:r>
          </w:p>
        </w:tc>
      </w:tr>
      <w:tr w:rsidR="00C12B5F" w:rsidRPr="00010CE7" w14:paraId="44C9B792" w14:textId="77777777" w:rsidTr="00854091">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c>
          <w:tcPr>
            <w:tcW w:w="4670" w:type="dxa"/>
            <w:shd w:val="clear" w:color="auto" w:fill="FFFFFF" w:themeFill="background1"/>
            <w:vAlign w:val="center"/>
          </w:tcPr>
          <w:p w14:paraId="4EFB87DE" w14:textId="44FDB5AD" w:rsidR="00C12B5F" w:rsidRPr="00010CE7" w:rsidRDefault="00C12B5F" w:rsidP="00C9796D">
            <w:pPr>
              <w:spacing w:line="300" w:lineRule="auto"/>
              <w:rPr>
                <w:rFonts w:ascii="Helvetica" w:hAnsi="Helvetica"/>
                <w:color w:val="1A1A1A"/>
              </w:rPr>
            </w:pPr>
            <w:r>
              <w:rPr>
                <w:rFonts w:ascii="Helvetica" w:hAnsi="Helvetica"/>
                <w:b/>
                <w:color w:val="1A1A1A"/>
              </w:rPr>
              <w:t>Customer relationships</w:t>
            </w:r>
          </w:p>
        </w:tc>
        <w:tc>
          <w:tcPr>
            <w:tcW w:w="4685" w:type="dxa"/>
            <w:shd w:val="clear" w:color="auto" w:fill="FFFFFF" w:themeFill="background1"/>
            <w:vAlign w:val="center"/>
          </w:tcPr>
          <w:p w14:paraId="229838DA" w14:textId="045594EC" w:rsidR="00C12B5F" w:rsidRPr="00010CE7" w:rsidRDefault="00C12B5F" w:rsidP="00C9796D">
            <w:pPr>
              <w:spacing w:line="300" w:lineRule="auto"/>
              <w:rPr>
                <w:rFonts w:ascii="Helvetica" w:hAnsi="Helvetica"/>
                <w:color w:val="1A1A1A"/>
              </w:rPr>
            </w:pPr>
            <w:r w:rsidRPr="00C12B5F">
              <w:rPr>
                <w:rFonts w:ascii="Helvetica" w:hAnsi="Helvetica"/>
                <w:color w:val="1A1A1A"/>
              </w:rPr>
              <w:t>Churn rates, repeat purchase data, customer concentration, account expansion, customer tenure, and renewal behaviour.</w:t>
            </w:r>
          </w:p>
        </w:tc>
      </w:tr>
      <w:tr w:rsidR="00C12B5F" w:rsidRPr="00010CE7" w14:paraId="0C2BEF65" w14:textId="77777777" w:rsidTr="00854091">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c>
          <w:tcPr>
            <w:tcW w:w="4670" w:type="dxa"/>
            <w:shd w:val="clear" w:color="auto" w:fill="F7F5F2"/>
            <w:vAlign w:val="center"/>
          </w:tcPr>
          <w:p w14:paraId="0994349C" w14:textId="17DFC96A" w:rsidR="00C12B5F" w:rsidRPr="00010CE7" w:rsidRDefault="00C12B5F" w:rsidP="00C9796D">
            <w:pPr>
              <w:spacing w:line="300" w:lineRule="auto"/>
              <w:rPr>
                <w:rFonts w:ascii="Helvetica" w:hAnsi="Helvetica"/>
                <w:color w:val="1A1A1A"/>
              </w:rPr>
            </w:pPr>
            <w:r>
              <w:rPr>
                <w:rFonts w:ascii="Helvetica" w:hAnsi="Helvetica"/>
                <w:b/>
                <w:color w:val="1A1A1A"/>
              </w:rPr>
              <w:t>Recurring revenue</w:t>
            </w:r>
          </w:p>
        </w:tc>
        <w:tc>
          <w:tcPr>
            <w:tcW w:w="4685" w:type="dxa"/>
            <w:shd w:val="clear" w:color="auto" w:fill="F7F5F2"/>
            <w:vAlign w:val="center"/>
          </w:tcPr>
          <w:p w14:paraId="15B2EC9D" w14:textId="41BE6829" w:rsidR="00C12B5F" w:rsidRPr="00010CE7" w:rsidRDefault="00C12B5F" w:rsidP="00C9796D">
            <w:pPr>
              <w:spacing w:line="300" w:lineRule="auto"/>
              <w:rPr>
                <w:rFonts w:ascii="Helvetica" w:hAnsi="Helvetica"/>
                <w:color w:val="1A1A1A"/>
              </w:rPr>
            </w:pPr>
            <w:r w:rsidRPr="00C12B5F">
              <w:rPr>
                <w:rFonts w:ascii="Helvetica" w:hAnsi="Helvetica"/>
                <w:color w:val="1A1A1A"/>
              </w:rPr>
              <w:t>The percentage of revenue that comes from subscriptions, retainers, recurring contracts, automatic renewals, or repeat customer behaviour.</w:t>
            </w:r>
          </w:p>
        </w:tc>
      </w:tr>
      <w:tr w:rsidR="00C12B5F" w:rsidRPr="00010CE7" w14:paraId="0446A0E6" w14:textId="77777777" w:rsidTr="00854091">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c>
          <w:tcPr>
            <w:tcW w:w="4670" w:type="dxa"/>
            <w:shd w:val="clear" w:color="auto" w:fill="FFFFFF" w:themeFill="background1"/>
            <w:vAlign w:val="center"/>
          </w:tcPr>
          <w:p w14:paraId="0C8BBD8D" w14:textId="1366C87D" w:rsidR="00C12B5F" w:rsidRPr="00010CE7" w:rsidRDefault="00C12B5F" w:rsidP="00C9796D">
            <w:pPr>
              <w:spacing w:line="300" w:lineRule="auto"/>
              <w:rPr>
                <w:rFonts w:ascii="Helvetica" w:hAnsi="Helvetica"/>
                <w:color w:val="1A1A1A"/>
              </w:rPr>
            </w:pPr>
            <w:r>
              <w:rPr>
                <w:rFonts w:ascii="Helvetica" w:hAnsi="Helvetica"/>
                <w:b/>
                <w:color w:val="1A1A1A"/>
              </w:rPr>
              <w:lastRenderedPageBreak/>
              <w:t>Software and technology</w:t>
            </w:r>
          </w:p>
        </w:tc>
        <w:tc>
          <w:tcPr>
            <w:tcW w:w="4685" w:type="dxa"/>
            <w:shd w:val="clear" w:color="auto" w:fill="FFFFFF" w:themeFill="background1"/>
            <w:vAlign w:val="center"/>
          </w:tcPr>
          <w:p w14:paraId="67F3851D" w14:textId="7F05E069" w:rsidR="00C12B5F" w:rsidRPr="00010CE7" w:rsidRDefault="00C12B5F" w:rsidP="00C9796D">
            <w:pPr>
              <w:spacing w:line="300" w:lineRule="auto"/>
              <w:rPr>
                <w:rFonts w:ascii="Helvetica" w:hAnsi="Helvetica"/>
                <w:color w:val="1A1A1A"/>
              </w:rPr>
            </w:pPr>
            <w:r w:rsidRPr="00C12B5F">
              <w:rPr>
                <w:rFonts w:ascii="Helvetica" w:hAnsi="Helvetica"/>
                <w:color w:val="1A1A1A"/>
              </w:rPr>
              <w:t>Documentation of internal tools, product systems, and measurable cost or time savings compared with manual alternatives.</w:t>
            </w:r>
          </w:p>
        </w:tc>
      </w:tr>
      <w:tr w:rsidR="00C12B5F" w:rsidRPr="00010CE7" w14:paraId="5DC43C5D" w14:textId="77777777" w:rsidTr="00854091">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c>
          <w:tcPr>
            <w:tcW w:w="4670" w:type="dxa"/>
            <w:shd w:val="clear" w:color="auto" w:fill="F7F5F2"/>
            <w:vAlign w:val="center"/>
          </w:tcPr>
          <w:p w14:paraId="24975898" w14:textId="382F72A9" w:rsidR="00C12B5F" w:rsidRPr="00010CE7" w:rsidRDefault="00C12B5F" w:rsidP="00C9796D">
            <w:pPr>
              <w:spacing w:line="300" w:lineRule="auto"/>
              <w:rPr>
                <w:rFonts w:ascii="Helvetica" w:hAnsi="Helvetica"/>
                <w:b/>
                <w:color w:val="1A1A1A"/>
              </w:rPr>
            </w:pPr>
            <w:r w:rsidRPr="00C12B5F">
              <w:rPr>
                <w:rFonts w:ascii="Helvetica" w:hAnsi="Helvetica"/>
                <w:b/>
                <w:color w:val="1A1A1A"/>
              </w:rPr>
              <w:t>IP, trademarks, and know how</w:t>
            </w:r>
          </w:p>
        </w:tc>
        <w:tc>
          <w:tcPr>
            <w:tcW w:w="4685" w:type="dxa"/>
            <w:shd w:val="clear" w:color="auto" w:fill="F7F5F2"/>
            <w:vAlign w:val="center"/>
          </w:tcPr>
          <w:p w14:paraId="5D2E8C2B" w14:textId="4E92C526" w:rsidR="00C12B5F" w:rsidRPr="00010CE7" w:rsidRDefault="00C12B5F" w:rsidP="00C9796D">
            <w:pPr>
              <w:spacing w:line="300" w:lineRule="auto"/>
              <w:rPr>
                <w:rFonts w:ascii="Helvetica" w:hAnsi="Helvetica"/>
                <w:color w:val="1A1A1A"/>
              </w:rPr>
            </w:pPr>
            <w:r w:rsidRPr="00C12B5F">
              <w:rPr>
                <w:rFonts w:ascii="Helvetica" w:hAnsi="Helvetica"/>
                <w:color w:val="1A1A1A"/>
              </w:rPr>
              <w:t>Registration certificates, licence agreements, proprietary methods, technical documentation, evidence of active use, and ownership records.</w:t>
            </w:r>
          </w:p>
        </w:tc>
      </w:tr>
      <w:tr w:rsidR="00C12B5F" w:rsidRPr="00010CE7" w14:paraId="68961024" w14:textId="77777777" w:rsidTr="00854091">
        <w:tc>
          <w:tcPr>
            <w:tcW w:w="9355" w:type="dxa"/>
            <w:gridSpan w:val="2"/>
          </w:tcPr>
          <w:p w14:paraId="0C63B7FD" w14:textId="77777777" w:rsidR="00C12B5F" w:rsidRPr="00010CE7" w:rsidRDefault="00C12B5F" w:rsidP="00C9796D">
            <w:pPr>
              <w:spacing w:line="300" w:lineRule="auto"/>
              <w:jc w:val="both"/>
              <w:rPr>
                <w:rFonts w:ascii="Helvetica" w:hAnsi="Helvetica"/>
                <w:color w:val="1A1A1A"/>
              </w:rPr>
            </w:pPr>
          </w:p>
        </w:tc>
      </w:tr>
      <w:tr w:rsidR="00C12B5F" w:rsidRPr="00010CE7" w14:paraId="024A49A3" w14:textId="77777777" w:rsidTr="00854091">
        <w:trPr>
          <w:trHeight w:val="60"/>
        </w:trPr>
        <w:tc>
          <w:tcPr>
            <w:tcW w:w="9355" w:type="dxa"/>
            <w:gridSpan w:val="2"/>
          </w:tcPr>
          <w:p w14:paraId="5FF62DDC" w14:textId="77777777" w:rsidR="00C12B5F" w:rsidRPr="00010CE7" w:rsidRDefault="00C12B5F" w:rsidP="00C9796D">
            <w:pPr>
              <w:spacing w:line="300" w:lineRule="auto"/>
              <w:jc w:val="both"/>
              <w:rPr>
                <w:rFonts w:ascii="Helvetica" w:hAnsi="Helvetica"/>
                <w:color w:val="1A1A1A"/>
              </w:rPr>
            </w:pPr>
          </w:p>
        </w:tc>
      </w:tr>
    </w:tbl>
    <w:p w14:paraId="68B59FAB" w14:textId="59B11D19" w:rsidR="000A5A0F" w:rsidRDefault="00350144" w:rsidP="00010CE7">
      <w:pPr>
        <w:pStyle w:val="Heading2"/>
        <w:spacing w:before="0" w:after="0" w:line="300" w:lineRule="auto"/>
        <w:jc w:val="both"/>
        <w:rPr>
          <w:rFonts w:ascii="Helvetica" w:hAnsi="Helvetica"/>
          <w:color w:val="1A1A1A"/>
          <w:sz w:val="20"/>
          <w:szCs w:val="20"/>
        </w:rPr>
      </w:pPr>
      <w:r w:rsidRPr="00010CE7">
        <w:rPr>
          <w:rFonts w:ascii="Helvetica" w:hAnsi="Helvetica"/>
          <w:color w:val="1A1A1A"/>
          <w:sz w:val="20"/>
          <w:szCs w:val="20"/>
        </w:rPr>
        <w:t>Section 0</w:t>
      </w:r>
      <w:r w:rsidR="007D5EEB" w:rsidRPr="00010CE7">
        <w:rPr>
          <w:rFonts w:ascii="Helvetica" w:hAnsi="Helvetica"/>
          <w:color w:val="1A1A1A"/>
          <w:sz w:val="20"/>
          <w:szCs w:val="20"/>
        </w:rPr>
        <w:t>5</w:t>
      </w:r>
    </w:p>
    <w:p w14:paraId="194543C6" w14:textId="77777777" w:rsidR="00010CE7" w:rsidRPr="00010CE7" w:rsidRDefault="00010CE7" w:rsidP="00010CE7">
      <w:pPr>
        <w:pStyle w:val="Heading2"/>
        <w:spacing w:before="0" w:after="0" w:line="300" w:lineRule="auto"/>
        <w:jc w:val="both"/>
        <w:rPr>
          <w:rFonts w:ascii="Helvetica" w:hAnsi="Helvetica"/>
          <w:color w:val="174C3C"/>
          <w:sz w:val="24"/>
          <w:szCs w:val="24"/>
        </w:rPr>
      </w:pPr>
    </w:p>
    <w:p w14:paraId="4025D4C1" w14:textId="05397859" w:rsidR="00350144" w:rsidRPr="00010CE7" w:rsidRDefault="00C12B5F" w:rsidP="00010CE7">
      <w:pPr>
        <w:pStyle w:val="Heading2"/>
        <w:spacing w:before="0" w:after="0" w:line="240" w:lineRule="auto"/>
        <w:jc w:val="both"/>
        <w:rPr>
          <w:rFonts w:ascii="Helvetica" w:hAnsi="Helvetica"/>
          <w:color w:val="174C3C"/>
          <w:sz w:val="40"/>
          <w:szCs w:val="40"/>
        </w:rPr>
      </w:pPr>
      <w:r w:rsidRPr="00C12B5F">
        <w:rPr>
          <w:rFonts w:ascii="Helvetica" w:hAnsi="Helvetica"/>
          <w:color w:val="174C3C"/>
          <w:sz w:val="40"/>
          <w:szCs w:val="40"/>
        </w:rPr>
        <w:t>What to Do Next</w:t>
      </w:r>
      <w:r>
        <w:rPr>
          <w:rFonts w:ascii="Helvetica" w:hAnsi="Helvetica"/>
          <w:color w:val="174C3C"/>
          <w:sz w:val="40"/>
          <w:szCs w:val="4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4"/>
        <w:gridCol w:w="7646"/>
        <w:gridCol w:w="10"/>
      </w:tblGrid>
      <w:tr w:rsidR="00350144" w:rsidRPr="00010CE7" w14:paraId="245ED114" w14:textId="77777777" w:rsidTr="00D25791">
        <w:trPr>
          <w:gridAfter w:val="1"/>
          <w:wAfter w:w="10" w:type="dxa"/>
        </w:trPr>
        <w:tc>
          <w:tcPr>
            <w:tcW w:w="9350" w:type="dxa"/>
            <w:gridSpan w:val="2"/>
            <w:tcBorders>
              <w:bottom w:val="single" w:sz="6" w:space="0" w:color="E5E5E5"/>
            </w:tcBorders>
          </w:tcPr>
          <w:p w14:paraId="065FCD97" w14:textId="77777777" w:rsidR="00350144" w:rsidRPr="00010CE7" w:rsidRDefault="00350144" w:rsidP="00010CE7">
            <w:pPr>
              <w:spacing w:line="300" w:lineRule="auto"/>
              <w:jc w:val="both"/>
              <w:rPr>
                <w:rFonts w:ascii="Helvetica" w:hAnsi="Helvetica"/>
                <w:color w:val="1A1A1A"/>
              </w:rPr>
            </w:pPr>
          </w:p>
        </w:tc>
      </w:tr>
      <w:tr w:rsidR="00350144" w:rsidRPr="00010CE7" w14:paraId="47073425" w14:textId="77777777" w:rsidTr="00D25791">
        <w:trPr>
          <w:gridAfter w:val="1"/>
          <w:wAfter w:w="10" w:type="dxa"/>
          <w:trHeight w:val="60"/>
        </w:trPr>
        <w:tc>
          <w:tcPr>
            <w:tcW w:w="9350" w:type="dxa"/>
            <w:gridSpan w:val="2"/>
            <w:tcBorders>
              <w:top w:val="single" w:sz="6" w:space="0" w:color="E5E5E5"/>
            </w:tcBorders>
          </w:tcPr>
          <w:p w14:paraId="6487C115" w14:textId="77777777" w:rsidR="0025713E" w:rsidRPr="00010CE7" w:rsidRDefault="0025713E" w:rsidP="00010CE7">
            <w:pPr>
              <w:spacing w:line="300" w:lineRule="auto"/>
              <w:jc w:val="both"/>
              <w:rPr>
                <w:rFonts w:ascii="Helvetica" w:hAnsi="Helvetica"/>
                <w:color w:val="1A1A1A"/>
              </w:rPr>
            </w:pPr>
          </w:p>
        </w:tc>
      </w:tr>
      <w:tr w:rsidR="00436FFF" w:rsidRPr="00010CE7" w14:paraId="5B985A16" w14:textId="77777777" w:rsidTr="00387FED">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288" w:type="dxa"/>
            <w:left w:w="288" w:type="dxa"/>
            <w:bottom w:w="288" w:type="dxa"/>
            <w:right w:w="288" w:type="dxa"/>
          </w:tblCellMar>
        </w:tblPrEx>
        <w:tc>
          <w:tcPr>
            <w:tcW w:w="1704" w:type="dxa"/>
            <w:tcBorders>
              <w:top w:val="nil"/>
              <w:left w:val="nil"/>
              <w:bottom w:val="nil"/>
              <w:right w:val="nil"/>
            </w:tcBorders>
            <w:shd w:val="clear" w:color="auto" w:fill="174C3C"/>
            <w:vAlign w:val="center"/>
          </w:tcPr>
          <w:p w14:paraId="440622AE" w14:textId="77777777" w:rsidR="00436FFF" w:rsidRPr="00010CE7" w:rsidRDefault="00436FFF" w:rsidP="00010CE7">
            <w:pPr>
              <w:spacing w:line="300" w:lineRule="auto"/>
              <w:jc w:val="center"/>
              <w:rPr>
                <w:rFonts w:ascii="Helvetica" w:hAnsi="Helvetica"/>
                <w:b/>
                <w:color w:val="1A1A1A"/>
              </w:rPr>
            </w:pPr>
            <w:r w:rsidRPr="00010CE7">
              <w:rPr>
                <w:rFonts w:ascii="Helvetica" w:hAnsi="Helvetica"/>
                <w:bCs/>
                <w:color w:val="F7F5F2"/>
              </w:rPr>
              <w:t>Step 1</w:t>
            </w:r>
          </w:p>
        </w:tc>
        <w:tc>
          <w:tcPr>
            <w:tcW w:w="7656" w:type="dxa"/>
            <w:gridSpan w:val="2"/>
            <w:tcBorders>
              <w:top w:val="nil"/>
              <w:left w:val="nil"/>
              <w:bottom w:val="nil"/>
              <w:right w:val="nil"/>
            </w:tcBorders>
            <w:shd w:val="clear" w:color="auto" w:fill="F7F5F2"/>
            <w:vAlign w:val="center"/>
          </w:tcPr>
          <w:p w14:paraId="0F737691" w14:textId="55B5871F" w:rsidR="00436FFF" w:rsidRPr="00C12B5F" w:rsidRDefault="00C12B5F" w:rsidP="00010CE7">
            <w:pPr>
              <w:spacing w:line="300" w:lineRule="auto"/>
              <w:rPr>
                <w:rFonts w:ascii="Helvetica" w:hAnsi="Helvetica"/>
                <w:bCs/>
                <w:color w:val="1A1A1A"/>
              </w:rPr>
            </w:pPr>
            <w:r w:rsidRPr="00C12B5F">
              <w:rPr>
                <w:rFonts w:ascii="Helvetica" w:hAnsi="Helvetica"/>
                <w:bCs/>
                <w:color w:val="1A1A1A"/>
              </w:rPr>
              <w:t>Start by sharing this guide with your co founders or management team. Align on which intangible assets are already driving the business and which ones still need to be developed.</w:t>
            </w:r>
          </w:p>
        </w:tc>
      </w:tr>
      <w:tr w:rsidR="00436FFF" w:rsidRPr="00010CE7" w14:paraId="3F8D860B" w14:textId="77777777" w:rsidTr="00D25791">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288" w:type="dxa"/>
            <w:left w:w="288" w:type="dxa"/>
            <w:bottom w:w="288" w:type="dxa"/>
            <w:right w:w="288" w:type="dxa"/>
          </w:tblCellMar>
        </w:tblPrEx>
        <w:tc>
          <w:tcPr>
            <w:tcW w:w="1704" w:type="dxa"/>
            <w:tcBorders>
              <w:top w:val="nil"/>
              <w:left w:val="nil"/>
              <w:bottom w:val="nil"/>
              <w:right w:val="nil"/>
            </w:tcBorders>
            <w:shd w:val="clear" w:color="auto" w:fill="174C3C"/>
            <w:vAlign w:val="center"/>
          </w:tcPr>
          <w:p w14:paraId="7EC4EDC8" w14:textId="77777777" w:rsidR="00436FFF" w:rsidRPr="00010CE7" w:rsidRDefault="00436FFF" w:rsidP="00010CE7">
            <w:pPr>
              <w:spacing w:line="300" w:lineRule="auto"/>
              <w:jc w:val="center"/>
              <w:rPr>
                <w:rFonts w:ascii="Helvetica" w:hAnsi="Helvetica"/>
                <w:b/>
                <w:color w:val="1A1A1A"/>
              </w:rPr>
            </w:pPr>
            <w:r w:rsidRPr="00010CE7">
              <w:rPr>
                <w:rFonts w:ascii="Helvetica" w:hAnsi="Helvetica"/>
                <w:bCs/>
                <w:color w:val="F7F5F2"/>
              </w:rPr>
              <w:t>Step 2</w:t>
            </w:r>
          </w:p>
        </w:tc>
        <w:tc>
          <w:tcPr>
            <w:tcW w:w="7656" w:type="dxa"/>
            <w:gridSpan w:val="2"/>
            <w:tcBorders>
              <w:top w:val="nil"/>
              <w:left w:val="nil"/>
              <w:bottom w:val="nil"/>
              <w:right w:val="nil"/>
            </w:tcBorders>
            <w:shd w:val="clear" w:color="auto" w:fill="FFFFFF" w:themeFill="background1"/>
            <w:vAlign w:val="center"/>
          </w:tcPr>
          <w:p w14:paraId="193C7627" w14:textId="42F97EB8" w:rsidR="00436FFF" w:rsidRPr="00C12B5F" w:rsidRDefault="00C12B5F" w:rsidP="00010CE7">
            <w:pPr>
              <w:spacing w:line="300" w:lineRule="auto"/>
              <w:rPr>
                <w:rFonts w:ascii="Helvetica" w:hAnsi="Helvetica"/>
                <w:bCs/>
                <w:color w:val="1A1A1A"/>
              </w:rPr>
            </w:pPr>
            <w:r w:rsidRPr="00C12B5F">
              <w:rPr>
                <w:rFonts w:ascii="Helvetica" w:hAnsi="Helvetica"/>
                <w:bCs/>
                <w:color w:val="1A1A1A"/>
              </w:rPr>
              <w:t>Create a central folder for the evidence listed in Part 3. This does not need to be sophisticated. A simple structure for customer data, contracts, brand materials, technology documentation, IP records, and management notes is enough to begin.</w:t>
            </w:r>
          </w:p>
        </w:tc>
      </w:tr>
      <w:tr w:rsidR="00436FFF" w:rsidRPr="00010CE7" w14:paraId="3787CA54" w14:textId="77777777" w:rsidTr="00387FED">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288" w:type="dxa"/>
            <w:left w:w="288" w:type="dxa"/>
            <w:bottom w:w="288" w:type="dxa"/>
            <w:right w:w="288" w:type="dxa"/>
          </w:tblCellMar>
        </w:tblPrEx>
        <w:tc>
          <w:tcPr>
            <w:tcW w:w="1704" w:type="dxa"/>
            <w:tcBorders>
              <w:top w:val="nil"/>
              <w:left w:val="nil"/>
              <w:bottom w:val="nil"/>
              <w:right w:val="nil"/>
            </w:tcBorders>
            <w:shd w:val="clear" w:color="auto" w:fill="174C3C"/>
            <w:vAlign w:val="center"/>
          </w:tcPr>
          <w:p w14:paraId="335C1F9A" w14:textId="77777777" w:rsidR="00436FFF" w:rsidRPr="00010CE7" w:rsidRDefault="00436FFF" w:rsidP="00010CE7">
            <w:pPr>
              <w:spacing w:line="300" w:lineRule="auto"/>
              <w:jc w:val="center"/>
              <w:rPr>
                <w:rFonts w:ascii="Helvetica" w:hAnsi="Helvetica"/>
                <w:b/>
                <w:color w:val="1A1A1A"/>
              </w:rPr>
            </w:pPr>
            <w:r w:rsidRPr="00010CE7">
              <w:rPr>
                <w:rFonts w:ascii="Helvetica" w:hAnsi="Helvetica"/>
                <w:bCs/>
                <w:color w:val="F7F5F2"/>
              </w:rPr>
              <w:t>Step 3</w:t>
            </w:r>
          </w:p>
        </w:tc>
        <w:tc>
          <w:tcPr>
            <w:tcW w:w="7656" w:type="dxa"/>
            <w:gridSpan w:val="2"/>
            <w:tcBorders>
              <w:top w:val="nil"/>
              <w:left w:val="nil"/>
              <w:bottom w:val="nil"/>
              <w:right w:val="nil"/>
            </w:tcBorders>
            <w:shd w:val="clear" w:color="auto" w:fill="F7F5F2"/>
            <w:vAlign w:val="center"/>
          </w:tcPr>
          <w:p w14:paraId="3F72F0AC" w14:textId="21391874" w:rsidR="00436FFF" w:rsidRPr="00C12B5F" w:rsidRDefault="00C12B5F" w:rsidP="00010CE7">
            <w:pPr>
              <w:spacing w:line="300" w:lineRule="auto"/>
              <w:rPr>
                <w:rFonts w:ascii="Helvetica" w:hAnsi="Helvetica"/>
                <w:bCs/>
                <w:color w:val="1A1A1A"/>
              </w:rPr>
            </w:pPr>
            <w:r w:rsidRPr="00C12B5F">
              <w:rPr>
                <w:rFonts w:ascii="Helvetica" w:hAnsi="Helvetica"/>
                <w:bCs/>
                <w:color w:val="1A1A1A"/>
              </w:rPr>
              <w:t>Review the folder quarterly. Over time, you should be able to see which assets are becoming more measurable, which ones require investment, and which ones could eventually support a stronger valuation story.</w:t>
            </w:r>
          </w:p>
        </w:tc>
      </w:tr>
    </w:tbl>
    <w:p w14:paraId="0C1B59B4" w14:textId="77777777" w:rsidR="00031859" w:rsidRPr="00010CE7" w:rsidRDefault="00031859" w:rsidP="00010CE7">
      <w:pPr>
        <w:spacing w:after="0" w:line="300" w:lineRule="auto"/>
        <w:jc w:val="both"/>
        <w:rPr>
          <w:rFonts w:ascii="Helvetica" w:hAnsi="Helvetica"/>
          <w:color w:val="1A1A1A"/>
        </w:rPr>
      </w:pPr>
    </w:p>
    <w:sectPr w:rsidR="00031859" w:rsidRPr="00010CE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00252" w14:textId="77777777" w:rsidR="00DC5AF3" w:rsidRDefault="00DC5AF3" w:rsidP="000A5A0F">
      <w:pPr>
        <w:spacing w:after="0" w:line="240" w:lineRule="auto"/>
      </w:pPr>
      <w:r>
        <w:separator/>
      </w:r>
    </w:p>
  </w:endnote>
  <w:endnote w:type="continuationSeparator" w:id="0">
    <w:p w14:paraId="23F52544" w14:textId="77777777" w:rsidR="00DC5AF3" w:rsidRDefault="00DC5AF3" w:rsidP="000A5A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AD629" w14:textId="77777777" w:rsidR="001100F8" w:rsidRPr="001100F8" w:rsidRDefault="001100F8" w:rsidP="001100F8">
    <w:pPr>
      <w:pBdr>
        <w:top w:val="single" w:sz="4" w:space="6" w:color="CCCCCC"/>
      </w:pBdr>
      <w:tabs>
        <w:tab w:val="right" w:pos="9000"/>
      </w:tabs>
      <w:rPr>
        <w:rFonts w:ascii="Helvetica" w:hAnsi="Helvetica"/>
        <w:color w:val="1A1A1A"/>
        <w:sz w:val="32"/>
        <w:szCs w:val="32"/>
      </w:rPr>
    </w:pPr>
    <w:r w:rsidRPr="001100F8">
      <w:rPr>
        <w:rFonts w:ascii="Arial" w:eastAsia="Arial" w:hAnsi="Arial" w:cs="Arial"/>
        <w:color w:val="808080" w:themeColor="background1" w:themeShade="80"/>
        <w:sz w:val="16"/>
        <w:szCs w:val="16"/>
      </w:rPr>
      <w:t>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ED3DA" w14:textId="00C44D75" w:rsidR="001100F8" w:rsidRPr="00031859" w:rsidRDefault="001100F8" w:rsidP="001100F8">
    <w:pPr>
      <w:pBdr>
        <w:top w:val="single" w:sz="4" w:space="6" w:color="CCCCCC"/>
      </w:pBdr>
      <w:tabs>
        <w:tab w:val="right" w:pos="9000"/>
      </w:tabs>
      <w:rPr>
        <w:rFonts w:ascii="Helvetica" w:hAnsi="Helvetica"/>
        <w:color w:val="1A1A1A"/>
        <w:sz w:val="16"/>
        <w:szCs w:val="16"/>
      </w:rPr>
    </w:pPr>
    <w:r w:rsidRPr="00031859">
      <w:rPr>
        <w:rFonts w:ascii="Helvetica" w:eastAsia="Arial" w:hAnsi="Helvetica" w:cs="Arial"/>
        <w:color w:val="1A1A1A"/>
        <w:sz w:val="16"/>
        <w:szCs w:val="16"/>
      </w:rPr>
      <w:t>2</w:t>
    </w:r>
    <w:r w:rsidR="00031859" w:rsidRPr="00031859">
      <w:rPr>
        <w:rFonts w:ascii="Helvetica" w:eastAsia="Arial" w:hAnsi="Helvetica" w:cs="Arial"/>
        <w:color w:val="1A1A1A"/>
        <w:sz w:val="16"/>
        <w:szCs w:val="16"/>
      </w:rPr>
      <w:t>02</w:t>
    </w:r>
    <w:r w:rsidRPr="00031859">
      <w:rPr>
        <w:rFonts w:ascii="Helvetica" w:eastAsia="Arial" w:hAnsi="Helvetica" w:cs="Arial"/>
        <w:color w:val="1A1A1A"/>
        <w:sz w:val="16"/>
        <w:szCs w:val="16"/>
      </w:rPr>
      <w:t xml:space="preserve">6 Bain Squared | </w:t>
    </w:r>
    <w:hyperlink r:id="rId1" w:history="1">
      <w:r w:rsidRPr="00031859">
        <w:rPr>
          <w:rStyle w:val="Hyperlink"/>
          <w:rFonts w:ascii="Helvetica" w:eastAsia="Arial" w:hAnsi="Helvetica" w:cs="Arial"/>
          <w:color w:val="1A1A1A"/>
          <w:sz w:val="16"/>
          <w:szCs w:val="16"/>
        </w:rPr>
        <w:t>www.bainsquared.com</w:t>
      </w:r>
    </w:hyperlink>
    <w:r w:rsidRPr="00031859">
      <w:rPr>
        <w:rFonts w:ascii="Helvetica" w:eastAsia="Arial" w:hAnsi="Helvetica" w:cs="Arial"/>
        <w:color w:val="1A1A1A"/>
        <w:sz w:val="16"/>
        <w:szCs w:val="16"/>
      </w:rPr>
      <w:t xml:space="preserve"> </w:t>
    </w:r>
    <w:r w:rsidRPr="00031859">
      <w:rPr>
        <w:rFonts w:ascii="Helvetica" w:eastAsia="Arial" w:hAnsi="Helvetica" w:cs="Arial"/>
        <w:color w:val="1A1A1A"/>
        <w:sz w:val="16"/>
        <w:szCs w:val="16"/>
      </w:rPr>
      <w:tab/>
      <w:t xml:space="preserve">Page </w:t>
    </w:r>
    <w:r w:rsidRPr="00031859">
      <w:rPr>
        <w:rFonts w:ascii="Helvetica" w:eastAsia="Arial" w:hAnsi="Helvetica" w:cs="Arial"/>
        <w:color w:val="1A1A1A"/>
        <w:sz w:val="16"/>
        <w:szCs w:val="16"/>
      </w:rPr>
      <w:fldChar w:fldCharType="begin"/>
    </w:r>
    <w:r w:rsidRPr="00031859">
      <w:rPr>
        <w:rFonts w:ascii="Helvetica" w:eastAsia="Arial" w:hAnsi="Helvetica" w:cs="Arial"/>
        <w:color w:val="1A1A1A"/>
        <w:sz w:val="16"/>
        <w:szCs w:val="16"/>
      </w:rPr>
      <w:instrText>PAGE</w:instrText>
    </w:r>
    <w:r w:rsidRPr="00031859">
      <w:rPr>
        <w:rFonts w:ascii="Helvetica" w:eastAsia="Arial" w:hAnsi="Helvetica" w:cs="Arial"/>
        <w:color w:val="1A1A1A"/>
        <w:sz w:val="16"/>
        <w:szCs w:val="16"/>
      </w:rPr>
      <w:fldChar w:fldCharType="separate"/>
    </w:r>
    <w:r w:rsidRPr="00031859">
      <w:rPr>
        <w:rFonts w:ascii="Helvetica" w:eastAsia="Arial" w:hAnsi="Helvetica" w:cs="Arial"/>
        <w:color w:val="1A1A1A"/>
        <w:sz w:val="16"/>
        <w:szCs w:val="16"/>
      </w:rPr>
      <w:t>1</w:t>
    </w:r>
    <w:r w:rsidRPr="00031859">
      <w:rPr>
        <w:rFonts w:ascii="Helvetica" w:eastAsia="Arial" w:hAnsi="Helvetica" w:cs="Arial"/>
        <w:color w:val="1A1A1A"/>
        <w:sz w:val="16"/>
        <w:szCs w:val="16"/>
      </w:rPr>
      <w:fldChar w:fldCharType="end"/>
    </w:r>
    <w:r w:rsidRPr="00031859">
      <w:rPr>
        <w:rFonts w:ascii="Helvetica" w:eastAsia="Arial" w:hAnsi="Helvetica" w:cs="Arial"/>
        <w:color w:val="1A1A1A"/>
        <w:sz w:val="16"/>
        <w:szCs w:val="16"/>
      </w:rPr>
      <w:t xml:space="preserve"> of </w:t>
    </w:r>
    <w:r w:rsidRPr="00031859">
      <w:rPr>
        <w:rFonts w:ascii="Helvetica" w:eastAsia="Arial" w:hAnsi="Helvetica" w:cs="Arial"/>
        <w:color w:val="1A1A1A"/>
        <w:sz w:val="16"/>
        <w:szCs w:val="16"/>
      </w:rPr>
      <w:fldChar w:fldCharType="begin"/>
    </w:r>
    <w:r w:rsidRPr="00031859">
      <w:rPr>
        <w:rFonts w:ascii="Helvetica" w:eastAsia="Arial" w:hAnsi="Helvetica" w:cs="Arial"/>
        <w:color w:val="1A1A1A"/>
        <w:sz w:val="16"/>
        <w:szCs w:val="16"/>
      </w:rPr>
      <w:instrText>NUMPAGES</w:instrText>
    </w:r>
    <w:r w:rsidRPr="00031859">
      <w:rPr>
        <w:rFonts w:ascii="Helvetica" w:eastAsia="Arial" w:hAnsi="Helvetica" w:cs="Arial"/>
        <w:color w:val="1A1A1A"/>
        <w:sz w:val="16"/>
        <w:szCs w:val="16"/>
      </w:rPr>
      <w:fldChar w:fldCharType="separate"/>
    </w:r>
    <w:r w:rsidRPr="00031859">
      <w:rPr>
        <w:rFonts w:ascii="Helvetica" w:eastAsia="Arial" w:hAnsi="Helvetica" w:cs="Arial"/>
        <w:color w:val="1A1A1A"/>
        <w:sz w:val="16"/>
        <w:szCs w:val="16"/>
      </w:rPr>
      <w:t>16</w:t>
    </w:r>
    <w:r w:rsidRPr="00031859">
      <w:rPr>
        <w:rFonts w:ascii="Helvetica" w:eastAsia="Arial" w:hAnsi="Helvetica" w:cs="Arial"/>
        <w:color w:val="1A1A1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E165D" w14:textId="77777777" w:rsidR="00854091" w:rsidRDefault="008540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13BF8" w14:textId="77777777" w:rsidR="00DC5AF3" w:rsidRDefault="00DC5AF3" w:rsidP="000A5A0F">
      <w:pPr>
        <w:spacing w:after="0" w:line="240" w:lineRule="auto"/>
      </w:pPr>
      <w:r>
        <w:separator/>
      </w:r>
    </w:p>
  </w:footnote>
  <w:footnote w:type="continuationSeparator" w:id="0">
    <w:p w14:paraId="79469FD2" w14:textId="77777777" w:rsidR="00DC5AF3" w:rsidRDefault="00DC5AF3" w:rsidP="000A5A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E2B56" w14:textId="77777777" w:rsidR="000A5A0F" w:rsidRDefault="000A5A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C2B1C" w14:textId="73846BAA" w:rsidR="00031859" w:rsidRPr="00031859" w:rsidRDefault="00C12B5F" w:rsidP="00031859">
    <w:pPr>
      <w:pBdr>
        <w:bottom w:val="single" w:sz="4" w:space="6" w:color="CCCCCC"/>
      </w:pBdr>
      <w:tabs>
        <w:tab w:val="right" w:pos="9000"/>
      </w:tabs>
      <w:jc w:val="right"/>
      <w:rPr>
        <w:rFonts w:ascii="Helvetica" w:hAnsi="Helvetica"/>
        <w:color w:val="1A1A1A"/>
        <w:sz w:val="16"/>
        <w:szCs w:val="16"/>
      </w:rPr>
    </w:pPr>
    <w:r w:rsidRPr="00C12B5F">
      <w:rPr>
        <w:rFonts w:ascii="Helvetica" w:hAnsi="Helvetica"/>
        <w:color w:val="1A1A1A"/>
        <w:sz w:val="16"/>
        <w:szCs w:val="16"/>
      </w:rPr>
      <w:t xml:space="preserve">Intangibles </w:t>
    </w:r>
    <w:r w:rsidR="00031859" w:rsidRPr="00031859">
      <w:rPr>
        <w:rFonts w:ascii="Helvetica" w:hAnsi="Helvetica"/>
        <w:color w:val="1A1A1A"/>
        <w:sz w:val="16"/>
        <w:szCs w:val="16"/>
      </w:rPr>
      <w:t xml:space="preserve">Value Advisory Report: </w:t>
    </w:r>
    <w:r w:rsidRPr="00C12B5F">
      <w:rPr>
        <w:rFonts w:ascii="Helvetica" w:hAnsi="Helvetica"/>
        <w:color w:val="1A1A1A"/>
        <w:sz w:val="16"/>
        <w:szCs w:val="16"/>
      </w:rPr>
      <w:t>The Intangibles Value Starter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7283B" w14:textId="77777777" w:rsidR="000A5A0F" w:rsidRDefault="000A5A0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B5C"/>
    <w:rsid w:val="00010CE7"/>
    <w:rsid w:val="000254D9"/>
    <w:rsid w:val="00031859"/>
    <w:rsid w:val="000426D4"/>
    <w:rsid w:val="000A5A0F"/>
    <w:rsid w:val="000C2FD7"/>
    <w:rsid w:val="001100F8"/>
    <w:rsid w:val="00164E92"/>
    <w:rsid w:val="00215712"/>
    <w:rsid w:val="0025713E"/>
    <w:rsid w:val="00293358"/>
    <w:rsid w:val="002A3DAD"/>
    <w:rsid w:val="002C145D"/>
    <w:rsid w:val="00350144"/>
    <w:rsid w:val="00382DC8"/>
    <w:rsid w:val="00387FED"/>
    <w:rsid w:val="00435F90"/>
    <w:rsid w:val="00436FFF"/>
    <w:rsid w:val="00501D0A"/>
    <w:rsid w:val="00582465"/>
    <w:rsid w:val="005B3A89"/>
    <w:rsid w:val="005F4112"/>
    <w:rsid w:val="005F5D53"/>
    <w:rsid w:val="0060274C"/>
    <w:rsid w:val="006A7B5C"/>
    <w:rsid w:val="0073709B"/>
    <w:rsid w:val="007D5EEB"/>
    <w:rsid w:val="00854091"/>
    <w:rsid w:val="008B4850"/>
    <w:rsid w:val="008E2A6F"/>
    <w:rsid w:val="009429BB"/>
    <w:rsid w:val="00965E5F"/>
    <w:rsid w:val="009B22F9"/>
    <w:rsid w:val="009E58F1"/>
    <w:rsid w:val="00A1627F"/>
    <w:rsid w:val="00A93348"/>
    <w:rsid w:val="00B45EA6"/>
    <w:rsid w:val="00B8020A"/>
    <w:rsid w:val="00C12B5F"/>
    <w:rsid w:val="00D25791"/>
    <w:rsid w:val="00D74AE5"/>
    <w:rsid w:val="00DC5AF3"/>
    <w:rsid w:val="00E82BCD"/>
    <w:rsid w:val="00E84056"/>
    <w:rsid w:val="00F20E26"/>
    <w:rsid w:val="00FD495A"/>
    <w:rsid w:val="00FF57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8C0BD"/>
  <w15:chartTrackingRefBased/>
  <w15:docId w15:val="{5D278724-BBCF-9A41-9D02-B8962BCD3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B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7B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7B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7B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7B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7B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B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B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B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B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7B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7B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7B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7B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7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B5C"/>
    <w:rPr>
      <w:rFonts w:eastAsiaTheme="majorEastAsia" w:cstheme="majorBidi"/>
      <w:color w:val="272727" w:themeColor="text1" w:themeTint="D8"/>
    </w:rPr>
  </w:style>
  <w:style w:type="paragraph" w:styleId="Title">
    <w:name w:val="Title"/>
    <w:basedOn w:val="Normal"/>
    <w:next w:val="Normal"/>
    <w:link w:val="TitleChar"/>
    <w:uiPriority w:val="10"/>
    <w:qFormat/>
    <w:rsid w:val="006A7B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B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B5C"/>
    <w:pPr>
      <w:spacing w:before="160"/>
      <w:jc w:val="center"/>
    </w:pPr>
    <w:rPr>
      <w:i/>
      <w:iCs/>
      <w:color w:val="404040" w:themeColor="text1" w:themeTint="BF"/>
    </w:rPr>
  </w:style>
  <w:style w:type="character" w:customStyle="1" w:styleId="QuoteChar">
    <w:name w:val="Quote Char"/>
    <w:basedOn w:val="DefaultParagraphFont"/>
    <w:link w:val="Quote"/>
    <w:uiPriority w:val="29"/>
    <w:rsid w:val="006A7B5C"/>
    <w:rPr>
      <w:i/>
      <w:iCs/>
      <w:color w:val="404040" w:themeColor="text1" w:themeTint="BF"/>
    </w:rPr>
  </w:style>
  <w:style w:type="paragraph" w:styleId="ListParagraph">
    <w:name w:val="List Paragraph"/>
    <w:basedOn w:val="Normal"/>
    <w:uiPriority w:val="34"/>
    <w:qFormat/>
    <w:rsid w:val="006A7B5C"/>
    <w:pPr>
      <w:ind w:left="720"/>
      <w:contextualSpacing/>
    </w:pPr>
  </w:style>
  <w:style w:type="character" w:styleId="IntenseEmphasis">
    <w:name w:val="Intense Emphasis"/>
    <w:basedOn w:val="DefaultParagraphFont"/>
    <w:uiPriority w:val="21"/>
    <w:qFormat/>
    <w:rsid w:val="006A7B5C"/>
    <w:rPr>
      <w:i/>
      <w:iCs/>
      <w:color w:val="0F4761" w:themeColor="accent1" w:themeShade="BF"/>
    </w:rPr>
  </w:style>
  <w:style w:type="paragraph" w:styleId="IntenseQuote">
    <w:name w:val="Intense Quote"/>
    <w:basedOn w:val="Normal"/>
    <w:next w:val="Normal"/>
    <w:link w:val="IntenseQuoteChar"/>
    <w:uiPriority w:val="30"/>
    <w:qFormat/>
    <w:rsid w:val="006A7B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7B5C"/>
    <w:rPr>
      <w:i/>
      <w:iCs/>
      <w:color w:val="0F4761" w:themeColor="accent1" w:themeShade="BF"/>
    </w:rPr>
  </w:style>
  <w:style w:type="character" w:styleId="IntenseReference">
    <w:name w:val="Intense Reference"/>
    <w:basedOn w:val="DefaultParagraphFont"/>
    <w:uiPriority w:val="32"/>
    <w:qFormat/>
    <w:rsid w:val="006A7B5C"/>
    <w:rPr>
      <w:b/>
      <w:bCs/>
      <w:smallCaps/>
      <w:color w:val="0F4761" w:themeColor="accent1" w:themeShade="BF"/>
      <w:spacing w:val="5"/>
    </w:rPr>
  </w:style>
  <w:style w:type="table" w:styleId="TableGrid">
    <w:name w:val="Table Grid"/>
    <w:basedOn w:val="TableNormal"/>
    <w:uiPriority w:val="59"/>
    <w:rsid w:val="006A7B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A5A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A0F"/>
  </w:style>
  <w:style w:type="paragraph" w:styleId="Footer">
    <w:name w:val="footer"/>
    <w:basedOn w:val="Normal"/>
    <w:link w:val="FooterChar"/>
    <w:uiPriority w:val="99"/>
    <w:unhideWhenUsed/>
    <w:rsid w:val="000A5A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A0F"/>
  </w:style>
  <w:style w:type="character" w:styleId="Hyperlink">
    <w:name w:val="Hyperlink"/>
    <w:basedOn w:val="DefaultParagraphFont"/>
    <w:uiPriority w:val="99"/>
    <w:unhideWhenUsed/>
    <w:rsid w:val="001100F8"/>
    <w:rPr>
      <w:color w:val="467886" w:themeColor="hyperlink"/>
      <w:u w:val="single"/>
    </w:rPr>
  </w:style>
  <w:style w:type="character" w:styleId="UnresolvedMention">
    <w:name w:val="Unresolved Mention"/>
    <w:basedOn w:val="DefaultParagraphFont"/>
    <w:uiPriority w:val="99"/>
    <w:semiHidden/>
    <w:unhideWhenUsed/>
    <w:rsid w:val="001100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www.bainsquare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854</Words>
  <Characters>4872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Tan</dc:creator>
  <cp:keywords/>
  <dc:description/>
  <cp:lastModifiedBy>Nicholas Tan</cp:lastModifiedBy>
  <cp:revision>5</cp:revision>
  <cp:lastPrinted>2026-05-04T18:47:00Z</cp:lastPrinted>
  <dcterms:created xsi:type="dcterms:W3CDTF">2026-05-04T18:47:00Z</dcterms:created>
  <dcterms:modified xsi:type="dcterms:W3CDTF">2026-05-05T08:27:00Z</dcterms:modified>
</cp:coreProperties>
</file>