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5F2"/>
  <w:body>
    <w:p w14:paraId="58412447" w14:textId="03A3FB93" w:rsidR="007D5EEB" w:rsidRPr="00010CE7" w:rsidRDefault="00031859" w:rsidP="00010CE7">
      <w:pPr>
        <w:spacing w:after="0" w:line="300" w:lineRule="auto"/>
        <w:jc w:val="both"/>
        <w:rPr>
          <w:rFonts w:ascii="Helvetica" w:hAnsi="Helvetica"/>
          <w:color w:val="F7F5F2"/>
        </w:rPr>
      </w:pPr>
      <w:r w:rsidRPr="00010CE7">
        <w:rPr>
          <w:rFonts w:ascii="Helvetica" w:hAnsi="Helvetica"/>
          <w:noProof/>
          <w:color w:val="F7F5F2"/>
        </w:rPr>
        <mc:AlternateContent>
          <mc:Choice Requires="wps">
            <w:drawing>
              <wp:anchor distT="0" distB="0" distL="114300" distR="114300" simplePos="0" relativeHeight="251659264" behindDoc="1" locked="0" layoutInCell="1" allowOverlap="1" wp14:anchorId="2969FF22" wp14:editId="1DEE4D4A">
                <wp:simplePos x="0" y="0"/>
                <wp:positionH relativeFrom="column">
                  <wp:posOffset>-913130</wp:posOffset>
                </wp:positionH>
                <wp:positionV relativeFrom="paragraph">
                  <wp:posOffset>-1099185</wp:posOffset>
                </wp:positionV>
                <wp:extent cx="7772400" cy="10515600"/>
                <wp:effectExtent l="0" t="0" r="12700" b="12700"/>
                <wp:wrapNone/>
                <wp:docPr id="403793553" name="Rectangle 2"/>
                <wp:cNvGraphicFramePr/>
                <a:graphic xmlns:a="http://schemas.openxmlformats.org/drawingml/2006/main">
                  <a:graphicData uri="http://schemas.microsoft.com/office/word/2010/wordprocessingShape">
                    <wps:wsp>
                      <wps:cNvSpPr/>
                      <wps:spPr>
                        <a:xfrm>
                          <a:off x="0" y="0"/>
                          <a:ext cx="7772400" cy="10515600"/>
                        </a:xfrm>
                        <a:prstGeom prst="rect">
                          <a:avLst/>
                        </a:prstGeom>
                        <a:solidFill>
                          <a:srgbClr val="174C3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B00E9" id="Rectangle 2" o:spid="_x0000_s1026" style="position:absolute;margin-left:-71.9pt;margin-top:-86.55pt;width:612pt;height:82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" fillcolor="#174c3c" strokecolor="#030e13 [484]" strokeweight="1pt"/>
            </w:pict>
          </mc:Fallback>
        </mc:AlternateContent>
      </w:r>
      <w:r w:rsidRPr="00010CE7">
        <w:rPr>
          <w:rFonts w:ascii="Helvetica" w:hAnsi="Helvetica"/>
          <w:noProof/>
          <w:color w:val="1A1A1A"/>
        </w:rPr>
        <w:drawing>
          <wp:inline distT="0" distB="0" distL="0" distR="0" wp14:anchorId="5AA18B32" wp14:editId="0F2C7BA9">
            <wp:extent cx="2560320" cy="595493"/>
            <wp:effectExtent l="0" t="0" r="0" b="1905"/>
            <wp:docPr id="257914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4837" name="Picture 257914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0320" cy="595493"/>
                    </a:xfrm>
                    <a:prstGeom prst="rect">
                      <a:avLst/>
                    </a:prstGeom>
                  </pic:spPr>
                </pic:pic>
              </a:graphicData>
            </a:graphic>
          </wp:inline>
        </w:drawing>
      </w:r>
    </w:p>
    <w:p w14:paraId="3072E8D0" w14:textId="77777777" w:rsidR="007D5EEB" w:rsidRPr="00010CE7" w:rsidRDefault="007D5EEB" w:rsidP="00010CE7">
      <w:pPr>
        <w:spacing w:after="0" w:line="300" w:lineRule="auto"/>
        <w:jc w:val="both"/>
        <w:rPr>
          <w:rFonts w:ascii="Helvetica" w:hAnsi="Helvetica"/>
          <w:color w:val="F7F5F2"/>
        </w:rPr>
      </w:pPr>
    </w:p>
    <w:p w14:paraId="7B2730C6" w14:textId="5888B7B8" w:rsidR="007D5EEB" w:rsidRPr="00010CE7" w:rsidRDefault="007D5EEB" w:rsidP="00010CE7">
      <w:pPr>
        <w:spacing w:after="0" w:line="300" w:lineRule="auto"/>
        <w:jc w:val="both"/>
        <w:rPr>
          <w:rFonts w:ascii="Helvetica" w:hAnsi="Helvetica"/>
          <w:color w:val="F7F5F2"/>
        </w:rPr>
      </w:pPr>
    </w:p>
    <w:p w14:paraId="52E1FB70" w14:textId="77777777" w:rsidR="00010CE7" w:rsidRDefault="00010CE7" w:rsidP="00010CE7">
      <w:pPr>
        <w:spacing w:after="0" w:line="300" w:lineRule="auto"/>
        <w:jc w:val="both"/>
        <w:rPr>
          <w:rFonts w:ascii="Helvetica" w:hAnsi="Helvetica"/>
          <w:color w:val="F7F5F2"/>
        </w:rPr>
      </w:pPr>
    </w:p>
    <w:p w14:paraId="0B20C909" w14:textId="77777777" w:rsidR="00010CE7" w:rsidRDefault="00010CE7" w:rsidP="00010CE7">
      <w:pPr>
        <w:spacing w:after="0" w:line="300" w:lineRule="auto"/>
        <w:jc w:val="both"/>
        <w:rPr>
          <w:rFonts w:ascii="Helvetica" w:hAnsi="Helvetica"/>
          <w:color w:val="F7F5F2"/>
        </w:rPr>
      </w:pPr>
    </w:p>
    <w:p w14:paraId="1071C9EB" w14:textId="77777777" w:rsidR="00010CE7" w:rsidRDefault="00010CE7" w:rsidP="00010CE7">
      <w:pPr>
        <w:spacing w:after="0" w:line="300" w:lineRule="auto"/>
        <w:jc w:val="both"/>
        <w:rPr>
          <w:rFonts w:ascii="Helvetica" w:hAnsi="Helvetica"/>
          <w:color w:val="F7F5F2"/>
          <w:sz w:val="20"/>
          <w:szCs w:val="20"/>
        </w:rPr>
      </w:pPr>
    </w:p>
    <w:p w14:paraId="7CD3298F" w14:textId="77777777" w:rsidR="00010CE7" w:rsidRDefault="00010CE7" w:rsidP="00010CE7">
      <w:pPr>
        <w:spacing w:after="0" w:line="300" w:lineRule="auto"/>
        <w:jc w:val="both"/>
        <w:rPr>
          <w:rFonts w:ascii="Helvetica" w:hAnsi="Helvetica"/>
          <w:color w:val="F7F5F2"/>
          <w:sz w:val="20"/>
          <w:szCs w:val="20"/>
        </w:rPr>
      </w:pPr>
    </w:p>
    <w:p w14:paraId="15D8E42D" w14:textId="03D85966" w:rsidR="007D5EEB" w:rsidRPr="00010CE7" w:rsidRDefault="00C12B5F" w:rsidP="00010CE7">
      <w:pPr>
        <w:spacing w:after="0" w:line="300" w:lineRule="auto"/>
        <w:jc w:val="both"/>
        <w:rPr>
          <w:rFonts w:ascii="Helvetica" w:hAnsi="Helvetica"/>
          <w:color w:val="F7F5F2"/>
          <w:sz w:val="20"/>
          <w:szCs w:val="20"/>
        </w:rPr>
      </w:pPr>
      <w:r w:rsidRPr="00C12B5F">
        <w:rPr>
          <w:rFonts w:ascii="Helvetica" w:hAnsi="Helvetica"/>
          <w:color w:val="F7F5F2"/>
          <w:sz w:val="20"/>
          <w:szCs w:val="20"/>
        </w:rPr>
        <w:t xml:space="preserve">Intangibles </w:t>
      </w:r>
      <w:r w:rsidR="00436FFF" w:rsidRPr="00010CE7">
        <w:rPr>
          <w:rFonts w:ascii="Helvetica" w:hAnsi="Helvetica"/>
          <w:color w:val="F7F5F2"/>
          <w:sz w:val="20"/>
          <w:szCs w:val="20"/>
        </w:rPr>
        <w:t>Value Advisory Report</w:t>
      </w:r>
    </w:p>
    <w:p w14:paraId="36EF4958" w14:textId="20485E72" w:rsidR="007D5EEB" w:rsidRPr="00010CE7" w:rsidRDefault="007D5EEB" w:rsidP="00010CE7">
      <w:pPr>
        <w:spacing w:after="0" w:line="300" w:lineRule="auto"/>
        <w:jc w:val="both"/>
        <w:rPr>
          <w:rFonts w:ascii="Helvetica" w:hAnsi="Helvetica"/>
          <w:color w:val="F7F5F2"/>
        </w:rPr>
      </w:pPr>
    </w:p>
    <w:p w14:paraId="391E442A" w14:textId="77777777" w:rsidR="00E65D2A" w:rsidRDefault="00E65D2A" w:rsidP="00E65D2A">
      <w:pPr>
        <w:spacing w:after="0" w:line="300" w:lineRule="auto"/>
        <w:rPr>
          <w:rFonts w:ascii="Helvetica" w:hAnsi="Helvetica"/>
          <w:b/>
          <w:bCs/>
          <w:color w:val="F7F5F2"/>
          <w:sz w:val="96"/>
          <w:szCs w:val="96"/>
        </w:rPr>
      </w:pPr>
      <w:r w:rsidRPr="00E65D2A">
        <w:rPr>
          <w:rFonts w:ascii="Helvetica" w:hAnsi="Helvetica"/>
          <w:b/>
          <w:bCs/>
          <w:color w:val="F7F5F2"/>
          <w:sz w:val="96"/>
          <w:szCs w:val="96"/>
        </w:rPr>
        <w:t>The M&amp;A and Exit Valuation Guide</w:t>
      </w:r>
    </w:p>
    <w:p w14:paraId="1B24238F" w14:textId="34F50989" w:rsidR="007D5EEB" w:rsidRDefault="00DD446C" w:rsidP="00010CE7">
      <w:pPr>
        <w:spacing w:after="0" w:line="300" w:lineRule="auto"/>
        <w:jc w:val="both"/>
        <w:rPr>
          <w:rFonts w:ascii="Helvetica" w:hAnsi="Helvetica"/>
          <w:color w:val="E5E5E5"/>
        </w:rPr>
      </w:pPr>
      <w:r w:rsidRPr="00DD446C">
        <w:rPr>
          <w:rFonts w:ascii="Helvetica" w:hAnsi="Helvetica"/>
          <w:color w:val="E5E5E5"/>
        </w:rPr>
        <w:t>Prepared for founders and owners preparing for a sale or succession who need to formally evidence their hidden value before buyer due diligence begins.</w:t>
      </w:r>
    </w:p>
    <w:p w14:paraId="1C0173E0" w14:textId="77777777" w:rsidR="00DD446C" w:rsidRPr="00010CE7" w:rsidRDefault="00DD446C" w:rsidP="00010CE7">
      <w:pPr>
        <w:spacing w:after="0" w:line="300" w:lineRule="auto"/>
        <w:jc w:val="both"/>
        <w:rPr>
          <w:rFonts w:ascii="Helvetica" w:hAnsi="Helvetica"/>
          <w:color w:val="E5E5E5"/>
        </w:rPr>
      </w:pPr>
    </w:p>
    <w:p w14:paraId="24EF991F" w14:textId="77777777" w:rsidR="007D5EEB" w:rsidRPr="00010CE7" w:rsidRDefault="007D5EEB" w:rsidP="00010CE7">
      <w:pPr>
        <w:spacing w:after="0" w:line="300" w:lineRule="auto"/>
        <w:jc w:val="both"/>
        <w:rPr>
          <w:rFonts w:ascii="Helvetica" w:hAnsi="Helvetica"/>
          <w:color w:val="E5E5E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tblGrid>
      <w:tr w:rsidR="007D5EEB" w:rsidRPr="00010CE7" w14:paraId="5965C067" w14:textId="77777777" w:rsidTr="007D5EEB">
        <w:tc>
          <w:tcPr>
            <w:tcW w:w="1440" w:type="dxa"/>
            <w:tcBorders>
              <w:bottom w:val="single" w:sz="24" w:space="0" w:color="F7F5F2"/>
            </w:tcBorders>
          </w:tcPr>
          <w:p w14:paraId="4E2415D1" w14:textId="77777777" w:rsidR="007D5EEB" w:rsidRPr="00010CE7" w:rsidRDefault="007D5EEB" w:rsidP="00010CE7">
            <w:pPr>
              <w:spacing w:line="300" w:lineRule="auto"/>
              <w:jc w:val="both"/>
              <w:rPr>
                <w:rFonts w:ascii="Helvetica" w:hAnsi="Helvetica"/>
                <w:color w:val="F7F5F2"/>
              </w:rPr>
            </w:pPr>
          </w:p>
        </w:tc>
      </w:tr>
      <w:tr w:rsidR="007D5EEB" w:rsidRPr="00010CE7" w14:paraId="35C8C6CE" w14:textId="77777777" w:rsidTr="007D5EEB">
        <w:trPr>
          <w:trHeight w:val="60"/>
        </w:trPr>
        <w:tc>
          <w:tcPr>
            <w:tcW w:w="1440" w:type="dxa"/>
            <w:tcBorders>
              <w:top w:val="single" w:sz="24" w:space="0" w:color="F7F5F2"/>
            </w:tcBorders>
          </w:tcPr>
          <w:p w14:paraId="2F930237" w14:textId="77777777" w:rsidR="007D5EEB" w:rsidRPr="00010CE7" w:rsidRDefault="007D5EEB" w:rsidP="00010CE7">
            <w:pPr>
              <w:spacing w:line="300" w:lineRule="auto"/>
              <w:jc w:val="both"/>
              <w:rPr>
                <w:rFonts w:ascii="Helvetica" w:hAnsi="Helvetica"/>
                <w:color w:val="F7F5F2"/>
              </w:rPr>
            </w:pPr>
          </w:p>
        </w:tc>
      </w:tr>
    </w:tbl>
    <w:p w14:paraId="1052098C" w14:textId="77777777" w:rsidR="007D5EEB" w:rsidRPr="00010CE7" w:rsidRDefault="007D5EEB" w:rsidP="00010CE7">
      <w:pPr>
        <w:spacing w:after="0" w:line="300" w:lineRule="auto"/>
        <w:jc w:val="both"/>
        <w:rPr>
          <w:rFonts w:ascii="Helvetica" w:hAnsi="Helvetica"/>
          <w:color w:val="F7F5F2"/>
        </w:rPr>
      </w:pPr>
    </w:p>
    <w:p w14:paraId="3D095221" w14:textId="13AF9504" w:rsidR="007D5EEB" w:rsidRPr="00010CE7" w:rsidRDefault="007D5EEB" w:rsidP="00010CE7">
      <w:pPr>
        <w:spacing w:after="0" w:line="300" w:lineRule="auto"/>
        <w:jc w:val="both"/>
        <w:rPr>
          <w:rFonts w:ascii="Helvetica" w:hAnsi="Helvetica"/>
          <w:color w:val="F7F5F2"/>
          <w:sz w:val="20"/>
          <w:szCs w:val="20"/>
        </w:rPr>
      </w:pPr>
      <w:r w:rsidRPr="00010CE7">
        <w:rPr>
          <w:rFonts w:ascii="Helvetica" w:hAnsi="Helvetica"/>
          <w:color w:val="F7F5F2"/>
          <w:sz w:val="20"/>
          <w:szCs w:val="20"/>
        </w:rPr>
        <w:t>Prepared by: Bain Squared Valuation Advisory</w:t>
      </w:r>
    </w:p>
    <w:p w14:paraId="76BDB638" w14:textId="77777777" w:rsidR="00436FFF" w:rsidRPr="00010CE7" w:rsidRDefault="00436FFF" w:rsidP="00010CE7">
      <w:pPr>
        <w:spacing w:after="0" w:line="300" w:lineRule="auto"/>
        <w:jc w:val="both"/>
        <w:rPr>
          <w:rFonts w:ascii="Helvetica" w:hAnsi="Helvetica"/>
          <w:color w:val="F7F5F2"/>
        </w:rPr>
      </w:pPr>
    </w:p>
    <w:p w14:paraId="12FA37EE" w14:textId="77777777" w:rsidR="00436FFF" w:rsidRPr="00010CE7" w:rsidRDefault="00436FFF" w:rsidP="00010CE7">
      <w:pPr>
        <w:spacing w:after="0" w:line="300" w:lineRule="auto"/>
        <w:jc w:val="both"/>
        <w:rPr>
          <w:rFonts w:ascii="Helvetica" w:hAnsi="Helvetica"/>
          <w:color w:val="F7F5F2"/>
        </w:rPr>
      </w:pPr>
    </w:p>
    <w:p w14:paraId="5205B35A" w14:textId="77777777" w:rsidR="00436FFF" w:rsidRPr="00010CE7" w:rsidRDefault="00436FFF" w:rsidP="00010CE7">
      <w:pPr>
        <w:spacing w:after="0" w:line="300" w:lineRule="auto"/>
        <w:jc w:val="both"/>
        <w:rPr>
          <w:rFonts w:ascii="Helvetica" w:hAnsi="Helvetica"/>
          <w:color w:val="F7F5F2"/>
        </w:rPr>
      </w:pPr>
    </w:p>
    <w:p w14:paraId="0991B7EA" w14:textId="77777777" w:rsidR="009429BB" w:rsidRPr="00010CE7" w:rsidRDefault="009429BB" w:rsidP="00010CE7">
      <w:pPr>
        <w:spacing w:after="0" w:line="300" w:lineRule="auto"/>
        <w:jc w:val="both"/>
        <w:rPr>
          <w:rFonts w:ascii="Helvetica" w:hAnsi="Helvetica"/>
          <w:i/>
          <w:iCs/>
          <w:color w:val="F7F5F2"/>
          <w:sz w:val="20"/>
          <w:szCs w:val="20"/>
        </w:rPr>
      </w:pPr>
      <w:r w:rsidRPr="00010CE7">
        <w:rPr>
          <w:rFonts w:ascii="Helvetica" w:hAnsi="Helvetica"/>
          <w:i/>
          <w:iCs/>
          <w:color w:val="F7F5F2"/>
          <w:sz w:val="20"/>
          <w:szCs w:val="20"/>
        </w:rPr>
        <w:t>Important notice: This report is general guidance based on assessment responses. It is not a valuation report, investment advice, legal advice, tax advice, or a commitment to support fundraising. Bain Squared does not guarantee funding, investor interest, valuation uplift, or transaction completion. Formal advice requires a separate engagement and review of source documentation.</w:t>
      </w:r>
    </w:p>
    <w:p w14:paraId="4B06B15A" w14:textId="77777777" w:rsidR="00C12B5F" w:rsidRDefault="00C12B5F">
      <w:pPr>
        <w:rPr>
          <w:rFonts w:ascii="Helvetica" w:hAnsi="Helvetica"/>
          <w:color w:val="1A1A1A"/>
          <w:sz w:val="20"/>
          <w:szCs w:val="20"/>
        </w:rPr>
      </w:pPr>
      <w:r>
        <w:rPr>
          <w:rFonts w:ascii="Helvetica" w:hAnsi="Helvetica"/>
          <w:color w:val="1A1A1A"/>
          <w:sz w:val="20"/>
          <w:szCs w:val="20"/>
        </w:rPr>
        <w:br w:type="page"/>
      </w:r>
    </w:p>
    <w:p w14:paraId="4178E664" w14:textId="77777777" w:rsidR="00DD446C" w:rsidRPr="00010CE7" w:rsidRDefault="00DD446C" w:rsidP="00DD446C">
      <w:pPr>
        <w:spacing w:after="0" w:line="240" w:lineRule="auto"/>
        <w:jc w:val="both"/>
        <w:rPr>
          <w:rFonts w:ascii="Helvetica" w:hAnsi="Helvetica"/>
          <w:color w:val="174C3C"/>
          <w:sz w:val="40"/>
          <w:szCs w:val="40"/>
        </w:rPr>
      </w:pPr>
      <w:r w:rsidRPr="000025CE">
        <w:rPr>
          <w:rFonts w:ascii="Helvetica" w:hAnsi="Helvetica"/>
          <w:color w:val="174C3C"/>
          <w:sz w:val="40"/>
          <w:szCs w:val="40"/>
        </w:rPr>
        <w:lastRenderedPageBreak/>
        <w:t>Your Assessment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D446C" w:rsidRPr="00010CE7" w14:paraId="5932FCDA" w14:textId="77777777" w:rsidTr="00527C4E">
        <w:tc>
          <w:tcPr>
            <w:tcW w:w="9350" w:type="dxa"/>
            <w:tcBorders>
              <w:bottom w:val="single" w:sz="6" w:space="0" w:color="E5E5E5"/>
            </w:tcBorders>
          </w:tcPr>
          <w:p w14:paraId="562B60F2" w14:textId="77777777" w:rsidR="00DD446C" w:rsidRPr="00010CE7" w:rsidRDefault="00DD446C" w:rsidP="00527C4E">
            <w:pPr>
              <w:spacing w:line="300" w:lineRule="auto"/>
              <w:jc w:val="both"/>
              <w:rPr>
                <w:rFonts w:ascii="Helvetica" w:hAnsi="Helvetica"/>
                <w:color w:val="1A1A1A"/>
              </w:rPr>
            </w:pPr>
          </w:p>
        </w:tc>
      </w:tr>
      <w:tr w:rsidR="00DD446C" w:rsidRPr="00010CE7" w14:paraId="70E74FB8" w14:textId="77777777" w:rsidTr="00527C4E">
        <w:trPr>
          <w:trHeight w:val="60"/>
        </w:trPr>
        <w:tc>
          <w:tcPr>
            <w:tcW w:w="9350" w:type="dxa"/>
            <w:tcBorders>
              <w:top w:val="single" w:sz="6" w:space="0" w:color="E5E5E5"/>
            </w:tcBorders>
          </w:tcPr>
          <w:p w14:paraId="141B2857" w14:textId="77777777" w:rsidR="00DD446C" w:rsidRPr="00010CE7" w:rsidRDefault="00DD446C" w:rsidP="00527C4E">
            <w:pPr>
              <w:spacing w:line="300" w:lineRule="auto"/>
              <w:jc w:val="both"/>
              <w:rPr>
                <w:rFonts w:ascii="Helvetica" w:hAnsi="Helvetica"/>
                <w:color w:val="1A1A1A"/>
              </w:rPr>
            </w:pPr>
          </w:p>
        </w:tc>
      </w:tr>
    </w:tbl>
    <w:p w14:paraId="74EA35EF" w14:textId="509258F6" w:rsidR="00DD446C" w:rsidRDefault="00DD446C" w:rsidP="00DD446C">
      <w:pPr>
        <w:spacing w:after="0" w:line="300" w:lineRule="auto"/>
        <w:jc w:val="both"/>
        <w:rPr>
          <w:rFonts w:ascii="Helvetica" w:hAnsi="Helvetica"/>
          <w:color w:val="1A1A1A"/>
        </w:rPr>
      </w:pPr>
      <w:r w:rsidRPr="00DD446C">
        <w:rPr>
          <w:rFonts w:ascii="Helvetica" w:hAnsi="Helvetica"/>
          <w:color w:val="1A1A1A"/>
        </w:rPr>
        <w:t>Based on your responses, you are preparing for a sale, exit, or succession event. Buyers are financially incentivized to find reasons to discount your price. To defend your valuation, you must formally document your brand, contracts, IP, and systems before due diligence begins. This guide explains how to prepare your evidence.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D446C" w:rsidRPr="00010CE7" w14:paraId="794D79E0" w14:textId="77777777" w:rsidTr="00527C4E">
        <w:tc>
          <w:tcPr>
            <w:tcW w:w="9350" w:type="dxa"/>
          </w:tcPr>
          <w:p w14:paraId="582407D6" w14:textId="77777777" w:rsidR="00DD446C" w:rsidRPr="00010CE7" w:rsidRDefault="00DD446C" w:rsidP="00527C4E">
            <w:pPr>
              <w:spacing w:line="300" w:lineRule="auto"/>
              <w:jc w:val="both"/>
              <w:rPr>
                <w:rFonts w:ascii="Helvetica" w:hAnsi="Helvetica"/>
                <w:color w:val="1A1A1A"/>
              </w:rPr>
            </w:pPr>
          </w:p>
        </w:tc>
      </w:tr>
      <w:tr w:rsidR="00DD446C" w:rsidRPr="00010CE7" w14:paraId="1A77DC0E" w14:textId="77777777" w:rsidTr="00527C4E">
        <w:trPr>
          <w:trHeight w:val="60"/>
        </w:trPr>
        <w:tc>
          <w:tcPr>
            <w:tcW w:w="9350" w:type="dxa"/>
          </w:tcPr>
          <w:p w14:paraId="2C497E1D" w14:textId="77777777" w:rsidR="00DD446C" w:rsidRPr="00010CE7" w:rsidRDefault="00DD446C" w:rsidP="00527C4E">
            <w:pPr>
              <w:spacing w:line="300" w:lineRule="auto"/>
              <w:jc w:val="both"/>
              <w:rPr>
                <w:rFonts w:ascii="Helvetica" w:hAnsi="Helvetica"/>
                <w:color w:val="1A1A1A"/>
              </w:rPr>
            </w:pPr>
          </w:p>
        </w:tc>
      </w:tr>
    </w:tbl>
    <w:p w14:paraId="0608B6E6" w14:textId="63122AF4" w:rsidR="006A7B5C" w:rsidRPr="00010CE7" w:rsidRDefault="006A7B5C" w:rsidP="00010CE7">
      <w:pPr>
        <w:spacing w:after="0" w:line="300" w:lineRule="auto"/>
        <w:jc w:val="both"/>
        <w:rPr>
          <w:rFonts w:ascii="Helvetica" w:hAnsi="Helvetica"/>
          <w:color w:val="1A1A1A"/>
          <w:sz w:val="20"/>
          <w:szCs w:val="20"/>
        </w:rPr>
      </w:pPr>
      <w:r w:rsidRPr="00010CE7">
        <w:rPr>
          <w:rFonts w:ascii="Helvetica" w:hAnsi="Helvetica"/>
          <w:color w:val="1A1A1A"/>
          <w:sz w:val="20"/>
          <w:szCs w:val="20"/>
        </w:rPr>
        <w:t>Section 01</w:t>
      </w:r>
    </w:p>
    <w:p w14:paraId="01D4D23B" w14:textId="77777777" w:rsidR="00010CE7" w:rsidRPr="00010CE7" w:rsidRDefault="00010CE7" w:rsidP="00010CE7">
      <w:pPr>
        <w:spacing w:after="0" w:line="300" w:lineRule="auto"/>
        <w:jc w:val="both"/>
        <w:rPr>
          <w:rFonts w:ascii="Helvetica" w:hAnsi="Helvetica"/>
          <w:color w:val="1A1A1A"/>
        </w:rPr>
      </w:pPr>
    </w:p>
    <w:p w14:paraId="1880C4A8" w14:textId="07117A1E" w:rsidR="00FF57BA" w:rsidRPr="00010CE7" w:rsidRDefault="00E65D2A" w:rsidP="00010CE7">
      <w:pPr>
        <w:spacing w:after="0" w:line="240" w:lineRule="auto"/>
        <w:jc w:val="both"/>
        <w:rPr>
          <w:rFonts w:ascii="Helvetica" w:hAnsi="Helvetica"/>
          <w:color w:val="174C3C"/>
          <w:sz w:val="40"/>
          <w:szCs w:val="40"/>
        </w:rPr>
      </w:pPr>
      <w:r w:rsidRPr="00E65D2A">
        <w:rPr>
          <w:rFonts w:ascii="Helvetica" w:hAnsi="Helvetica"/>
          <w:color w:val="174C3C"/>
          <w:sz w:val="40"/>
          <w:szCs w:val="40"/>
        </w:rPr>
        <w:t>Do not let buyers define the value of what you built.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A7B5C" w:rsidRPr="00010CE7" w14:paraId="699247C5" w14:textId="77777777" w:rsidTr="00D25791">
        <w:tc>
          <w:tcPr>
            <w:tcW w:w="9350" w:type="dxa"/>
            <w:tcBorders>
              <w:bottom w:val="single" w:sz="6" w:space="0" w:color="E5E5E5"/>
            </w:tcBorders>
          </w:tcPr>
          <w:p w14:paraId="2FDA6CF2" w14:textId="77777777" w:rsidR="006A7B5C" w:rsidRPr="00010CE7" w:rsidRDefault="006A7B5C" w:rsidP="00010CE7">
            <w:pPr>
              <w:spacing w:line="300" w:lineRule="auto"/>
              <w:jc w:val="both"/>
              <w:rPr>
                <w:rFonts w:ascii="Helvetica" w:hAnsi="Helvetica"/>
                <w:color w:val="1A1A1A"/>
              </w:rPr>
            </w:pPr>
          </w:p>
        </w:tc>
      </w:tr>
      <w:tr w:rsidR="006A7B5C" w:rsidRPr="00010CE7" w14:paraId="4B3C5D20" w14:textId="77777777" w:rsidTr="00D25791">
        <w:trPr>
          <w:trHeight w:val="60"/>
        </w:trPr>
        <w:tc>
          <w:tcPr>
            <w:tcW w:w="9350" w:type="dxa"/>
            <w:tcBorders>
              <w:top w:val="single" w:sz="6" w:space="0" w:color="E5E5E5"/>
            </w:tcBorders>
          </w:tcPr>
          <w:p w14:paraId="34375ECB" w14:textId="77777777" w:rsidR="0025713E" w:rsidRPr="00010CE7" w:rsidRDefault="0025713E" w:rsidP="00010CE7">
            <w:pPr>
              <w:spacing w:line="300" w:lineRule="auto"/>
              <w:jc w:val="both"/>
              <w:rPr>
                <w:rFonts w:ascii="Helvetica" w:hAnsi="Helvetica"/>
                <w:color w:val="1A1A1A"/>
              </w:rPr>
            </w:pPr>
          </w:p>
        </w:tc>
      </w:tr>
    </w:tbl>
    <w:p w14:paraId="2113A754" w14:textId="77777777" w:rsidR="00E65D2A" w:rsidRDefault="00E65D2A" w:rsidP="00E65D2A">
      <w:pPr>
        <w:spacing w:after="0" w:line="300" w:lineRule="auto"/>
        <w:jc w:val="both"/>
        <w:rPr>
          <w:rFonts w:ascii="Helvetica" w:hAnsi="Helvetica"/>
          <w:color w:val="1A1A1A"/>
        </w:rPr>
      </w:pPr>
      <w:r w:rsidRPr="00E65D2A">
        <w:rPr>
          <w:rFonts w:ascii="Helvetica" w:hAnsi="Helvetica"/>
          <w:color w:val="1A1A1A"/>
        </w:rPr>
        <w:t>When you prepare to sell a business, bring in a strategic investor, or plan for succession, you are entering a negotiation where the other side is trained to test every claim you make about value. That is not bad faith. It is how disciplined buyers behave.</w:t>
      </w:r>
    </w:p>
    <w:p w14:paraId="0D9B1024" w14:textId="77777777" w:rsidR="00E65D2A" w:rsidRPr="00E65D2A" w:rsidRDefault="00E65D2A" w:rsidP="00E65D2A">
      <w:pPr>
        <w:spacing w:after="0" w:line="300" w:lineRule="auto"/>
        <w:jc w:val="both"/>
        <w:rPr>
          <w:rFonts w:ascii="Helvetica" w:hAnsi="Helvetica"/>
          <w:color w:val="1A1A1A"/>
        </w:rPr>
      </w:pPr>
    </w:p>
    <w:p w14:paraId="0A06FF2F" w14:textId="77777777" w:rsidR="00E65D2A" w:rsidRDefault="00E65D2A" w:rsidP="00E65D2A">
      <w:pPr>
        <w:spacing w:after="0" w:line="300" w:lineRule="auto"/>
        <w:jc w:val="both"/>
        <w:rPr>
          <w:rFonts w:ascii="Helvetica" w:hAnsi="Helvetica"/>
          <w:color w:val="1A1A1A"/>
        </w:rPr>
      </w:pPr>
      <w:r w:rsidRPr="00E65D2A">
        <w:rPr>
          <w:rFonts w:ascii="Helvetica" w:hAnsi="Helvetica"/>
          <w:color w:val="1A1A1A"/>
        </w:rPr>
        <w:t>Most founders and owners know their revenue, EBITDA, gross margin, and customer pipeline. What they often cannot prove is the value of the assets that make those numbers repeatable. Brand preference, customer relationships, proprietary workflows, software, data, contracts, and technical know how may be doing a large part of the commercial work, but buyers will not pay for them simply because they are mentioned in a management presentation.</w:t>
      </w:r>
    </w:p>
    <w:p w14:paraId="3AAED76E" w14:textId="77777777" w:rsidR="00E65D2A" w:rsidRPr="00E65D2A" w:rsidRDefault="00E65D2A" w:rsidP="00E65D2A">
      <w:pPr>
        <w:spacing w:after="0" w:line="300" w:lineRule="auto"/>
        <w:jc w:val="both"/>
        <w:rPr>
          <w:rFonts w:ascii="Helvetica" w:hAnsi="Helvetica"/>
          <w:color w:val="1A1A1A"/>
        </w:rPr>
      </w:pPr>
    </w:p>
    <w:p w14:paraId="3E5A9C85" w14:textId="4978745B" w:rsidR="00350144" w:rsidRPr="00010CE7" w:rsidRDefault="00E65D2A" w:rsidP="00E65D2A">
      <w:pPr>
        <w:spacing w:after="0" w:line="300" w:lineRule="auto"/>
        <w:jc w:val="both"/>
        <w:rPr>
          <w:rFonts w:ascii="Helvetica" w:hAnsi="Helvetica"/>
          <w:color w:val="1A1A1A"/>
        </w:rPr>
      </w:pPr>
      <w:r w:rsidRPr="00E65D2A">
        <w:rPr>
          <w:rFonts w:ascii="Helvetica" w:hAnsi="Helvetica"/>
          <w:color w:val="1A1A1A"/>
        </w:rPr>
        <w:t>This guide explains how to document the hidden value in your business before due diligence begins, so your valuation story is supported by evidence rather than negotiation pressure alone.</w:t>
      </w:r>
    </w:p>
    <w:p w14:paraId="4A161C57" w14:textId="77777777" w:rsidR="00DD446C" w:rsidRDefault="00DD446C">
      <w:pPr>
        <w:rPr>
          <w:rFonts w:ascii="Helvetica" w:eastAsiaTheme="majorEastAsia" w:hAnsi="Helvetica" w:cstheme="majorBidi"/>
          <w:color w:val="1A1A1A"/>
          <w:sz w:val="20"/>
          <w:szCs w:val="20"/>
        </w:rPr>
      </w:pPr>
      <w:r>
        <w:rPr>
          <w:rFonts w:ascii="Helvetica" w:hAnsi="Helvetica"/>
          <w:color w:val="1A1A1A"/>
          <w:sz w:val="20"/>
          <w:szCs w:val="20"/>
        </w:rPr>
        <w:br w:type="page"/>
      </w:r>
    </w:p>
    <w:p w14:paraId="56E0508A" w14:textId="777B23B7" w:rsidR="00010CE7" w:rsidRPr="00010CE7"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10CE7" w:rsidRPr="00010CE7">
        <w:rPr>
          <w:rFonts w:ascii="Helvetica" w:hAnsi="Helvetica"/>
          <w:color w:val="1A1A1A"/>
          <w:sz w:val="20"/>
          <w:szCs w:val="20"/>
        </w:rPr>
        <w:t>2</w:t>
      </w:r>
    </w:p>
    <w:p w14:paraId="0222D5A0" w14:textId="73BE046D" w:rsidR="00350144" w:rsidRPr="00010CE7" w:rsidRDefault="00350144" w:rsidP="00010CE7">
      <w:pPr>
        <w:pStyle w:val="Heading2"/>
        <w:spacing w:before="0" w:after="0" w:line="300" w:lineRule="auto"/>
        <w:jc w:val="both"/>
        <w:rPr>
          <w:rFonts w:ascii="Helvetica" w:hAnsi="Helvetica"/>
          <w:color w:val="1A1A1A"/>
          <w:sz w:val="24"/>
          <w:szCs w:val="24"/>
        </w:rPr>
      </w:pPr>
    </w:p>
    <w:p w14:paraId="4A12ACF7" w14:textId="12248077" w:rsidR="00965E5F" w:rsidRPr="00010CE7" w:rsidRDefault="00E65D2A" w:rsidP="00010CE7">
      <w:pPr>
        <w:pStyle w:val="Heading2"/>
        <w:spacing w:before="0" w:after="0" w:line="240" w:lineRule="auto"/>
        <w:jc w:val="both"/>
        <w:rPr>
          <w:rFonts w:ascii="Helvetica" w:hAnsi="Helvetica"/>
          <w:color w:val="174C3C"/>
          <w:sz w:val="40"/>
          <w:szCs w:val="40"/>
        </w:rPr>
      </w:pPr>
      <w:r w:rsidRPr="00E65D2A">
        <w:rPr>
          <w:rFonts w:ascii="Helvetica" w:hAnsi="Helvetica"/>
          <w:color w:val="174C3C"/>
          <w:sz w:val="40"/>
          <w:szCs w:val="40"/>
        </w:rPr>
        <w:t>The problem with a single multiple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5E5F" w:rsidRPr="00010CE7" w14:paraId="2AAB64EA" w14:textId="77777777" w:rsidTr="00D25791">
        <w:tc>
          <w:tcPr>
            <w:tcW w:w="9350" w:type="dxa"/>
            <w:tcBorders>
              <w:bottom w:val="single" w:sz="6" w:space="0" w:color="E5E5E5"/>
            </w:tcBorders>
          </w:tcPr>
          <w:p w14:paraId="35C39156" w14:textId="77777777" w:rsidR="00965E5F" w:rsidRPr="00010CE7" w:rsidRDefault="00965E5F" w:rsidP="00010CE7">
            <w:pPr>
              <w:spacing w:line="300" w:lineRule="auto"/>
              <w:jc w:val="both"/>
              <w:rPr>
                <w:rFonts w:ascii="Helvetica" w:hAnsi="Helvetica"/>
                <w:color w:val="1A1A1A"/>
              </w:rPr>
            </w:pPr>
          </w:p>
        </w:tc>
      </w:tr>
      <w:tr w:rsidR="00965E5F" w:rsidRPr="00010CE7" w14:paraId="396CCDE8" w14:textId="77777777" w:rsidTr="00D25791">
        <w:trPr>
          <w:trHeight w:val="60"/>
        </w:trPr>
        <w:tc>
          <w:tcPr>
            <w:tcW w:w="9350" w:type="dxa"/>
            <w:tcBorders>
              <w:top w:val="single" w:sz="6" w:space="0" w:color="E5E5E5"/>
            </w:tcBorders>
          </w:tcPr>
          <w:p w14:paraId="0C4B223A" w14:textId="77777777" w:rsidR="0025713E" w:rsidRPr="00010CE7" w:rsidRDefault="0025713E" w:rsidP="00010CE7">
            <w:pPr>
              <w:spacing w:line="300" w:lineRule="auto"/>
              <w:jc w:val="both"/>
              <w:rPr>
                <w:rFonts w:ascii="Helvetica" w:hAnsi="Helvetica"/>
                <w:color w:val="1A1A1A"/>
              </w:rPr>
            </w:pPr>
          </w:p>
        </w:tc>
      </w:tr>
    </w:tbl>
    <w:p w14:paraId="502BB7FE" w14:textId="77777777" w:rsidR="00E65D2A" w:rsidRDefault="00E65D2A" w:rsidP="00E65D2A">
      <w:pPr>
        <w:spacing w:after="0" w:line="300" w:lineRule="auto"/>
        <w:jc w:val="both"/>
        <w:rPr>
          <w:rFonts w:ascii="Helvetica" w:hAnsi="Helvetica"/>
          <w:color w:val="1A1A1A"/>
        </w:rPr>
      </w:pPr>
      <w:r w:rsidRPr="00E65D2A">
        <w:rPr>
          <w:rFonts w:ascii="Helvetica" w:hAnsi="Helvetica"/>
          <w:color w:val="1A1A1A"/>
        </w:rPr>
        <w:t>When a founder says the business is worth 5x EBITDA, they are using a financial multiple. That multiple is useful. It anchors the discussion in market practice, comparable transactions, growth expectations, and risk appetite. But it does not tell the full story of why one business deserves a premium and another does not.</w:t>
      </w:r>
    </w:p>
    <w:p w14:paraId="4DF647DE" w14:textId="77777777" w:rsidR="00E65D2A" w:rsidRPr="00E65D2A" w:rsidRDefault="00E65D2A" w:rsidP="00E65D2A">
      <w:pPr>
        <w:spacing w:after="0" w:line="300" w:lineRule="auto"/>
        <w:jc w:val="both"/>
        <w:rPr>
          <w:rFonts w:ascii="Helvetica" w:hAnsi="Helvetica"/>
          <w:color w:val="1A1A1A"/>
        </w:rPr>
      </w:pPr>
    </w:p>
    <w:p w14:paraId="383E76B9" w14:textId="77777777" w:rsidR="00E65D2A" w:rsidRDefault="00E65D2A" w:rsidP="00E65D2A">
      <w:pPr>
        <w:spacing w:after="0" w:line="300" w:lineRule="auto"/>
        <w:jc w:val="both"/>
        <w:rPr>
          <w:rFonts w:ascii="Helvetica" w:hAnsi="Helvetica"/>
          <w:color w:val="1A1A1A"/>
        </w:rPr>
      </w:pPr>
      <w:r w:rsidRPr="00E65D2A">
        <w:rPr>
          <w:rFonts w:ascii="Helvetica" w:hAnsi="Helvetica"/>
          <w:color w:val="1A1A1A"/>
        </w:rPr>
        <w:t>A single multiple usually captures what shows up in the income statement. It reflects profit, growth, margin profile, and market comparables. It does not automatically capture the brand that allows you to charge more than competitors, the customer relationships that reduce churn, the long term contracts that make revenue more predictable, or the proprietary systems that lower cost to serve.</w:t>
      </w:r>
    </w:p>
    <w:p w14:paraId="532628B7" w14:textId="77777777" w:rsidR="00E65D2A" w:rsidRPr="00E65D2A" w:rsidRDefault="00E65D2A" w:rsidP="00E65D2A">
      <w:pPr>
        <w:spacing w:after="0" w:line="300" w:lineRule="auto"/>
        <w:jc w:val="both"/>
        <w:rPr>
          <w:rFonts w:ascii="Helvetica" w:hAnsi="Helvetica"/>
          <w:color w:val="1A1A1A"/>
        </w:rPr>
      </w:pPr>
    </w:p>
    <w:p w14:paraId="4F5D5CD1" w14:textId="77777777" w:rsidR="00E65D2A" w:rsidRDefault="00E65D2A" w:rsidP="00E65D2A">
      <w:pPr>
        <w:spacing w:after="0" w:line="300" w:lineRule="auto"/>
        <w:jc w:val="both"/>
        <w:rPr>
          <w:rFonts w:ascii="Helvetica" w:hAnsi="Helvetica"/>
          <w:color w:val="1A1A1A"/>
        </w:rPr>
      </w:pPr>
      <w:r w:rsidRPr="00E65D2A">
        <w:rPr>
          <w:rFonts w:ascii="Helvetica" w:hAnsi="Helvetica"/>
          <w:color w:val="1A1A1A"/>
        </w:rPr>
        <w:t>These are intangible assets. They are not abstract. They are the reasons revenue is defensible, margins are repeatable, and customers stay. In an exit process, the issue is not whether these assets exist. The issue is whether they can be identified, evidenced, and valued in a way that survives buyer scrutiny.</w:t>
      </w:r>
    </w:p>
    <w:p w14:paraId="3E657F6E" w14:textId="77777777" w:rsidR="00E65D2A" w:rsidRPr="00E65D2A" w:rsidRDefault="00E65D2A" w:rsidP="00E65D2A">
      <w:pPr>
        <w:spacing w:after="0" w:line="300" w:lineRule="auto"/>
        <w:jc w:val="both"/>
        <w:rPr>
          <w:rFonts w:ascii="Helvetica" w:hAnsi="Helvetica"/>
          <w:color w:val="1A1A1A"/>
        </w:rPr>
      </w:pPr>
    </w:p>
    <w:p w14:paraId="2713EA97" w14:textId="175A1C2D" w:rsidR="000A5A0F" w:rsidRDefault="00E65D2A" w:rsidP="00E65D2A">
      <w:pPr>
        <w:spacing w:after="0" w:line="300" w:lineRule="auto"/>
        <w:jc w:val="both"/>
        <w:rPr>
          <w:rFonts w:ascii="Helvetica" w:hAnsi="Helvetica"/>
          <w:color w:val="1A1A1A"/>
        </w:rPr>
      </w:pPr>
      <w:r w:rsidRPr="00E65D2A">
        <w:rPr>
          <w:rFonts w:ascii="Helvetica" w:hAnsi="Helvetica"/>
          <w:color w:val="1A1A1A"/>
        </w:rPr>
        <w:t>The approach Bain Squared uses is a sum of parts valuation. The financial valuation captures the operating business. The intangible asset valuation captures the additional layer of value that sits behind the numbers. A business valued at 3x EBITDA on financial performance alone may support a stronger valuation when brand, customer relationships, technology, IP, and contract strength are separately documented and valued using recognised methodologies.</w:t>
      </w:r>
    </w:p>
    <w:tbl>
      <w:tblPr>
        <w:tblStyle w:val="TableGrid"/>
        <w:tblW w:w="9355" w:type="dxa"/>
        <w:tblLook w:val="04A0" w:firstRow="1" w:lastRow="0" w:firstColumn="1" w:lastColumn="0" w:noHBand="0" w:noVBand="1"/>
      </w:tblPr>
      <w:tblGrid>
        <w:gridCol w:w="9355"/>
      </w:tblGrid>
      <w:tr w:rsidR="00010CE7" w:rsidRPr="00010CE7" w14:paraId="7FF72B16" w14:textId="77777777" w:rsidTr="00010CE7">
        <w:tc>
          <w:tcPr>
            <w:tcW w:w="9355" w:type="dxa"/>
            <w:tcBorders>
              <w:top w:val="nil"/>
              <w:left w:val="nil"/>
              <w:bottom w:val="nil"/>
              <w:right w:val="nil"/>
            </w:tcBorders>
          </w:tcPr>
          <w:p w14:paraId="2BCA038E" w14:textId="77777777" w:rsidR="00010CE7" w:rsidRPr="00010CE7" w:rsidRDefault="00010CE7" w:rsidP="00010CE7">
            <w:pPr>
              <w:spacing w:line="300" w:lineRule="auto"/>
              <w:jc w:val="both"/>
              <w:rPr>
                <w:rFonts w:ascii="Helvetica" w:hAnsi="Helvetica"/>
                <w:color w:val="1A1A1A"/>
              </w:rPr>
            </w:pPr>
          </w:p>
        </w:tc>
      </w:tr>
      <w:tr w:rsidR="00010CE7" w:rsidRPr="00010CE7" w14:paraId="60F5B2EB" w14:textId="77777777" w:rsidTr="00010CE7">
        <w:trPr>
          <w:trHeight w:val="60"/>
        </w:trPr>
        <w:tc>
          <w:tcPr>
            <w:tcW w:w="9355" w:type="dxa"/>
            <w:tcBorders>
              <w:top w:val="nil"/>
              <w:left w:val="nil"/>
              <w:bottom w:val="nil"/>
              <w:right w:val="nil"/>
            </w:tcBorders>
          </w:tcPr>
          <w:p w14:paraId="483CD64A" w14:textId="77777777" w:rsidR="00010CE7" w:rsidRPr="00010CE7" w:rsidRDefault="00010CE7" w:rsidP="00010CE7">
            <w:pPr>
              <w:spacing w:line="300" w:lineRule="auto"/>
              <w:jc w:val="both"/>
              <w:rPr>
                <w:rFonts w:ascii="Helvetica" w:hAnsi="Helvetica"/>
                <w:color w:val="1A1A1A"/>
              </w:rPr>
            </w:pPr>
          </w:p>
        </w:tc>
      </w:tr>
      <w:tr w:rsidR="000A5A0F" w:rsidRPr="00010CE7" w14:paraId="4C3C1113" w14:textId="77777777" w:rsidTr="00C12B5F">
        <w:tblPrEx>
          <w:tblBorders>
            <w:top w:val="none" w:sz="0" w:space="0" w:color="auto"/>
            <w:left w:val="single" w:sz="48" w:space="0" w:color="D97706"/>
            <w:bottom w:val="none" w:sz="0" w:space="0" w:color="auto"/>
            <w:right w:val="none" w:sz="0" w:space="0" w:color="auto"/>
            <w:insideH w:val="none" w:sz="0" w:space="0" w:color="auto"/>
            <w:insideV w:val="none" w:sz="0" w:space="0" w:color="auto"/>
          </w:tblBorders>
          <w:shd w:val="clear" w:color="auto" w:fill="FEF3C7"/>
          <w:tblCellMar>
            <w:top w:w="288" w:type="dxa"/>
            <w:left w:w="720" w:type="dxa"/>
            <w:bottom w:w="288" w:type="dxa"/>
            <w:right w:w="720" w:type="dxa"/>
          </w:tblCellMar>
        </w:tblPrEx>
        <w:tc>
          <w:tcPr>
            <w:tcW w:w="9355" w:type="dxa"/>
            <w:tcBorders>
              <w:top w:val="nil"/>
              <w:bottom w:val="nil"/>
            </w:tcBorders>
            <w:shd w:val="clear" w:color="auto" w:fill="FEF3C7"/>
          </w:tcPr>
          <w:p w14:paraId="318F25BB" w14:textId="77777777" w:rsidR="00E65D2A" w:rsidRPr="00E65D2A" w:rsidRDefault="00E65D2A" w:rsidP="00E65D2A">
            <w:pPr>
              <w:spacing w:line="300" w:lineRule="auto"/>
              <w:rPr>
                <w:rFonts w:ascii="Helvetica" w:hAnsi="Helvetica"/>
                <w:b/>
                <w:bCs/>
                <w:color w:val="D97706"/>
              </w:rPr>
            </w:pPr>
            <w:r w:rsidRPr="00E65D2A">
              <w:rPr>
                <w:rFonts w:ascii="Helvetica" w:hAnsi="Helvetica"/>
                <w:b/>
                <w:bCs/>
                <w:color w:val="D97706"/>
              </w:rPr>
              <w:t>Example</w:t>
            </w:r>
          </w:p>
          <w:p w14:paraId="4D478813" w14:textId="5BA74130" w:rsidR="000A5A0F" w:rsidRPr="00E65D2A" w:rsidRDefault="00E65D2A" w:rsidP="00E65D2A">
            <w:pPr>
              <w:spacing w:line="300" w:lineRule="auto"/>
              <w:rPr>
                <w:rFonts w:ascii="Helvetica" w:hAnsi="Helvetica"/>
                <w:color w:val="1A1A1A"/>
              </w:rPr>
            </w:pPr>
            <w:r w:rsidRPr="00E65D2A">
              <w:rPr>
                <w:rFonts w:ascii="Helvetica" w:hAnsi="Helvetica"/>
                <w:color w:val="174C3C"/>
              </w:rPr>
              <w:t xml:space="preserve">Two companies can report the same revenue and margin, but one has weak retention, no brand recognition, ad hoc processes, and limited customer documentation. The other has high renewal rates, pricing power, </w:t>
            </w:r>
            <w:r w:rsidRPr="00E65D2A">
              <w:rPr>
                <w:rFonts w:ascii="Helvetica" w:hAnsi="Helvetica"/>
                <w:color w:val="174C3C"/>
              </w:rPr>
              <w:lastRenderedPageBreak/>
              <w:t>registered IP, and repeatable systems. A single multiple may treat them as similar. A serious investor will not. A properly prepared valuation report gives that difference structure.</w:t>
            </w:r>
          </w:p>
        </w:tc>
      </w:tr>
      <w:tr w:rsidR="00C12B5F" w:rsidRPr="00010CE7" w14:paraId="0CBB5B84" w14:textId="77777777" w:rsidTr="00C12B5F">
        <w:tc>
          <w:tcPr>
            <w:tcW w:w="9355" w:type="dxa"/>
            <w:tcBorders>
              <w:top w:val="nil"/>
              <w:left w:val="nil"/>
              <w:bottom w:val="nil"/>
              <w:right w:val="nil"/>
            </w:tcBorders>
          </w:tcPr>
          <w:p w14:paraId="4FD72BE2" w14:textId="77777777" w:rsidR="00C12B5F" w:rsidRPr="00010CE7" w:rsidRDefault="00C12B5F" w:rsidP="00C9796D">
            <w:pPr>
              <w:spacing w:line="300" w:lineRule="auto"/>
              <w:jc w:val="both"/>
              <w:rPr>
                <w:rFonts w:ascii="Helvetica" w:hAnsi="Helvetica"/>
                <w:color w:val="1A1A1A"/>
              </w:rPr>
            </w:pPr>
          </w:p>
        </w:tc>
      </w:tr>
      <w:tr w:rsidR="00C12B5F" w:rsidRPr="00010CE7" w14:paraId="7DB1F86C" w14:textId="77777777" w:rsidTr="00C12B5F">
        <w:trPr>
          <w:trHeight w:val="60"/>
        </w:trPr>
        <w:tc>
          <w:tcPr>
            <w:tcW w:w="9355" w:type="dxa"/>
            <w:tcBorders>
              <w:top w:val="nil"/>
              <w:left w:val="nil"/>
              <w:bottom w:val="nil"/>
              <w:right w:val="nil"/>
            </w:tcBorders>
          </w:tcPr>
          <w:p w14:paraId="0AB28556" w14:textId="77777777" w:rsidR="00C12B5F" w:rsidRPr="00010CE7" w:rsidRDefault="00C12B5F" w:rsidP="00C9796D">
            <w:pPr>
              <w:spacing w:line="300" w:lineRule="auto"/>
              <w:jc w:val="both"/>
              <w:rPr>
                <w:rFonts w:ascii="Helvetica" w:hAnsi="Helvetica"/>
                <w:color w:val="1A1A1A"/>
              </w:rPr>
            </w:pPr>
          </w:p>
        </w:tc>
      </w:tr>
    </w:tbl>
    <w:p w14:paraId="706523A0" w14:textId="67490377" w:rsidR="00010CE7" w:rsidRPr="00010CE7" w:rsidRDefault="007D5EEB"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010CE7" w:rsidRPr="00010CE7">
        <w:rPr>
          <w:rFonts w:ascii="Helvetica" w:hAnsi="Helvetica"/>
          <w:color w:val="1A1A1A"/>
          <w:sz w:val="20"/>
          <w:szCs w:val="20"/>
        </w:rPr>
        <w:t>3</w:t>
      </w:r>
    </w:p>
    <w:p w14:paraId="0CCB8B33" w14:textId="7CBE2B6E" w:rsidR="007D5EEB" w:rsidRPr="00010CE7" w:rsidRDefault="007D5EEB" w:rsidP="00010CE7">
      <w:pPr>
        <w:pStyle w:val="Heading2"/>
        <w:spacing w:before="0" w:after="0" w:line="300" w:lineRule="auto"/>
        <w:jc w:val="both"/>
        <w:rPr>
          <w:rFonts w:ascii="Helvetica" w:hAnsi="Helvetica"/>
          <w:color w:val="1A1A1A"/>
          <w:sz w:val="24"/>
          <w:szCs w:val="24"/>
        </w:rPr>
      </w:pPr>
    </w:p>
    <w:p w14:paraId="77A7D786" w14:textId="649C5C00" w:rsidR="007D5EEB" w:rsidRPr="00010CE7" w:rsidRDefault="00814CCF" w:rsidP="00010CE7">
      <w:pPr>
        <w:pStyle w:val="Heading2"/>
        <w:spacing w:before="0" w:after="0" w:line="240" w:lineRule="auto"/>
        <w:jc w:val="both"/>
        <w:rPr>
          <w:rFonts w:ascii="Helvetica" w:hAnsi="Helvetica"/>
          <w:color w:val="174C3C"/>
          <w:sz w:val="40"/>
          <w:szCs w:val="40"/>
        </w:rPr>
      </w:pPr>
      <w:r w:rsidRPr="00814CCF">
        <w:rPr>
          <w:rFonts w:ascii="Helvetica" w:hAnsi="Helvetica"/>
          <w:color w:val="174C3C"/>
          <w:sz w:val="40"/>
          <w:szCs w:val="40"/>
        </w:rPr>
        <w:t>Why Discover Value Before You Need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D5EEB" w:rsidRPr="00010CE7" w14:paraId="2503FEF8" w14:textId="77777777" w:rsidTr="00D25791">
        <w:tc>
          <w:tcPr>
            <w:tcW w:w="9350" w:type="dxa"/>
            <w:tcBorders>
              <w:bottom w:val="single" w:sz="6" w:space="0" w:color="E5E5E5"/>
            </w:tcBorders>
          </w:tcPr>
          <w:p w14:paraId="7D043220" w14:textId="77777777" w:rsidR="007D5EEB" w:rsidRPr="00010CE7" w:rsidRDefault="007D5EEB" w:rsidP="00010CE7">
            <w:pPr>
              <w:spacing w:line="300" w:lineRule="auto"/>
              <w:jc w:val="both"/>
              <w:rPr>
                <w:rFonts w:ascii="Helvetica" w:hAnsi="Helvetica"/>
                <w:color w:val="1A1A1A"/>
              </w:rPr>
            </w:pPr>
          </w:p>
        </w:tc>
      </w:tr>
    </w:tbl>
    <w:p w14:paraId="592D129A" w14:textId="77777777" w:rsidR="0025713E" w:rsidRPr="00010CE7" w:rsidRDefault="0025713E" w:rsidP="00010CE7">
      <w:pPr>
        <w:spacing w:after="0" w:line="300" w:lineRule="auto"/>
        <w:jc w:val="both"/>
        <w:rPr>
          <w:rFonts w:ascii="Helvetica" w:hAnsi="Helvetica"/>
          <w:color w:val="1A1A1A"/>
        </w:rPr>
      </w:pPr>
    </w:p>
    <w:p w14:paraId="0A8C834B" w14:textId="77777777" w:rsidR="00814CCF" w:rsidRPr="00814CCF" w:rsidRDefault="00814CCF" w:rsidP="00814CCF">
      <w:pPr>
        <w:spacing w:after="0" w:line="300" w:lineRule="auto"/>
        <w:jc w:val="both"/>
        <w:rPr>
          <w:rFonts w:ascii="Helvetica" w:hAnsi="Helvetica"/>
          <w:color w:val="1A1A1A"/>
        </w:rPr>
      </w:pPr>
      <w:r w:rsidRPr="00814CCF">
        <w:rPr>
          <w:rFonts w:ascii="Helvetica" w:hAnsi="Helvetica"/>
          <w:color w:val="1A1A1A"/>
        </w:rPr>
        <w:t>Undocumented value is usually treated as unsupported value. That becomes a problem when the company enters a fundraising process, M&amp;A discussion, bank financing review, shareholder conversation, or strategic planning cycle where valuation suddenly matters.</w:t>
      </w:r>
    </w:p>
    <w:p w14:paraId="693CB8D8" w14:textId="77777777" w:rsidR="00814CCF" w:rsidRDefault="00814CCF" w:rsidP="00814CCF">
      <w:pPr>
        <w:spacing w:after="0" w:line="300" w:lineRule="auto"/>
        <w:jc w:val="both"/>
        <w:rPr>
          <w:rFonts w:ascii="Helvetica" w:hAnsi="Helvetica"/>
          <w:color w:val="1A1A1A"/>
        </w:rPr>
      </w:pPr>
    </w:p>
    <w:p w14:paraId="4B958FAA" w14:textId="09359FB6" w:rsidR="00814CCF" w:rsidRDefault="00814CCF" w:rsidP="00814CCF">
      <w:pPr>
        <w:spacing w:after="0" w:line="300" w:lineRule="auto"/>
        <w:jc w:val="both"/>
        <w:rPr>
          <w:rFonts w:ascii="Helvetica" w:hAnsi="Helvetica"/>
          <w:color w:val="1A1A1A"/>
        </w:rPr>
      </w:pPr>
      <w:r w:rsidRPr="00814CCF">
        <w:rPr>
          <w:rFonts w:ascii="Helvetica" w:hAnsi="Helvetica"/>
          <w:color w:val="1A1A1A"/>
        </w:rPr>
        <w:t>By the time a transaction is live, there is rarely enough time to build the evidence properly. Buyers and investors will ask for customer data, brand evidence, contract quality, technology documentation, IP ownership records, and financial linkage between the asset and commercial performance. If that evidence has not been gathered, the conversation becomes defensive. The business may still have value, but the valuation case becomes harder to prove.</w:t>
      </w:r>
    </w:p>
    <w:p w14:paraId="716829AF" w14:textId="77777777" w:rsidR="00814CCF" w:rsidRPr="00814CCF" w:rsidRDefault="00814CCF" w:rsidP="00814CCF">
      <w:pPr>
        <w:spacing w:after="0" w:line="300" w:lineRule="auto"/>
        <w:jc w:val="both"/>
        <w:rPr>
          <w:rFonts w:ascii="Helvetica" w:hAnsi="Helvetica"/>
          <w:color w:val="1A1A1A"/>
        </w:rPr>
      </w:pPr>
    </w:p>
    <w:p w14:paraId="43B5482C" w14:textId="77777777" w:rsidR="00814CCF" w:rsidRDefault="00814CCF" w:rsidP="00814CCF">
      <w:pPr>
        <w:spacing w:after="0" w:line="300" w:lineRule="auto"/>
        <w:jc w:val="both"/>
        <w:rPr>
          <w:rFonts w:ascii="Helvetica" w:hAnsi="Helvetica"/>
          <w:color w:val="1A1A1A"/>
        </w:rPr>
      </w:pPr>
      <w:r w:rsidRPr="00814CCF">
        <w:rPr>
          <w:rFonts w:ascii="Helvetica" w:hAnsi="Helvetica"/>
          <w:color w:val="1A1A1A"/>
        </w:rPr>
        <w:t>Mapping intangible assets early gives management a sharper view of where value is actually being created. If customer relationships are the strongest asset, then retention, renewal quality, and concentration risk should be tracked more carefully. If proprietary software is the asset, then documentation, usage data, replacement cost, and productivity impact matter. If brand is the asset, then customer preference, pricing power, awareness, and reputation signals need to be measured instead of assumed.</w:t>
      </w:r>
    </w:p>
    <w:p w14:paraId="4E615E57" w14:textId="77777777" w:rsidR="00814CCF" w:rsidRPr="00814CCF" w:rsidRDefault="00814CCF" w:rsidP="00814CCF">
      <w:pPr>
        <w:spacing w:after="0" w:line="300" w:lineRule="auto"/>
        <w:jc w:val="both"/>
        <w:rPr>
          <w:rFonts w:ascii="Helvetica" w:hAnsi="Helvetica"/>
          <w:color w:val="1A1A1A"/>
        </w:rPr>
      </w:pPr>
    </w:p>
    <w:p w14:paraId="43EE1866" w14:textId="086D1C68" w:rsidR="0025713E" w:rsidRDefault="00814CCF" w:rsidP="00814CCF">
      <w:pPr>
        <w:spacing w:after="0" w:line="300" w:lineRule="auto"/>
        <w:jc w:val="both"/>
        <w:rPr>
          <w:rFonts w:ascii="Helvetica" w:hAnsi="Helvetica"/>
          <w:color w:val="1A1A1A"/>
        </w:rPr>
      </w:pPr>
      <w:r w:rsidRPr="00814CCF">
        <w:rPr>
          <w:rFonts w:ascii="Helvetica" w:hAnsi="Helvetica"/>
          <w:color w:val="1A1A1A"/>
        </w:rPr>
        <w:t>This changes how the business is managed. The exercise is not only for future valuation reports. It helps founders and management teams decide where to invest, which assets to protect, what evidence to preserve, and which parts of the business deserve more strategic attention.</w:t>
      </w:r>
      <w:r w:rsidR="00C12B5F">
        <w:rPr>
          <w:rFonts w:ascii="Helvetica" w:hAnsi="Helvetica"/>
          <w:color w:val="1A1A1A"/>
        </w:rPr>
        <w:t xml:space="preserve"> </w:t>
      </w:r>
    </w:p>
    <w:p w14:paraId="691686D6" w14:textId="24E66B7A" w:rsidR="00350144"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A5A0F" w:rsidRPr="00010CE7">
        <w:rPr>
          <w:rFonts w:ascii="Helvetica" w:hAnsi="Helvetica"/>
          <w:color w:val="1A1A1A"/>
          <w:sz w:val="20"/>
          <w:szCs w:val="20"/>
        </w:rPr>
        <w:t>4</w:t>
      </w:r>
    </w:p>
    <w:p w14:paraId="0B4406BB"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203FAC51" w14:textId="06B625A9" w:rsidR="00350144" w:rsidRPr="00010CE7" w:rsidRDefault="00814CCF" w:rsidP="00010CE7">
      <w:pPr>
        <w:pStyle w:val="Heading2"/>
        <w:spacing w:before="0" w:after="0" w:line="240" w:lineRule="auto"/>
        <w:jc w:val="both"/>
        <w:rPr>
          <w:rFonts w:ascii="Helvetica" w:hAnsi="Helvetica"/>
          <w:color w:val="174C3C"/>
          <w:sz w:val="40"/>
          <w:szCs w:val="40"/>
        </w:rPr>
      </w:pPr>
      <w:r w:rsidRPr="00814CCF">
        <w:rPr>
          <w:rFonts w:ascii="Helvetica" w:hAnsi="Helvetica"/>
          <w:color w:val="174C3C"/>
          <w:sz w:val="40"/>
          <w:szCs w:val="40"/>
        </w:rPr>
        <w:t>What Good Evidence Looks Like</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4C158C87" w14:textId="77777777" w:rsidTr="00D25791">
        <w:tc>
          <w:tcPr>
            <w:tcW w:w="9350" w:type="dxa"/>
            <w:tcBorders>
              <w:bottom w:val="single" w:sz="6" w:space="0" w:color="E5E5E5"/>
            </w:tcBorders>
          </w:tcPr>
          <w:p w14:paraId="45C25A78" w14:textId="275C2A48" w:rsidR="00350144" w:rsidRPr="00010CE7" w:rsidRDefault="00350144" w:rsidP="00010CE7">
            <w:pPr>
              <w:spacing w:line="300" w:lineRule="auto"/>
              <w:jc w:val="both"/>
              <w:rPr>
                <w:rFonts w:ascii="Helvetica" w:hAnsi="Helvetica"/>
                <w:color w:val="1A1A1A"/>
              </w:rPr>
            </w:pPr>
          </w:p>
        </w:tc>
      </w:tr>
      <w:tr w:rsidR="00350144" w:rsidRPr="00010CE7" w14:paraId="793DF697" w14:textId="77777777" w:rsidTr="00D25791">
        <w:trPr>
          <w:trHeight w:val="60"/>
        </w:trPr>
        <w:tc>
          <w:tcPr>
            <w:tcW w:w="9350" w:type="dxa"/>
            <w:tcBorders>
              <w:top w:val="single" w:sz="6" w:space="0" w:color="E5E5E5"/>
            </w:tcBorders>
          </w:tcPr>
          <w:p w14:paraId="71BCF633" w14:textId="77777777" w:rsidR="0025713E" w:rsidRPr="00010CE7" w:rsidRDefault="0025713E" w:rsidP="00010CE7">
            <w:pPr>
              <w:spacing w:line="300" w:lineRule="auto"/>
              <w:jc w:val="both"/>
              <w:rPr>
                <w:rFonts w:ascii="Helvetica" w:hAnsi="Helvetica"/>
                <w:color w:val="1A1A1A"/>
              </w:rPr>
            </w:pPr>
          </w:p>
        </w:tc>
      </w:tr>
    </w:tbl>
    <w:p w14:paraId="7AC19BE7" w14:textId="5E64DC57" w:rsidR="000A5A0F" w:rsidRDefault="00814CCF" w:rsidP="00010CE7">
      <w:pPr>
        <w:spacing w:after="0" w:line="300" w:lineRule="auto"/>
        <w:jc w:val="both"/>
        <w:rPr>
          <w:rFonts w:ascii="Helvetica" w:hAnsi="Helvetica"/>
          <w:color w:val="1A1A1A"/>
        </w:rPr>
      </w:pPr>
      <w:r w:rsidRPr="00814CCF">
        <w:rPr>
          <w:rFonts w:ascii="Helvetica" w:hAnsi="Helvetica"/>
          <w:color w:val="1A1A1A"/>
        </w:rPr>
        <w:t>Strong intangible asset evidence connects the asset to commercial outcomes. The table below sets out the main categories Bain Squared would typically review during an intangible asset discovery exercise.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85"/>
      </w:tblGrid>
      <w:tr w:rsidR="00C12B5F" w:rsidRPr="00010CE7" w14:paraId="201F257F" w14:textId="77777777" w:rsidTr="00C12B5F">
        <w:tc>
          <w:tcPr>
            <w:tcW w:w="9355" w:type="dxa"/>
            <w:gridSpan w:val="2"/>
          </w:tcPr>
          <w:p w14:paraId="54CB8E4E" w14:textId="77777777" w:rsidR="00C12B5F" w:rsidRPr="00010CE7" w:rsidRDefault="00C12B5F" w:rsidP="00C9796D">
            <w:pPr>
              <w:spacing w:line="300" w:lineRule="auto"/>
              <w:jc w:val="both"/>
              <w:rPr>
                <w:rFonts w:ascii="Helvetica" w:hAnsi="Helvetica"/>
                <w:color w:val="1A1A1A"/>
              </w:rPr>
            </w:pPr>
          </w:p>
        </w:tc>
      </w:tr>
      <w:tr w:rsidR="00C12B5F" w:rsidRPr="00010CE7" w14:paraId="01206772" w14:textId="77777777" w:rsidTr="00C12B5F">
        <w:trPr>
          <w:trHeight w:val="60"/>
        </w:trPr>
        <w:tc>
          <w:tcPr>
            <w:tcW w:w="9355" w:type="dxa"/>
            <w:gridSpan w:val="2"/>
          </w:tcPr>
          <w:p w14:paraId="65EE46D6" w14:textId="77777777" w:rsidR="00C12B5F" w:rsidRPr="00010CE7" w:rsidRDefault="00C12B5F" w:rsidP="00C9796D">
            <w:pPr>
              <w:spacing w:line="300" w:lineRule="auto"/>
              <w:jc w:val="both"/>
              <w:rPr>
                <w:rFonts w:ascii="Helvetica" w:hAnsi="Helvetica"/>
                <w:color w:val="1A1A1A"/>
              </w:rPr>
            </w:pPr>
          </w:p>
        </w:tc>
      </w:tr>
      <w:tr w:rsidR="00C12B5F" w:rsidRPr="00010CE7" w14:paraId="795F1312"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174C3C"/>
            <w:vAlign w:val="center"/>
          </w:tcPr>
          <w:p w14:paraId="78CF9804" w14:textId="4A22C473" w:rsidR="00C12B5F" w:rsidRPr="00010CE7" w:rsidRDefault="00C12B5F" w:rsidP="00C9796D">
            <w:pPr>
              <w:spacing w:line="300" w:lineRule="auto"/>
              <w:rPr>
                <w:rFonts w:ascii="Helvetica" w:hAnsi="Helvetica"/>
                <w:color w:val="F7F5F2"/>
              </w:rPr>
            </w:pPr>
            <w:r w:rsidRPr="00C12B5F">
              <w:rPr>
                <w:rFonts w:ascii="Helvetica" w:hAnsi="Helvetica"/>
                <w:b/>
                <w:color w:val="F7F5F2"/>
              </w:rPr>
              <w:t>Asset Type</w:t>
            </w:r>
          </w:p>
        </w:tc>
        <w:tc>
          <w:tcPr>
            <w:tcW w:w="4685" w:type="dxa"/>
            <w:shd w:val="clear" w:color="auto" w:fill="174C3C"/>
            <w:vAlign w:val="center"/>
          </w:tcPr>
          <w:p w14:paraId="4F07CD62" w14:textId="0B28FC3D" w:rsidR="00C12B5F" w:rsidRPr="00010CE7" w:rsidRDefault="00C12B5F" w:rsidP="00C9796D">
            <w:pPr>
              <w:spacing w:line="300" w:lineRule="auto"/>
              <w:rPr>
                <w:rFonts w:ascii="Helvetica" w:hAnsi="Helvetica"/>
                <w:color w:val="F7F5F2"/>
              </w:rPr>
            </w:pPr>
            <w:r w:rsidRPr="00C12B5F">
              <w:rPr>
                <w:rFonts w:ascii="Helvetica" w:hAnsi="Helvetica"/>
                <w:b/>
                <w:color w:val="F7F5F2"/>
              </w:rPr>
              <w:t>What You Should Start Tracking</w:t>
            </w:r>
          </w:p>
        </w:tc>
      </w:tr>
      <w:tr w:rsidR="00C12B5F" w:rsidRPr="00010CE7" w14:paraId="1A411CD3"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4F6B9E03" w14:textId="40E2E90B" w:rsidR="00C12B5F" w:rsidRPr="00010CE7" w:rsidRDefault="00C12B5F" w:rsidP="00C9796D">
            <w:pPr>
              <w:spacing w:line="300" w:lineRule="auto"/>
              <w:rPr>
                <w:rFonts w:ascii="Helvetica" w:hAnsi="Helvetica"/>
                <w:color w:val="1A1A1A"/>
              </w:rPr>
            </w:pPr>
            <w:r>
              <w:rPr>
                <w:rFonts w:ascii="Helvetica" w:hAnsi="Helvetica"/>
                <w:b/>
                <w:color w:val="1A1A1A"/>
              </w:rPr>
              <w:t>Brand</w:t>
            </w:r>
          </w:p>
        </w:tc>
        <w:tc>
          <w:tcPr>
            <w:tcW w:w="4685" w:type="dxa"/>
            <w:shd w:val="clear" w:color="auto" w:fill="F7F5F2"/>
            <w:vAlign w:val="center"/>
          </w:tcPr>
          <w:p w14:paraId="6E99B852" w14:textId="44B660BE" w:rsidR="00C12B5F" w:rsidRPr="00010CE7" w:rsidRDefault="00C12B5F" w:rsidP="00C9796D">
            <w:pPr>
              <w:spacing w:line="300" w:lineRule="auto"/>
              <w:rPr>
                <w:rFonts w:ascii="Helvetica" w:hAnsi="Helvetica"/>
                <w:color w:val="1A1A1A"/>
              </w:rPr>
            </w:pPr>
            <w:r w:rsidRPr="00C12B5F">
              <w:rPr>
                <w:rFonts w:ascii="Helvetica" w:hAnsi="Helvetica"/>
                <w:color w:val="1A1A1A"/>
              </w:rPr>
              <w:t>Customer survey data, Net Promoter Scores, brand recognition indicators, referral sources, and evidence that you can charge a premium over competitors.</w:t>
            </w:r>
          </w:p>
        </w:tc>
      </w:tr>
      <w:tr w:rsidR="00C12B5F" w:rsidRPr="00010CE7" w14:paraId="44C9B792"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4EFB87DE" w14:textId="44FDB5AD" w:rsidR="00C12B5F" w:rsidRPr="00010CE7" w:rsidRDefault="00C12B5F" w:rsidP="00C9796D">
            <w:pPr>
              <w:spacing w:line="300" w:lineRule="auto"/>
              <w:rPr>
                <w:rFonts w:ascii="Helvetica" w:hAnsi="Helvetica"/>
                <w:color w:val="1A1A1A"/>
              </w:rPr>
            </w:pPr>
            <w:r>
              <w:rPr>
                <w:rFonts w:ascii="Helvetica" w:hAnsi="Helvetica"/>
                <w:b/>
                <w:color w:val="1A1A1A"/>
              </w:rPr>
              <w:t>Customer relationships</w:t>
            </w:r>
          </w:p>
        </w:tc>
        <w:tc>
          <w:tcPr>
            <w:tcW w:w="4685" w:type="dxa"/>
            <w:shd w:val="clear" w:color="auto" w:fill="FFFFFF" w:themeFill="background1"/>
            <w:vAlign w:val="center"/>
          </w:tcPr>
          <w:p w14:paraId="229838DA" w14:textId="045594EC" w:rsidR="00C12B5F" w:rsidRPr="00010CE7" w:rsidRDefault="00C12B5F" w:rsidP="00C9796D">
            <w:pPr>
              <w:spacing w:line="300" w:lineRule="auto"/>
              <w:rPr>
                <w:rFonts w:ascii="Helvetica" w:hAnsi="Helvetica"/>
                <w:color w:val="1A1A1A"/>
              </w:rPr>
            </w:pPr>
            <w:r w:rsidRPr="00C12B5F">
              <w:rPr>
                <w:rFonts w:ascii="Helvetica" w:hAnsi="Helvetica"/>
                <w:color w:val="1A1A1A"/>
              </w:rPr>
              <w:t>Churn rates, repeat purchase data, customer concentration, account expansion, customer tenure, and renewal behaviour.</w:t>
            </w:r>
          </w:p>
        </w:tc>
      </w:tr>
      <w:tr w:rsidR="00C12B5F" w:rsidRPr="00010CE7" w14:paraId="0C2BEF65"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0994349C" w14:textId="17DFC96A" w:rsidR="00C12B5F" w:rsidRPr="00010CE7" w:rsidRDefault="00C12B5F" w:rsidP="00C9796D">
            <w:pPr>
              <w:spacing w:line="300" w:lineRule="auto"/>
              <w:rPr>
                <w:rFonts w:ascii="Helvetica" w:hAnsi="Helvetica"/>
                <w:color w:val="1A1A1A"/>
              </w:rPr>
            </w:pPr>
            <w:r>
              <w:rPr>
                <w:rFonts w:ascii="Helvetica" w:hAnsi="Helvetica"/>
                <w:b/>
                <w:color w:val="1A1A1A"/>
              </w:rPr>
              <w:t>Recurring revenue</w:t>
            </w:r>
          </w:p>
        </w:tc>
        <w:tc>
          <w:tcPr>
            <w:tcW w:w="4685" w:type="dxa"/>
            <w:shd w:val="clear" w:color="auto" w:fill="F7F5F2"/>
            <w:vAlign w:val="center"/>
          </w:tcPr>
          <w:p w14:paraId="15B2EC9D" w14:textId="41BE6829" w:rsidR="00C12B5F" w:rsidRPr="00010CE7" w:rsidRDefault="00C12B5F" w:rsidP="00C9796D">
            <w:pPr>
              <w:spacing w:line="300" w:lineRule="auto"/>
              <w:rPr>
                <w:rFonts w:ascii="Helvetica" w:hAnsi="Helvetica"/>
                <w:color w:val="1A1A1A"/>
              </w:rPr>
            </w:pPr>
            <w:r w:rsidRPr="00C12B5F">
              <w:rPr>
                <w:rFonts w:ascii="Helvetica" w:hAnsi="Helvetica"/>
                <w:color w:val="1A1A1A"/>
              </w:rPr>
              <w:t>The percentage of revenue that comes from subscriptions, retainers, recurring contracts, automatic renewals, or repeat customer behaviour.</w:t>
            </w:r>
          </w:p>
        </w:tc>
      </w:tr>
      <w:tr w:rsidR="00C12B5F" w:rsidRPr="00010CE7" w14:paraId="0446A0E6"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0C8BBD8D" w14:textId="1366C87D" w:rsidR="00C12B5F" w:rsidRPr="00010CE7" w:rsidRDefault="00C12B5F" w:rsidP="00C9796D">
            <w:pPr>
              <w:spacing w:line="300" w:lineRule="auto"/>
              <w:rPr>
                <w:rFonts w:ascii="Helvetica" w:hAnsi="Helvetica"/>
                <w:color w:val="1A1A1A"/>
              </w:rPr>
            </w:pPr>
            <w:r>
              <w:rPr>
                <w:rFonts w:ascii="Helvetica" w:hAnsi="Helvetica"/>
                <w:b/>
                <w:color w:val="1A1A1A"/>
              </w:rPr>
              <w:t>Software and technology</w:t>
            </w:r>
          </w:p>
        </w:tc>
        <w:tc>
          <w:tcPr>
            <w:tcW w:w="4685" w:type="dxa"/>
            <w:shd w:val="clear" w:color="auto" w:fill="FFFFFF" w:themeFill="background1"/>
            <w:vAlign w:val="center"/>
          </w:tcPr>
          <w:p w14:paraId="67F3851D" w14:textId="7F05E069" w:rsidR="00C12B5F" w:rsidRPr="00010CE7" w:rsidRDefault="00C12B5F" w:rsidP="00C9796D">
            <w:pPr>
              <w:spacing w:line="300" w:lineRule="auto"/>
              <w:rPr>
                <w:rFonts w:ascii="Helvetica" w:hAnsi="Helvetica"/>
                <w:color w:val="1A1A1A"/>
              </w:rPr>
            </w:pPr>
            <w:r w:rsidRPr="00C12B5F">
              <w:rPr>
                <w:rFonts w:ascii="Helvetica" w:hAnsi="Helvetica"/>
                <w:color w:val="1A1A1A"/>
              </w:rPr>
              <w:t>Documentation of internal tools, product systems, and measurable cost or time savings compared with manual alternatives.</w:t>
            </w:r>
          </w:p>
        </w:tc>
      </w:tr>
      <w:tr w:rsidR="00C12B5F" w:rsidRPr="00010CE7" w14:paraId="5DC43C5D"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24975898" w14:textId="382F72A9" w:rsidR="00C12B5F" w:rsidRPr="00010CE7" w:rsidRDefault="00C12B5F" w:rsidP="00C9796D">
            <w:pPr>
              <w:spacing w:line="300" w:lineRule="auto"/>
              <w:rPr>
                <w:rFonts w:ascii="Helvetica" w:hAnsi="Helvetica"/>
                <w:b/>
                <w:color w:val="1A1A1A"/>
              </w:rPr>
            </w:pPr>
            <w:r w:rsidRPr="00C12B5F">
              <w:rPr>
                <w:rFonts w:ascii="Helvetica" w:hAnsi="Helvetica"/>
                <w:b/>
                <w:color w:val="1A1A1A"/>
              </w:rPr>
              <w:t>IP, trademarks, and know how</w:t>
            </w:r>
          </w:p>
        </w:tc>
        <w:tc>
          <w:tcPr>
            <w:tcW w:w="4685" w:type="dxa"/>
            <w:shd w:val="clear" w:color="auto" w:fill="F7F5F2"/>
            <w:vAlign w:val="center"/>
          </w:tcPr>
          <w:p w14:paraId="5D2E8C2B" w14:textId="4E92C526" w:rsidR="00C12B5F" w:rsidRPr="00010CE7" w:rsidRDefault="00C12B5F" w:rsidP="00C9796D">
            <w:pPr>
              <w:spacing w:line="300" w:lineRule="auto"/>
              <w:rPr>
                <w:rFonts w:ascii="Helvetica" w:hAnsi="Helvetica"/>
                <w:color w:val="1A1A1A"/>
              </w:rPr>
            </w:pPr>
            <w:r w:rsidRPr="00C12B5F">
              <w:rPr>
                <w:rFonts w:ascii="Helvetica" w:hAnsi="Helvetica"/>
                <w:color w:val="1A1A1A"/>
              </w:rPr>
              <w:t xml:space="preserve">Registration certificates, licence agreements, proprietary methods, </w:t>
            </w:r>
            <w:r w:rsidRPr="00C12B5F">
              <w:rPr>
                <w:rFonts w:ascii="Helvetica" w:hAnsi="Helvetica"/>
                <w:color w:val="1A1A1A"/>
              </w:rPr>
              <w:lastRenderedPageBreak/>
              <w:t>technical documentation, evidence of active use, and ownership records.</w:t>
            </w:r>
          </w:p>
        </w:tc>
      </w:tr>
      <w:tr w:rsidR="00C12B5F" w:rsidRPr="00010CE7" w14:paraId="1043997B" w14:textId="77777777" w:rsidTr="00814CCF">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4C4CA775" w14:textId="77777777" w:rsidR="00C12B5F" w:rsidRPr="00010CE7" w:rsidRDefault="00C12B5F" w:rsidP="00C9796D">
            <w:pPr>
              <w:spacing w:line="300" w:lineRule="auto"/>
              <w:rPr>
                <w:rFonts w:ascii="Helvetica" w:hAnsi="Helvetica"/>
                <w:b/>
                <w:color w:val="1A1A1A"/>
              </w:rPr>
            </w:pPr>
            <w:r w:rsidRPr="00010CE7">
              <w:rPr>
                <w:rFonts w:ascii="Helvetica" w:hAnsi="Helvetica"/>
                <w:b/>
                <w:color w:val="1A1A1A"/>
              </w:rPr>
              <w:lastRenderedPageBreak/>
              <w:t>Contracts</w:t>
            </w:r>
          </w:p>
        </w:tc>
        <w:tc>
          <w:tcPr>
            <w:tcW w:w="4685" w:type="dxa"/>
            <w:shd w:val="clear" w:color="auto" w:fill="FFFFFF" w:themeFill="background1"/>
            <w:vAlign w:val="center"/>
          </w:tcPr>
          <w:p w14:paraId="33C10E05" w14:textId="6EEF594A" w:rsidR="00C12B5F" w:rsidRPr="00010CE7" w:rsidRDefault="00C12B5F" w:rsidP="00C9796D">
            <w:pPr>
              <w:spacing w:line="300" w:lineRule="auto"/>
              <w:rPr>
                <w:rFonts w:ascii="Helvetica" w:hAnsi="Helvetica"/>
                <w:color w:val="1A1A1A"/>
              </w:rPr>
            </w:pPr>
            <w:r w:rsidRPr="00C12B5F">
              <w:rPr>
                <w:rFonts w:ascii="Helvetica" w:hAnsi="Helvetica"/>
                <w:color w:val="1A1A1A"/>
              </w:rPr>
              <w:t>Signed agreements, contract value, renewal terms, exclusivity rights, customer quality, contract length, and termination provisions.</w:t>
            </w:r>
          </w:p>
        </w:tc>
      </w:tr>
      <w:tr w:rsidR="00DD446C" w:rsidRPr="00010CE7" w14:paraId="3446D4CF" w14:textId="77777777" w:rsidTr="00DD446C">
        <w:tc>
          <w:tcPr>
            <w:tcW w:w="9355" w:type="dxa"/>
            <w:gridSpan w:val="2"/>
          </w:tcPr>
          <w:p w14:paraId="056FFCED" w14:textId="77777777" w:rsidR="00DD446C" w:rsidRPr="00010CE7" w:rsidRDefault="00DD446C" w:rsidP="00527C4E">
            <w:pPr>
              <w:spacing w:line="300" w:lineRule="auto"/>
              <w:jc w:val="both"/>
              <w:rPr>
                <w:rFonts w:ascii="Helvetica" w:hAnsi="Helvetica"/>
                <w:color w:val="1A1A1A"/>
              </w:rPr>
            </w:pPr>
          </w:p>
        </w:tc>
      </w:tr>
      <w:tr w:rsidR="00DD446C" w:rsidRPr="00010CE7" w14:paraId="7CB7C524" w14:textId="77777777" w:rsidTr="00DD446C">
        <w:trPr>
          <w:trHeight w:val="60"/>
        </w:trPr>
        <w:tc>
          <w:tcPr>
            <w:tcW w:w="9355" w:type="dxa"/>
            <w:gridSpan w:val="2"/>
          </w:tcPr>
          <w:p w14:paraId="1C5ED255" w14:textId="77777777" w:rsidR="00DD446C" w:rsidRPr="00010CE7" w:rsidRDefault="00DD446C" w:rsidP="00527C4E">
            <w:pPr>
              <w:spacing w:line="300" w:lineRule="auto"/>
              <w:jc w:val="both"/>
              <w:rPr>
                <w:rFonts w:ascii="Helvetica" w:hAnsi="Helvetica"/>
                <w:color w:val="1A1A1A"/>
              </w:rPr>
            </w:pPr>
          </w:p>
        </w:tc>
      </w:tr>
    </w:tbl>
    <w:p w14:paraId="1B72829C" w14:textId="3E6E2AFD" w:rsidR="00E65D2A" w:rsidRDefault="00E65D2A" w:rsidP="00E65D2A">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05</w:t>
      </w:r>
    </w:p>
    <w:p w14:paraId="13095292" w14:textId="77777777" w:rsidR="00E65D2A" w:rsidRPr="00010CE7" w:rsidRDefault="00E65D2A" w:rsidP="00E65D2A">
      <w:pPr>
        <w:pStyle w:val="Heading2"/>
        <w:spacing w:before="0" w:after="0" w:line="300" w:lineRule="auto"/>
        <w:jc w:val="both"/>
        <w:rPr>
          <w:rFonts w:ascii="Helvetica" w:hAnsi="Helvetica"/>
          <w:color w:val="174C3C"/>
          <w:sz w:val="24"/>
          <w:szCs w:val="24"/>
        </w:rPr>
      </w:pPr>
    </w:p>
    <w:p w14:paraId="67B171D8" w14:textId="0BA03630" w:rsidR="00E65D2A" w:rsidRPr="00010CE7" w:rsidRDefault="00E65D2A" w:rsidP="00E65D2A">
      <w:pPr>
        <w:pStyle w:val="Heading2"/>
        <w:spacing w:before="0" w:after="0" w:line="240" w:lineRule="auto"/>
        <w:jc w:val="both"/>
        <w:rPr>
          <w:rFonts w:ascii="Helvetica" w:hAnsi="Helvetica"/>
          <w:color w:val="174C3C"/>
          <w:sz w:val="40"/>
          <w:szCs w:val="40"/>
        </w:rPr>
      </w:pPr>
      <w:r w:rsidRPr="00E65D2A">
        <w:rPr>
          <w:rFonts w:ascii="Helvetica" w:hAnsi="Helvetica"/>
          <w:color w:val="174C3C"/>
          <w:sz w:val="40"/>
          <w:szCs w:val="40"/>
        </w:rPr>
        <w:t>Your specific opportunity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65D2A" w:rsidRPr="00010CE7" w14:paraId="6E51EE4E" w14:textId="77777777" w:rsidTr="00C9796D">
        <w:tc>
          <w:tcPr>
            <w:tcW w:w="9350" w:type="dxa"/>
            <w:tcBorders>
              <w:bottom w:val="single" w:sz="6" w:space="0" w:color="E5E5E5"/>
            </w:tcBorders>
          </w:tcPr>
          <w:p w14:paraId="1D695E43" w14:textId="77777777" w:rsidR="00E65D2A" w:rsidRPr="00010CE7" w:rsidRDefault="00E65D2A" w:rsidP="00C9796D">
            <w:pPr>
              <w:spacing w:line="300" w:lineRule="auto"/>
              <w:jc w:val="both"/>
              <w:rPr>
                <w:rFonts w:ascii="Helvetica" w:hAnsi="Helvetica"/>
                <w:color w:val="1A1A1A"/>
              </w:rPr>
            </w:pPr>
          </w:p>
        </w:tc>
      </w:tr>
      <w:tr w:rsidR="00E65D2A" w:rsidRPr="00010CE7" w14:paraId="45C2A1AA" w14:textId="77777777" w:rsidTr="00C9796D">
        <w:trPr>
          <w:trHeight w:val="60"/>
        </w:trPr>
        <w:tc>
          <w:tcPr>
            <w:tcW w:w="9350" w:type="dxa"/>
            <w:tcBorders>
              <w:top w:val="single" w:sz="6" w:space="0" w:color="E5E5E5"/>
            </w:tcBorders>
          </w:tcPr>
          <w:p w14:paraId="5830087E" w14:textId="77777777" w:rsidR="00E65D2A" w:rsidRPr="00010CE7" w:rsidRDefault="00E65D2A" w:rsidP="00C9796D">
            <w:pPr>
              <w:spacing w:line="300" w:lineRule="auto"/>
              <w:jc w:val="both"/>
              <w:rPr>
                <w:rFonts w:ascii="Helvetica" w:hAnsi="Helvetica"/>
                <w:color w:val="1A1A1A"/>
              </w:rPr>
            </w:pPr>
          </w:p>
        </w:tc>
      </w:tr>
    </w:tbl>
    <w:p w14:paraId="5F5A2711" w14:textId="508146BB" w:rsidR="00E65D2A" w:rsidRDefault="00DD446C" w:rsidP="00E65D2A">
      <w:pPr>
        <w:spacing w:after="0"/>
        <w:rPr>
          <w:rFonts w:ascii="Helvetica" w:hAnsi="Helvetica"/>
          <w:color w:val="1A1A1A"/>
        </w:rPr>
      </w:pPr>
      <w:r w:rsidRPr="00DD446C">
        <w:rPr>
          <w:rFonts w:ascii="Helvetica" w:hAnsi="Helvetica"/>
          <w:color w:val="1A1A1A"/>
        </w:rPr>
        <w:t>In a live M&amp;A process, the buyer will usually anchor on the most conservative financial view they can defend. If your intangible assets are only explained verbally, they become easy to discount. You must structure the evidence before diligence begins.</w:t>
      </w:r>
    </w:p>
    <w:p w14:paraId="6CB85AAA" w14:textId="77777777" w:rsidR="00DD446C" w:rsidRPr="00E65D2A" w:rsidRDefault="00DD446C" w:rsidP="00E65D2A">
      <w:pPr>
        <w:spacing w:after="0"/>
        <w:rPr>
          <w:rFonts w:ascii="Helvetica" w:hAnsi="Helvetica"/>
          <w:color w:val="1A1A1A"/>
        </w:rPr>
      </w:pPr>
    </w:p>
    <w:p w14:paraId="0E38609C" w14:textId="77777777" w:rsidR="00E65D2A" w:rsidRDefault="00E65D2A" w:rsidP="00E65D2A">
      <w:pPr>
        <w:spacing w:after="0"/>
        <w:rPr>
          <w:rFonts w:ascii="Helvetica" w:hAnsi="Helvetica"/>
          <w:color w:val="1A1A1A"/>
        </w:rPr>
      </w:pPr>
      <w:r w:rsidRPr="00E65D2A">
        <w:rPr>
          <w:rFonts w:ascii="Helvetica" w:hAnsi="Helvetica"/>
          <w:color w:val="1A1A1A"/>
        </w:rPr>
        <w:t>That instinct may be right, but it needs structure. In a live process, the buyer will usually anchor on the most conservative financial view they can defend. They may normalise EBITDA, challenge revenue quality, apply a discount for customer concentration, or exclude value drivers that are not properly evidenced. If your intangible assets are only explained verbally, they become easy to discount.</w:t>
      </w:r>
    </w:p>
    <w:p w14:paraId="3FF545C3" w14:textId="77777777" w:rsidR="00E65D2A" w:rsidRPr="00E65D2A" w:rsidRDefault="00E65D2A" w:rsidP="00E65D2A">
      <w:pPr>
        <w:spacing w:after="0"/>
        <w:rPr>
          <w:rFonts w:ascii="Helvetica" w:hAnsi="Helvetica"/>
          <w:color w:val="1A1A1A"/>
        </w:rPr>
      </w:pPr>
    </w:p>
    <w:p w14:paraId="23DF0190" w14:textId="77777777" w:rsidR="00E65D2A" w:rsidRPr="00E65D2A" w:rsidRDefault="00E65D2A" w:rsidP="00E65D2A">
      <w:pPr>
        <w:spacing w:after="0"/>
        <w:rPr>
          <w:rFonts w:ascii="Helvetica" w:hAnsi="Helvetica"/>
          <w:color w:val="1A1A1A"/>
        </w:rPr>
      </w:pPr>
      <w:r w:rsidRPr="00E65D2A">
        <w:rPr>
          <w:rFonts w:ascii="Helvetica" w:hAnsi="Helvetica"/>
          <w:color w:val="1A1A1A"/>
        </w:rPr>
        <w:t>When founders enter a process prepared, the conversation changes. The buyer sees a valuation report that separates the financial component from the intangible asset component. Each asset is supported by evidence. The methodology is explained. The value bridge is visible. The total enterprise value is substantiated, not asserted.</w:t>
      </w:r>
    </w:p>
    <w:p w14:paraId="7D18AD78" w14:textId="77777777" w:rsidR="00E65D2A" w:rsidRDefault="00E65D2A" w:rsidP="00E65D2A">
      <w:pPr>
        <w:spacing w:after="0"/>
        <w:rPr>
          <w:rFonts w:ascii="Helvetica" w:hAnsi="Helvetica"/>
          <w:color w:val="1A1A1A"/>
        </w:rPr>
      </w:pPr>
    </w:p>
    <w:p w14:paraId="0756FAFD" w14:textId="3D1535ED" w:rsidR="00814CCF" w:rsidRPr="00DD446C" w:rsidRDefault="00E65D2A" w:rsidP="00DD446C">
      <w:pPr>
        <w:spacing w:after="0"/>
        <w:rPr>
          <w:rFonts w:ascii="Helvetica" w:hAnsi="Helvetica"/>
          <w:color w:val="1A1A1A"/>
        </w:rPr>
      </w:pPr>
      <w:r w:rsidRPr="00E65D2A">
        <w:rPr>
          <w:rFonts w:ascii="Helvetica" w:hAnsi="Helvetica"/>
          <w:color w:val="1A1A1A"/>
        </w:rPr>
        <w:t>This does not guarantee a higher offer. No valuation report can do that. But it gives the seller a stronger basis to defend value, respond to buyer pushback, and enter negotiations with a clearer understanding of what has actually been built.</w:t>
      </w:r>
    </w:p>
    <w:p w14:paraId="68B59FAB" w14:textId="13EFA661" w:rsidR="000A5A0F"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E65D2A">
        <w:rPr>
          <w:rFonts w:ascii="Helvetica" w:hAnsi="Helvetica"/>
          <w:color w:val="1A1A1A"/>
          <w:sz w:val="20"/>
          <w:szCs w:val="20"/>
        </w:rPr>
        <w:t>6</w:t>
      </w:r>
    </w:p>
    <w:p w14:paraId="194543C6"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4025D4C1" w14:textId="05397859" w:rsidR="00350144" w:rsidRPr="00010CE7" w:rsidRDefault="00C12B5F" w:rsidP="00010CE7">
      <w:pPr>
        <w:pStyle w:val="Heading2"/>
        <w:spacing w:before="0" w:after="0" w:line="240" w:lineRule="auto"/>
        <w:jc w:val="both"/>
        <w:rPr>
          <w:rFonts w:ascii="Helvetica" w:hAnsi="Helvetica"/>
          <w:color w:val="174C3C"/>
          <w:sz w:val="40"/>
          <w:szCs w:val="40"/>
        </w:rPr>
      </w:pPr>
      <w:r w:rsidRPr="00C12B5F">
        <w:rPr>
          <w:rFonts w:ascii="Helvetica" w:hAnsi="Helvetica"/>
          <w:color w:val="174C3C"/>
          <w:sz w:val="40"/>
          <w:szCs w:val="40"/>
        </w:rPr>
        <w:t>What to Do Next</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7646"/>
        <w:gridCol w:w="10"/>
      </w:tblGrid>
      <w:tr w:rsidR="00350144" w:rsidRPr="00010CE7" w14:paraId="245ED114" w14:textId="77777777" w:rsidTr="00D25791">
        <w:trPr>
          <w:gridAfter w:val="1"/>
          <w:wAfter w:w="10" w:type="dxa"/>
        </w:trPr>
        <w:tc>
          <w:tcPr>
            <w:tcW w:w="9350" w:type="dxa"/>
            <w:gridSpan w:val="2"/>
            <w:tcBorders>
              <w:bottom w:val="single" w:sz="6" w:space="0" w:color="E5E5E5"/>
            </w:tcBorders>
          </w:tcPr>
          <w:p w14:paraId="065FCD97" w14:textId="77777777" w:rsidR="00350144" w:rsidRPr="00010CE7" w:rsidRDefault="00350144" w:rsidP="00010CE7">
            <w:pPr>
              <w:spacing w:line="300" w:lineRule="auto"/>
              <w:jc w:val="both"/>
              <w:rPr>
                <w:rFonts w:ascii="Helvetica" w:hAnsi="Helvetica"/>
                <w:color w:val="1A1A1A"/>
              </w:rPr>
            </w:pPr>
          </w:p>
        </w:tc>
      </w:tr>
      <w:tr w:rsidR="00350144" w:rsidRPr="00010CE7" w14:paraId="47073425" w14:textId="77777777" w:rsidTr="00D25791">
        <w:trPr>
          <w:gridAfter w:val="1"/>
          <w:wAfter w:w="10" w:type="dxa"/>
          <w:trHeight w:val="60"/>
        </w:trPr>
        <w:tc>
          <w:tcPr>
            <w:tcW w:w="9350" w:type="dxa"/>
            <w:gridSpan w:val="2"/>
            <w:tcBorders>
              <w:top w:val="single" w:sz="6" w:space="0" w:color="E5E5E5"/>
            </w:tcBorders>
          </w:tcPr>
          <w:p w14:paraId="6487C115" w14:textId="77777777" w:rsidR="0025713E" w:rsidRPr="00010CE7" w:rsidRDefault="0025713E" w:rsidP="00010CE7">
            <w:pPr>
              <w:spacing w:line="300" w:lineRule="auto"/>
              <w:jc w:val="both"/>
              <w:rPr>
                <w:rFonts w:ascii="Helvetica" w:hAnsi="Helvetica"/>
                <w:color w:val="1A1A1A"/>
              </w:rPr>
            </w:pPr>
          </w:p>
        </w:tc>
      </w:tr>
      <w:tr w:rsidR="00436FFF" w:rsidRPr="00010CE7" w14:paraId="5B985A16" w14:textId="77777777" w:rsidTr="00387FE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440622AE"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1</w:t>
            </w:r>
          </w:p>
        </w:tc>
        <w:tc>
          <w:tcPr>
            <w:tcW w:w="7656" w:type="dxa"/>
            <w:gridSpan w:val="2"/>
            <w:tcBorders>
              <w:top w:val="nil"/>
              <w:left w:val="nil"/>
              <w:bottom w:val="nil"/>
              <w:right w:val="nil"/>
            </w:tcBorders>
            <w:shd w:val="clear" w:color="auto" w:fill="F7F5F2"/>
            <w:vAlign w:val="center"/>
          </w:tcPr>
          <w:p w14:paraId="157293D1" w14:textId="77777777" w:rsidR="00814CCF" w:rsidRPr="00814CCF" w:rsidRDefault="00814CCF" w:rsidP="00010CE7">
            <w:pPr>
              <w:spacing w:line="300" w:lineRule="auto"/>
              <w:rPr>
                <w:rFonts w:ascii="Helvetica" w:hAnsi="Helvetica"/>
                <w:b/>
                <w:color w:val="1A1A1A"/>
              </w:rPr>
            </w:pPr>
            <w:r w:rsidRPr="00814CCF">
              <w:rPr>
                <w:rFonts w:ascii="Helvetica" w:hAnsi="Helvetica"/>
                <w:b/>
                <w:color w:val="1A1A1A"/>
              </w:rPr>
              <w:t xml:space="preserve">Build your asset map. </w:t>
            </w:r>
          </w:p>
          <w:p w14:paraId="0F737691" w14:textId="1DC7CF90" w:rsidR="00436FFF" w:rsidRPr="00C12B5F" w:rsidRDefault="00814CCF" w:rsidP="00010CE7">
            <w:pPr>
              <w:spacing w:line="300" w:lineRule="auto"/>
              <w:rPr>
                <w:rFonts w:ascii="Helvetica" w:hAnsi="Helvetica"/>
                <w:bCs/>
                <w:color w:val="1A1A1A"/>
              </w:rPr>
            </w:pPr>
            <w:r w:rsidRPr="00814CCF">
              <w:rPr>
                <w:rFonts w:ascii="Helvetica" w:hAnsi="Helvetica"/>
                <w:bCs/>
                <w:color w:val="1A1A1A"/>
              </w:rPr>
              <w:t>List every asset your business has built that does not show up clearly in your financial statements. Start with brand, customer relationships, software, data, intellectual property, contracts, and repeatable operating processes.</w:t>
            </w:r>
          </w:p>
        </w:tc>
      </w:tr>
      <w:tr w:rsidR="00436FFF" w:rsidRPr="00010CE7" w14:paraId="3F8D860B" w14:textId="77777777" w:rsidTr="00D257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7EC4EDC8"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2</w:t>
            </w:r>
          </w:p>
        </w:tc>
        <w:tc>
          <w:tcPr>
            <w:tcW w:w="7656" w:type="dxa"/>
            <w:gridSpan w:val="2"/>
            <w:tcBorders>
              <w:top w:val="nil"/>
              <w:left w:val="nil"/>
              <w:bottom w:val="nil"/>
              <w:right w:val="nil"/>
            </w:tcBorders>
            <w:shd w:val="clear" w:color="auto" w:fill="FFFFFF" w:themeFill="background1"/>
            <w:vAlign w:val="center"/>
          </w:tcPr>
          <w:p w14:paraId="1F7892FE" w14:textId="77777777" w:rsidR="00814CCF" w:rsidRPr="00814CCF" w:rsidRDefault="00814CCF" w:rsidP="00010CE7">
            <w:pPr>
              <w:spacing w:line="300" w:lineRule="auto"/>
              <w:rPr>
                <w:rFonts w:ascii="Helvetica" w:hAnsi="Helvetica"/>
                <w:b/>
                <w:color w:val="1A1A1A"/>
              </w:rPr>
            </w:pPr>
            <w:r w:rsidRPr="00814CCF">
              <w:rPr>
                <w:rFonts w:ascii="Helvetica" w:hAnsi="Helvetica"/>
                <w:b/>
                <w:color w:val="1A1A1A"/>
              </w:rPr>
              <w:t xml:space="preserve">Gather existing evidence. </w:t>
            </w:r>
          </w:p>
          <w:p w14:paraId="193C7627" w14:textId="0E370249" w:rsidR="00436FFF" w:rsidRPr="00C12B5F" w:rsidRDefault="00814CCF" w:rsidP="00010CE7">
            <w:pPr>
              <w:spacing w:line="300" w:lineRule="auto"/>
              <w:rPr>
                <w:rFonts w:ascii="Helvetica" w:hAnsi="Helvetica"/>
                <w:bCs/>
                <w:color w:val="1A1A1A"/>
              </w:rPr>
            </w:pPr>
            <w:r w:rsidRPr="00814CCF">
              <w:rPr>
                <w:rFonts w:ascii="Helvetica" w:hAnsi="Helvetica"/>
                <w:bCs/>
                <w:color w:val="1A1A1A"/>
              </w:rPr>
              <w:t xml:space="preserve">Pull together customer data, renewal records, technical documentation, brand materials, contract files, IP registrations, pricing history, and process documentation. </w:t>
            </w:r>
          </w:p>
        </w:tc>
      </w:tr>
      <w:tr w:rsidR="00436FFF" w:rsidRPr="00010CE7" w14:paraId="3787CA54" w14:textId="77777777" w:rsidTr="00387FE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335C1F9A"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3</w:t>
            </w:r>
          </w:p>
        </w:tc>
        <w:tc>
          <w:tcPr>
            <w:tcW w:w="7656" w:type="dxa"/>
            <w:gridSpan w:val="2"/>
            <w:tcBorders>
              <w:top w:val="nil"/>
              <w:left w:val="nil"/>
              <w:bottom w:val="nil"/>
              <w:right w:val="nil"/>
            </w:tcBorders>
            <w:shd w:val="clear" w:color="auto" w:fill="F7F5F2"/>
            <w:vAlign w:val="center"/>
          </w:tcPr>
          <w:p w14:paraId="6D543ABD" w14:textId="77777777" w:rsidR="00814CCF" w:rsidRPr="00814CCF" w:rsidRDefault="00814CCF" w:rsidP="00010CE7">
            <w:pPr>
              <w:spacing w:line="300" w:lineRule="auto"/>
              <w:rPr>
                <w:rFonts w:ascii="Helvetica" w:hAnsi="Helvetica"/>
                <w:b/>
                <w:color w:val="1A1A1A"/>
              </w:rPr>
            </w:pPr>
            <w:r w:rsidRPr="00814CCF">
              <w:rPr>
                <w:rFonts w:ascii="Helvetica" w:hAnsi="Helvetica"/>
                <w:b/>
                <w:color w:val="1A1A1A"/>
              </w:rPr>
              <w:t xml:space="preserve">Identify the strongest valuation candidates. </w:t>
            </w:r>
          </w:p>
          <w:p w14:paraId="3F72F0AC" w14:textId="2537EB8D" w:rsidR="00436FFF" w:rsidRPr="00C12B5F" w:rsidRDefault="00814CCF" w:rsidP="00010CE7">
            <w:pPr>
              <w:spacing w:line="300" w:lineRule="auto"/>
              <w:rPr>
                <w:rFonts w:ascii="Helvetica" w:hAnsi="Helvetica"/>
                <w:bCs/>
                <w:color w:val="1A1A1A"/>
              </w:rPr>
            </w:pPr>
            <w:r w:rsidRPr="00814CCF">
              <w:rPr>
                <w:rFonts w:ascii="Helvetica" w:hAnsi="Helvetica"/>
                <w:bCs/>
                <w:color w:val="1A1A1A"/>
              </w:rPr>
              <w:t>Look for assets that clearly influence revenue, margin, customer retention, pricing power, operational efficiency, or competitive defensibility. These are the assets most likely to matter in a future valuation discussion.</w:t>
            </w:r>
          </w:p>
        </w:tc>
      </w:tr>
      <w:tr w:rsidR="00DD446C" w:rsidRPr="00010CE7" w14:paraId="457099EF" w14:textId="77777777" w:rsidTr="00527C4E">
        <w:trPr>
          <w:gridAfter w:val="1"/>
          <w:wAfter w:w="10" w:type="dxa"/>
        </w:trPr>
        <w:tc>
          <w:tcPr>
            <w:tcW w:w="9350" w:type="dxa"/>
            <w:gridSpan w:val="2"/>
          </w:tcPr>
          <w:p w14:paraId="521331F6" w14:textId="77777777" w:rsidR="00DD446C" w:rsidRPr="00010CE7" w:rsidRDefault="00DD446C" w:rsidP="00527C4E">
            <w:pPr>
              <w:spacing w:line="300" w:lineRule="auto"/>
              <w:jc w:val="both"/>
              <w:rPr>
                <w:rFonts w:ascii="Helvetica" w:hAnsi="Helvetica"/>
                <w:color w:val="1A1A1A"/>
              </w:rPr>
            </w:pPr>
          </w:p>
        </w:tc>
      </w:tr>
      <w:tr w:rsidR="00DD446C" w:rsidRPr="00010CE7" w14:paraId="05166FC9" w14:textId="77777777" w:rsidTr="00527C4E">
        <w:trPr>
          <w:gridAfter w:val="1"/>
          <w:wAfter w:w="10" w:type="dxa"/>
          <w:trHeight w:val="60"/>
        </w:trPr>
        <w:tc>
          <w:tcPr>
            <w:tcW w:w="9350" w:type="dxa"/>
            <w:gridSpan w:val="2"/>
          </w:tcPr>
          <w:p w14:paraId="0BCE516D" w14:textId="77777777" w:rsidR="00DD446C" w:rsidRPr="00010CE7" w:rsidRDefault="00DD446C" w:rsidP="00527C4E">
            <w:pPr>
              <w:spacing w:line="300" w:lineRule="auto"/>
              <w:jc w:val="both"/>
              <w:rPr>
                <w:rFonts w:ascii="Helvetica" w:hAnsi="Helvetica"/>
                <w:color w:val="1A1A1A"/>
              </w:rPr>
            </w:pPr>
          </w:p>
        </w:tc>
      </w:tr>
    </w:tbl>
    <w:p w14:paraId="335E4564" w14:textId="77777777" w:rsidR="006467A4" w:rsidRDefault="006467A4" w:rsidP="006467A4">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Pr>
          <w:rFonts w:ascii="Helvetica" w:hAnsi="Helvetica"/>
          <w:color w:val="1A1A1A"/>
          <w:sz w:val="20"/>
          <w:szCs w:val="20"/>
        </w:rPr>
        <w:t>7</w:t>
      </w:r>
    </w:p>
    <w:p w14:paraId="4298E764" w14:textId="77777777" w:rsidR="006467A4" w:rsidRPr="00010CE7" w:rsidRDefault="006467A4" w:rsidP="006467A4">
      <w:pPr>
        <w:spacing w:after="0" w:line="300" w:lineRule="auto"/>
      </w:pPr>
    </w:p>
    <w:p w14:paraId="7EF1CDE7" w14:textId="37595A41" w:rsidR="006467A4" w:rsidRPr="00010CE7" w:rsidRDefault="00DD446C" w:rsidP="006467A4">
      <w:pPr>
        <w:pStyle w:val="Heading2"/>
        <w:spacing w:before="0" w:after="0" w:line="240" w:lineRule="auto"/>
        <w:jc w:val="both"/>
        <w:rPr>
          <w:rFonts w:ascii="Helvetica" w:hAnsi="Helvetica"/>
          <w:color w:val="174C3C"/>
          <w:sz w:val="40"/>
          <w:szCs w:val="40"/>
        </w:rPr>
      </w:pPr>
      <w:r w:rsidRPr="00DD446C">
        <w:rPr>
          <w:rFonts w:ascii="Helvetica" w:hAnsi="Helvetica"/>
          <w:color w:val="174C3C"/>
          <w:sz w:val="40"/>
          <w:szCs w:val="40"/>
        </w:rPr>
        <w:t>Ready to defend your exit 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467A4" w:rsidRPr="00010CE7" w14:paraId="2E19480D" w14:textId="77777777" w:rsidTr="00C9796D">
        <w:tc>
          <w:tcPr>
            <w:tcW w:w="9350" w:type="dxa"/>
            <w:tcBorders>
              <w:bottom w:val="single" w:sz="6" w:space="0" w:color="E5E5E5"/>
            </w:tcBorders>
          </w:tcPr>
          <w:p w14:paraId="1D750A4F" w14:textId="77777777" w:rsidR="006467A4" w:rsidRPr="00010CE7" w:rsidRDefault="006467A4" w:rsidP="00C9796D">
            <w:pPr>
              <w:spacing w:line="300" w:lineRule="auto"/>
              <w:jc w:val="both"/>
              <w:rPr>
                <w:rFonts w:ascii="Helvetica" w:hAnsi="Helvetica"/>
                <w:color w:val="1A1A1A"/>
              </w:rPr>
            </w:pPr>
          </w:p>
        </w:tc>
      </w:tr>
      <w:tr w:rsidR="006467A4" w:rsidRPr="00010CE7" w14:paraId="321A5489" w14:textId="77777777" w:rsidTr="00C9796D">
        <w:trPr>
          <w:trHeight w:val="60"/>
        </w:trPr>
        <w:tc>
          <w:tcPr>
            <w:tcW w:w="9350" w:type="dxa"/>
            <w:tcBorders>
              <w:top w:val="single" w:sz="6" w:space="0" w:color="E5E5E5"/>
            </w:tcBorders>
          </w:tcPr>
          <w:p w14:paraId="1AEDDBEA" w14:textId="77777777" w:rsidR="006467A4" w:rsidRPr="00010CE7" w:rsidRDefault="006467A4" w:rsidP="00C9796D">
            <w:pPr>
              <w:spacing w:line="300" w:lineRule="auto"/>
              <w:jc w:val="both"/>
              <w:rPr>
                <w:rFonts w:ascii="Helvetica" w:hAnsi="Helvetica"/>
                <w:color w:val="1A1A1A"/>
              </w:rPr>
            </w:pPr>
          </w:p>
        </w:tc>
      </w:tr>
    </w:tbl>
    <w:p w14:paraId="2F4A1FDD" w14:textId="10B86CEA" w:rsidR="006467A4" w:rsidRPr="00010CE7" w:rsidRDefault="00DD446C" w:rsidP="006467A4">
      <w:pPr>
        <w:spacing w:after="0" w:line="300" w:lineRule="auto"/>
        <w:jc w:val="both"/>
        <w:rPr>
          <w:rFonts w:ascii="Helvetica" w:hAnsi="Helvetica"/>
          <w:color w:val="1A1A1A"/>
        </w:rPr>
      </w:pPr>
      <w:r w:rsidRPr="00DD446C">
        <w:rPr>
          <w:rFonts w:ascii="Helvetica" w:hAnsi="Helvetica"/>
          <w:color w:val="1A1A1A"/>
        </w:rPr>
        <w:t>We will review your asset map, identify which intangibles are most likely to add to your valuation story, and scope the formal valuation work needed before you enter negotiations.</w:t>
      </w:r>
      <w:r>
        <w:rPr>
          <w:rFonts w:ascii="Helvetica" w:hAnsi="Helvetica"/>
          <w:color w:val="1A1A1A"/>
        </w:rPr>
        <w:t xml:space="preserve"> </w:t>
      </w:r>
      <w:r w:rsidR="006467A4" w:rsidRPr="00010CE7">
        <w:rPr>
          <w:rFonts w:ascii="Helvetica" w:hAnsi="Helvetica"/>
          <w:color w:val="1A1A1A"/>
        </w:rPr>
        <w:t xml:space="preserve">Book a call with Bain Squared </w:t>
      </w:r>
      <w:hyperlink r:id="rId7" w:history="1">
        <w:r w:rsidR="006467A4" w:rsidRPr="00010CE7">
          <w:rPr>
            <w:rStyle w:val="Hyperlink"/>
            <w:rFonts w:ascii="Helvetica" w:hAnsi="Helvetica"/>
          </w:rPr>
          <w:t>here</w:t>
        </w:r>
      </w:hyperlink>
      <w:r w:rsidR="006467A4" w:rsidRPr="00010CE7">
        <w:rPr>
          <w:rFonts w:ascii="Helvetica" w:hAnsi="Helvetica"/>
          <w:color w:val="1A1A1A"/>
        </w:rPr>
        <w:t>.</w:t>
      </w:r>
    </w:p>
    <w:p w14:paraId="09CC5783" w14:textId="77777777" w:rsidR="00031859" w:rsidRPr="00010CE7" w:rsidRDefault="00031859" w:rsidP="00010CE7">
      <w:pPr>
        <w:spacing w:after="0" w:line="300" w:lineRule="auto"/>
        <w:jc w:val="both"/>
        <w:rPr>
          <w:rFonts w:ascii="Helvetica" w:hAnsi="Helvetica"/>
          <w:color w:val="1A1A1A"/>
        </w:rPr>
      </w:pPr>
    </w:p>
    <w:sectPr w:rsidR="00031859" w:rsidRPr="00010CE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7909F" w14:textId="77777777" w:rsidR="003815C8" w:rsidRDefault="003815C8" w:rsidP="000A5A0F">
      <w:pPr>
        <w:spacing w:after="0" w:line="240" w:lineRule="auto"/>
      </w:pPr>
      <w:r>
        <w:separator/>
      </w:r>
    </w:p>
  </w:endnote>
  <w:endnote w:type="continuationSeparator" w:id="0">
    <w:p w14:paraId="4B7F0EE0" w14:textId="77777777" w:rsidR="003815C8" w:rsidRDefault="003815C8" w:rsidP="000A5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629" w14:textId="77777777" w:rsidR="001100F8" w:rsidRPr="001100F8" w:rsidRDefault="001100F8" w:rsidP="001100F8">
    <w:pPr>
      <w:pBdr>
        <w:top w:val="single" w:sz="4" w:space="6" w:color="CCCCCC"/>
      </w:pBdr>
      <w:tabs>
        <w:tab w:val="right" w:pos="9000"/>
      </w:tabs>
      <w:rPr>
        <w:rFonts w:ascii="Helvetica" w:hAnsi="Helvetica"/>
        <w:color w:val="1A1A1A"/>
        <w:sz w:val="32"/>
        <w:szCs w:val="32"/>
      </w:rPr>
    </w:pPr>
    <w:r w:rsidRPr="001100F8">
      <w:rPr>
        <w:rFonts w:ascii="Arial" w:eastAsia="Arial" w:hAnsi="Arial" w:cs="Arial"/>
        <w:color w:val="808080" w:themeColor="background1" w:themeShade="80"/>
        <w:sz w:val="16"/>
        <w:szCs w:val="16"/>
      </w:rPr>
      <w:t>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D3DA" w14:textId="00C44D75" w:rsidR="001100F8" w:rsidRPr="00031859" w:rsidRDefault="001100F8" w:rsidP="001100F8">
    <w:pPr>
      <w:pBdr>
        <w:top w:val="single" w:sz="4" w:space="6" w:color="CCCCCC"/>
      </w:pBdr>
      <w:tabs>
        <w:tab w:val="right" w:pos="9000"/>
      </w:tabs>
      <w:rPr>
        <w:rFonts w:ascii="Helvetica" w:hAnsi="Helvetica"/>
        <w:color w:val="1A1A1A"/>
        <w:sz w:val="16"/>
        <w:szCs w:val="16"/>
      </w:rPr>
    </w:pPr>
    <w:r w:rsidRPr="00031859">
      <w:rPr>
        <w:rFonts w:ascii="Helvetica" w:eastAsia="Arial" w:hAnsi="Helvetica" w:cs="Arial"/>
        <w:color w:val="1A1A1A"/>
        <w:sz w:val="16"/>
        <w:szCs w:val="16"/>
      </w:rPr>
      <w:t>2</w:t>
    </w:r>
    <w:r w:rsidR="00031859" w:rsidRPr="00031859">
      <w:rPr>
        <w:rFonts w:ascii="Helvetica" w:eastAsia="Arial" w:hAnsi="Helvetica" w:cs="Arial"/>
        <w:color w:val="1A1A1A"/>
        <w:sz w:val="16"/>
        <w:szCs w:val="16"/>
      </w:rPr>
      <w:t>02</w:t>
    </w:r>
    <w:r w:rsidRPr="00031859">
      <w:rPr>
        <w:rFonts w:ascii="Helvetica" w:eastAsia="Arial" w:hAnsi="Helvetica" w:cs="Arial"/>
        <w:color w:val="1A1A1A"/>
        <w:sz w:val="16"/>
        <w:szCs w:val="16"/>
      </w:rPr>
      <w:t xml:space="preserve">6 Bain Squared | </w:t>
    </w:r>
    <w:hyperlink r:id="rId1" w:history="1">
      <w:r w:rsidRPr="00031859">
        <w:rPr>
          <w:rStyle w:val="Hyperlink"/>
          <w:rFonts w:ascii="Helvetica" w:eastAsia="Arial" w:hAnsi="Helvetica" w:cs="Arial"/>
          <w:color w:val="1A1A1A"/>
          <w:sz w:val="16"/>
          <w:szCs w:val="16"/>
        </w:rPr>
        <w:t>www.bainsquared.com</w:t>
      </w:r>
    </w:hyperlink>
    <w:r w:rsidRPr="00031859">
      <w:rPr>
        <w:rFonts w:ascii="Helvetica" w:eastAsia="Arial" w:hAnsi="Helvetica" w:cs="Arial"/>
        <w:color w:val="1A1A1A"/>
        <w:sz w:val="16"/>
        <w:szCs w:val="16"/>
      </w:rPr>
      <w:t xml:space="preserve"> </w:t>
    </w:r>
    <w:r w:rsidRPr="00031859">
      <w:rPr>
        <w:rFonts w:ascii="Helvetica" w:eastAsia="Arial" w:hAnsi="Helvetica" w:cs="Arial"/>
        <w:color w:val="1A1A1A"/>
        <w:sz w:val="16"/>
        <w:szCs w:val="16"/>
      </w:rPr>
      <w:tab/>
      <w:t xml:space="preserve">Page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PAGE</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w:t>
    </w:r>
    <w:r w:rsidRPr="00031859">
      <w:rPr>
        <w:rFonts w:ascii="Helvetica" w:eastAsia="Arial" w:hAnsi="Helvetica" w:cs="Arial"/>
        <w:color w:val="1A1A1A"/>
        <w:sz w:val="16"/>
        <w:szCs w:val="16"/>
      </w:rPr>
      <w:fldChar w:fldCharType="end"/>
    </w:r>
    <w:r w:rsidRPr="00031859">
      <w:rPr>
        <w:rFonts w:ascii="Helvetica" w:eastAsia="Arial" w:hAnsi="Helvetica" w:cs="Arial"/>
        <w:color w:val="1A1A1A"/>
        <w:sz w:val="16"/>
        <w:szCs w:val="16"/>
      </w:rPr>
      <w:t xml:space="preserve"> of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NUMPAGES</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16</w:t>
    </w:r>
    <w:r w:rsidRPr="00031859">
      <w:rPr>
        <w:rFonts w:ascii="Helvetica" w:eastAsia="Arial" w:hAnsi="Helvetica" w:cs="Arial"/>
        <w:color w:val="1A1A1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6C5D9" w14:textId="77777777" w:rsidR="006467A4" w:rsidRDefault="006467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BF9B1" w14:textId="77777777" w:rsidR="003815C8" w:rsidRDefault="003815C8" w:rsidP="000A5A0F">
      <w:pPr>
        <w:spacing w:after="0" w:line="240" w:lineRule="auto"/>
      </w:pPr>
      <w:r>
        <w:separator/>
      </w:r>
    </w:p>
  </w:footnote>
  <w:footnote w:type="continuationSeparator" w:id="0">
    <w:p w14:paraId="349664F1" w14:textId="77777777" w:rsidR="003815C8" w:rsidRDefault="003815C8" w:rsidP="000A5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2B56" w14:textId="77777777" w:rsidR="000A5A0F" w:rsidRDefault="000A5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2B1C" w14:textId="16AFF0C3" w:rsidR="00031859" w:rsidRPr="00031859" w:rsidRDefault="00C12B5F" w:rsidP="00031859">
    <w:pPr>
      <w:pBdr>
        <w:bottom w:val="single" w:sz="4" w:space="6" w:color="CCCCCC"/>
      </w:pBdr>
      <w:tabs>
        <w:tab w:val="right" w:pos="9000"/>
      </w:tabs>
      <w:jc w:val="right"/>
      <w:rPr>
        <w:rFonts w:ascii="Helvetica" w:hAnsi="Helvetica"/>
        <w:color w:val="1A1A1A"/>
        <w:sz w:val="16"/>
        <w:szCs w:val="16"/>
      </w:rPr>
    </w:pPr>
    <w:r w:rsidRPr="00C12B5F">
      <w:rPr>
        <w:rFonts w:ascii="Helvetica" w:hAnsi="Helvetica"/>
        <w:color w:val="1A1A1A"/>
        <w:sz w:val="16"/>
        <w:szCs w:val="16"/>
      </w:rPr>
      <w:t xml:space="preserve">Intangibles </w:t>
    </w:r>
    <w:r w:rsidR="00031859" w:rsidRPr="00031859">
      <w:rPr>
        <w:rFonts w:ascii="Helvetica" w:hAnsi="Helvetica"/>
        <w:color w:val="1A1A1A"/>
        <w:sz w:val="16"/>
        <w:szCs w:val="16"/>
      </w:rPr>
      <w:t xml:space="preserve">Value Advisory Report: </w:t>
    </w:r>
    <w:r w:rsidR="00E65D2A" w:rsidRPr="00E65D2A">
      <w:rPr>
        <w:rFonts w:ascii="Helvetica" w:hAnsi="Helvetica"/>
        <w:color w:val="1A1A1A"/>
        <w:sz w:val="16"/>
        <w:szCs w:val="16"/>
      </w:rPr>
      <w:t>The M&amp;A and Exit Valuation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283B" w14:textId="77777777" w:rsidR="000A5A0F" w:rsidRDefault="000A5A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5C"/>
    <w:rsid w:val="00010CE7"/>
    <w:rsid w:val="000254D9"/>
    <w:rsid w:val="00031859"/>
    <w:rsid w:val="000426D4"/>
    <w:rsid w:val="000A5A0F"/>
    <w:rsid w:val="000C2FD7"/>
    <w:rsid w:val="000C3301"/>
    <w:rsid w:val="001100F8"/>
    <w:rsid w:val="00164E92"/>
    <w:rsid w:val="00215712"/>
    <w:rsid w:val="0025713E"/>
    <w:rsid w:val="00293358"/>
    <w:rsid w:val="002A3DAD"/>
    <w:rsid w:val="002C145D"/>
    <w:rsid w:val="00350144"/>
    <w:rsid w:val="003815C8"/>
    <w:rsid w:val="00382DC8"/>
    <w:rsid w:val="00387FED"/>
    <w:rsid w:val="00421D46"/>
    <w:rsid w:val="00435F90"/>
    <w:rsid w:val="00436FFF"/>
    <w:rsid w:val="00501D0A"/>
    <w:rsid w:val="00582465"/>
    <w:rsid w:val="005B3A89"/>
    <w:rsid w:val="005F4112"/>
    <w:rsid w:val="005F5D53"/>
    <w:rsid w:val="0060274C"/>
    <w:rsid w:val="006467A4"/>
    <w:rsid w:val="006A7B5C"/>
    <w:rsid w:val="00717C14"/>
    <w:rsid w:val="0073709B"/>
    <w:rsid w:val="00767FA6"/>
    <w:rsid w:val="007D5EEB"/>
    <w:rsid w:val="00814CCF"/>
    <w:rsid w:val="008B4850"/>
    <w:rsid w:val="008E2A6F"/>
    <w:rsid w:val="009429BB"/>
    <w:rsid w:val="00965E5F"/>
    <w:rsid w:val="009B22F9"/>
    <w:rsid w:val="009E58F1"/>
    <w:rsid w:val="00A1627F"/>
    <w:rsid w:val="00A93348"/>
    <w:rsid w:val="00B45EA6"/>
    <w:rsid w:val="00B8020A"/>
    <w:rsid w:val="00C12B5F"/>
    <w:rsid w:val="00D25791"/>
    <w:rsid w:val="00D74AE5"/>
    <w:rsid w:val="00DD446C"/>
    <w:rsid w:val="00E65D2A"/>
    <w:rsid w:val="00E82BCD"/>
    <w:rsid w:val="00E84056"/>
    <w:rsid w:val="00F20E26"/>
    <w:rsid w:val="00F60CE0"/>
    <w:rsid w:val="00FD495A"/>
    <w:rsid w:val="00FF5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C0BD"/>
  <w15:chartTrackingRefBased/>
  <w15:docId w15:val="{5D278724-BBCF-9A41-9D02-B8962BCD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5C"/>
    <w:rPr>
      <w:rFonts w:eastAsiaTheme="majorEastAsia" w:cstheme="majorBidi"/>
      <w:color w:val="272727" w:themeColor="text1" w:themeTint="D8"/>
    </w:rPr>
  </w:style>
  <w:style w:type="paragraph" w:styleId="Title">
    <w:name w:val="Title"/>
    <w:basedOn w:val="Normal"/>
    <w:next w:val="Normal"/>
    <w:link w:val="TitleChar"/>
    <w:uiPriority w:val="10"/>
    <w:qFormat/>
    <w:rsid w:val="006A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5C"/>
    <w:pPr>
      <w:spacing w:before="160"/>
      <w:jc w:val="center"/>
    </w:pPr>
    <w:rPr>
      <w:i/>
      <w:iCs/>
      <w:color w:val="404040" w:themeColor="text1" w:themeTint="BF"/>
    </w:rPr>
  </w:style>
  <w:style w:type="character" w:customStyle="1" w:styleId="QuoteChar">
    <w:name w:val="Quote Char"/>
    <w:basedOn w:val="DefaultParagraphFont"/>
    <w:link w:val="Quote"/>
    <w:uiPriority w:val="29"/>
    <w:rsid w:val="006A7B5C"/>
    <w:rPr>
      <w:i/>
      <w:iCs/>
      <w:color w:val="404040" w:themeColor="text1" w:themeTint="BF"/>
    </w:rPr>
  </w:style>
  <w:style w:type="paragraph" w:styleId="ListParagraph">
    <w:name w:val="List Paragraph"/>
    <w:basedOn w:val="Normal"/>
    <w:uiPriority w:val="34"/>
    <w:qFormat/>
    <w:rsid w:val="006A7B5C"/>
    <w:pPr>
      <w:ind w:left="720"/>
      <w:contextualSpacing/>
    </w:pPr>
  </w:style>
  <w:style w:type="character" w:styleId="IntenseEmphasis">
    <w:name w:val="Intense Emphasis"/>
    <w:basedOn w:val="DefaultParagraphFont"/>
    <w:uiPriority w:val="21"/>
    <w:qFormat/>
    <w:rsid w:val="006A7B5C"/>
    <w:rPr>
      <w:i/>
      <w:iCs/>
      <w:color w:val="0F4761" w:themeColor="accent1" w:themeShade="BF"/>
    </w:rPr>
  </w:style>
  <w:style w:type="paragraph" w:styleId="IntenseQuote">
    <w:name w:val="Intense Quote"/>
    <w:basedOn w:val="Normal"/>
    <w:next w:val="Normal"/>
    <w:link w:val="IntenseQuoteChar"/>
    <w:uiPriority w:val="30"/>
    <w:qFormat/>
    <w:rsid w:val="006A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B5C"/>
    <w:rPr>
      <w:i/>
      <w:iCs/>
      <w:color w:val="0F4761" w:themeColor="accent1" w:themeShade="BF"/>
    </w:rPr>
  </w:style>
  <w:style w:type="character" w:styleId="IntenseReference">
    <w:name w:val="Intense Reference"/>
    <w:basedOn w:val="DefaultParagraphFont"/>
    <w:uiPriority w:val="32"/>
    <w:qFormat/>
    <w:rsid w:val="006A7B5C"/>
    <w:rPr>
      <w:b/>
      <w:bCs/>
      <w:smallCaps/>
      <w:color w:val="0F4761" w:themeColor="accent1" w:themeShade="BF"/>
      <w:spacing w:val="5"/>
    </w:rPr>
  </w:style>
  <w:style w:type="table" w:styleId="TableGrid">
    <w:name w:val="Table Grid"/>
    <w:basedOn w:val="TableNormal"/>
    <w:uiPriority w:val="59"/>
    <w:rsid w:val="006A7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F"/>
  </w:style>
  <w:style w:type="paragraph" w:styleId="Footer">
    <w:name w:val="footer"/>
    <w:basedOn w:val="Normal"/>
    <w:link w:val="FooterChar"/>
    <w:uiPriority w:val="99"/>
    <w:unhideWhenUsed/>
    <w:rsid w:val="000A5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F"/>
  </w:style>
  <w:style w:type="character" w:styleId="Hyperlink">
    <w:name w:val="Hyperlink"/>
    <w:basedOn w:val="DefaultParagraphFont"/>
    <w:uiPriority w:val="99"/>
    <w:unhideWhenUsed/>
    <w:rsid w:val="001100F8"/>
    <w:rPr>
      <w:color w:val="467886" w:themeColor="hyperlink"/>
      <w:u w:val="single"/>
    </w:rPr>
  </w:style>
  <w:style w:type="character" w:styleId="UnresolvedMention">
    <w:name w:val="Unresolved Mention"/>
    <w:basedOn w:val="DefaultParagraphFont"/>
    <w:uiPriority w:val="99"/>
    <w:semiHidden/>
    <w:unhideWhenUsed/>
    <w:rsid w:val="00110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cal.com/bain-squared/ia-valuation"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bainsqua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1355</Words>
  <Characters>7726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Tan</dc:creator>
  <cp:keywords/>
  <dc:description/>
  <cp:lastModifiedBy>Nicholas Tan</cp:lastModifiedBy>
  <cp:revision>3</cp:revision>
  <cp:lastPrinted>2026-05-05T08:32:00Z</cp:lastPrinted>
  <dcterms:created xsi:type="dcterms:W3CDTF">2026-05-05T08:32:00Z</dcterms:created>
  <dcterms:modified xsi:type="dcterms:W3CDTF">2026-05-05T08:32:00Z</dcterms:modified>
</cp:coreProperties>
</file>