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Peak Sandwich Collection Weeks</w:t>
      </w:r>
    </w:p>
    <w:p>
      <w:pPr>
        <w:pStyle w:val="Subtitle"/>
      </w:pPr>
      <w:r>
        <w:t>Corrected findings from the production collection log</w:t>
      </w:r>
    </w:p>
    <w:p>
      <w:r>
        <w:t>Reviewed September 28, 2026  |  Completed weeks through September 22, 2026</w:t>
      </w:r>
    </w:p>
    <w:p>
      <w:pPr>
        <w:pStyle w:val="Heading1"/>
      </w:pPr>
      <w:r>
        <w:t>The corrected headline</w:t>
      </w:r>
    </w:p>
    <w:p>
      <w:r>
        <w:t>The largest completed Wednesday-Tuesday week in the current collection records was January 15-21, 2025: 28,927 sandwiches. The supplied draft's 38,828 figure for November 2023 comes from a separate historical weekly-import table, not the current collection-log total.</w:t>
      </w:r>
    </w:p>
    <w:p>
      <w:pPr>
        <w:pStyle w:val="Heading1"/>
      </w:pPr>
      <w:r>
        <w:t>Five highest completed weeks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Wednesday-Tuesday</w:t>
            </w:r>
          </w:p>
        </w:tc>
        <w:tc>
          <w:tcPr>
            <w:tcW w:type="dxa" w:w="2469"/>
          </w:tcPr>
          <w:p>
            <w:r>
              <w:t>Total</w:t>
            </w:r>
          </w:p>
        </w:tc>
        <w:tc>
          <w:tcPr>
            <w:tcW w:type="dxa" w:w="2469"/>
          </w:tcPr>
          <w:p>
            <w:r>
              <w:t>Individual</w:t>
            </w:r>
          </w:p>
        </w:tc>
        <w:tc>
          <w:tcPr>
            <w:tcW w:type="dxa" w:w="2469"/>
          </w:tcPr>
          <w:p>
            <w:r>
              <w:t>Group</w:t>
            </w:r>
          </w:p>
        </w:tc>
      </w:tr>
      <w:tr>
        <w:tc>
          <w:tcPr>
            <w:tcW w:type="dxa" w:w="2469"/>
          </w:tcPr>
          <w:p>
            <w:r>
              <w:t>Jan 15-21, 2025</w:t>
            </w:r>
          </w:p>
        </w:tc>
        <w:tc>
          <w:tcPr>
            <w:tcW w:type="dxa" w:w="2469"/>
          </w:tcPr>
          <w:p>
            <w:r>
              <w:t>28,927</w:t>
            </w:r>
          </w:p>
        </w:tc>
        <w:tc>
          <w:tcPr>
            <w:tcW w:type="dxa" w:w="2469"/>
          </w:tcPr>
          <w:p>
            <w:r>
              <w:t>7,361</w:t>
            </w:r>
          </w:p>
        </w:tc>
        <w:tc>
          <w:tcPr>
            <w:tcW w:type="dxa" w:w="2469"/>
          </w:tcPr>
          <w:p>
            <w:r>
              <w:t>21,566</w:t>
            </w:r>
          </w:p>
        </w:tc>
      </w:tr>
      <w:tr>
        <w:tc>
          <w:tcPr>
            <w:tcW w:type="dxa" w:w="2469"/>
          </w:tcPr>
          <w:p>
            <w:r>
              <w:t>Nov 15-21, 2023</w:t>
            </w:r>
          </w:p>
        </w:tc>
        <w:tc>
          <w:tcPr>
            <w:tcW w:type="dxa" w:w="2469"/>
          </w:tcPr>
          <w:p>
            <w:r>
              <w:t>27,810</w:t>
            </w:r>
          </w:p>
        </w:tc>
        <w:tc>
          <w:tcPr>
            <w:tcW w:type="dxa" w:w="2469"/>
          </w:tcPr>
          <w:p>
            <w:r>
              <w:t>8,136</w:t>
            </w:r>
          </w:p>
        </w:tc>
        <w:tc>
          <w:tcPr>
            <w:tcW w:type="dxa" w:w="2469"/>
          </w:tcPr>
          <w:p>
            <w:r>
              <w:t>19,674</w:t>
            </w:r>
          </w:p>
        </w:tc>
      </w:tr>
      <w:tr>
        <w:tc>
          <w:tcPr>
            <w:tcW w:type="dxa" w:w="2469"/>
          </w:tcPr>
          <w:p>
            <w:r>
              <w:t>Jan 11-17, 2023</w:t>
            </w:r>
          </w:p>
        </w:tc>
        <w:tc>
          <w:tcPr>
            <w:tcW w:type="dxa" w:w="2469"/>
          </w:tcPr>
          <w:p>
            <w:r>
              <w:t>27,132</w:t>
            </w:r>
          </w:p>
        </w:tc>
        <w:tc>
          <w:tcPr>
            <w:tcW w:type="dxa" w:w="2469"/>
          </w:tcPr>
          <w:p>
            <w:r>
              <w:t>5,134</w:t>
            </w:r>
          </w:p>
        </w:tc>
        <w:tc>
          <w:tcPr>
            <w:tcW w:type="dxa" w:w="2469"/>
          </w:tcPr>
          <w:p>
            <w:r>
              <w:t>21,998</w:t>
            </w:r>
          </w:p>
        </w:tc>
      </w:tr>
      <w:tr>
        <w:tc>
          <w:tcPr>
            <w:tcW w:type="dxa" w:w="2469"/>
          </w:tcPr>
          <w:p>
            <w:r>
              <w:t>Jan 14-20, 2026</w:t>
            </w:r>
          </w:p>
        </w:tc>
        <w:tc>
          <w:tcPr>
            <w:tcW w:type="dxa" w:w="2469"/>
          </w:tcPr>
          <w:p>
            <w:r>
              <w:t>24,717</w:t>
            </w:r>
          </w:p>
        </w:tc>
        <w:tc>
          <w:tcPr>
            <w:tcW w:type="dxa" w:w="2469"/>
          </w:tcPr>
          <w:p>
            <w:r>
              <w:t>4,570</w:t>
            </w:r>
          </w:p>
        </w:tc>
        <w:tc>
          <w:tcPr>
            <w:tcW w:type="dxa" w:w="2469"/>
          </w:tcPr>
          <w:p>
            <w:r>
              <w:t>20,147</w:t>
            </w:r>
          </w:p>
        </w:tc>
      </w:tr>
      <w:tr>
        <w:tc>
          <w:tcPr>
            <w:tcW w:type="dxa" w:w="2469"/>
          </w:tcPr>
          <w:p>
            <w:r>
              <w:t>Sep 25-Oct 1, 2024</w:t>
            </w:r>
          </w:p>
        </w:tc>
        <w:tc>
          <w:tcPr>
            <w:tcW w:type="dxa" w:w="2469"/>
          </w:tcPr>
          <w:p>
            <w:r>
              <w:t>24,664</w:t>
            </w:r>
          </w:p>
        </w:tc>
        <w:tc>
          <w:tcPr>
            <w:tcW w:type="dxa" w:w="2469"/>
          </w:tcPr>
          <w:p>
            <w:r>
              <w:t>6,617</w:t>
            </w:r>
          </w:p>
        </w:tc>
        <w:tc>
          <w:tcPr>
            <w:tcW w:type="dxa" w:w="2469"/>
          </w:tcPr>
          <w:p>
            <w:r>
              <w:t>18,047</w:t>
            </w:r>
          </w:p>
        </w:tc>
      </w:tr>
    </w:tbl>
    <w:p>
      <w:r>
        <w:t>Group and individual are recorded categories; both are included in each total.</w:t>
      </w:r>
    </w:p>
    <w:p>
      <w:pPr>
        <w:pStyle w:val="Heading1"/>
      </w:pPr>
      <w:r>
        <w:t>Annual totals from current records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Calendar year</w:t>
            </w:r>
          </w:p>
        </w:tc>
        <w:tc>
          <w:tcPr>
            <w:tcW w:type="dxa" w:w="4939"/>
          </w:tcPr>
          <w:p>
            <w:r>
              <w:t>Sandwiches logged</w:t>
            </w:r>
          </w:p>
        </w:tc>
      </w:tr>
      <w:tr>
        <w:tc>
          <w:tcPr>
            <w:tcW w:type="dxa" w:w="4939"/>
          </w:tcPr>
          <w:p>
            <w:r>
              <w:t>2020*</w:t>
            </w:r>
          </w:p>
        </w:tc>
        <w:tc>
          <w:tcPr>
            <w:tcW w:type="dxa" w:w="4939"/>
          </w:tcPr>
          <w:p>
            <w:r>
              <w:t>44,958</w:t>
            </w:r>
          </w:p>
        </w:tc>
      </w:tr>
      <w:tr>
        <w:tc>
          <w:tcPr>
            <w:tcW w:type="dxa" w:w="4939"/>
          </w:tcPr>
          <w:p>
            <w:r>
              <w:t>2021</w:t>
            </w:r>
          </w:p>
        </w:tc>
        <w:tc>
          <w:tcPr>
            <w:tcW w:type="dxa" w:w="4939"/>
          </w:tcPr>
          <w:p>
            <w:r>
              <w:t>281,395</w:t>
            </w:r>
          </w:p>
        </w:tc>
      </w:tr>
      <w:tr>
        <w:tc>
          <w:tcPr>
            <w:tcW w:type="dxa" w:w="4939"/>
          </w:tcPr>
          <w:p>
            <w:r>
              <w:t>2022</w:t>
            </w:r>
          </w:p>
        </w:tc>
        <w:tc>
          <w:tcPr>
            <w:tcW w:type="dxa" w:w="4939"/>
          </w:tcPr>
          <w:p>
            <w:r>
              <w:t>440,371</w:t>
            </w:r>
          </w:p>
        </w:tc>
      </w:tr>
      <w:tr>
        <w:tc>
          <w:tcPr>
            <w:tcW w:type="dxa" w:w="4939"/>
          </w:tcPr>
          <w:p>
            <w:r>
              <w:t>2023</w:t>
            </w:r>
          </w:p>
        </w:tc>
        <w:tc>
          <w:tcPr>
            <w:tcW w:type="dxa" w:w="4939"/>
          </w:tcPr>
          <w:p>
            <w:r>
              <w:t>473,409</w:t>
            </w:r>
          </w:p>
        </w:tc>
      </w:tr>
      <w:tr>
        <w:tc>
          <w:tcPr>
            <w:tcW w:type="dxa" w:w="4939"/>
          </w:tcPr>
          <w:p>
            <w:r>
              <w:t>2024</w:t>
            </w:r>
          </w:p>
        </w:tc>
        <w:tc>
          <w:tcPr>
            <w:tcW w:type="dxa" w:w="4939"/>
          </w:tcPr>
          <w:p>
            <w:r>
              <w:t>501,856</w:t>
            </w:r>
          </w:p>
        </w:tc>
      </w:tr>
      <w:tr>
        <w:tc>
          <w:tcPr>
            <w:tcW w:type="dxa" w:w="4939"/>
          </w:tcPr>
          <w:p>
            <w:r>
              <w:t>2025</w:t>
            </w:r>
          </w:p>
        </w:tc>
        <w:tc>
          <w:tcPr>
            <w:tcW w:type="dxa" w:w="4939"/>
          </w:tcPr>
          <w:p>
            <w:r>
              <w:t>526,083</w:t>
            </w:r>
          </w:p>
        </w:tc>
      </w:tr>
    </w:tbl>
    <w:p>
      <w:r>
        <w:t>*2020 data starts April 22. 2026 is not a complete year.</w:t>
      </w:r>
    </w:p>
    <w:p>
      <w:pPr>
        <w:pStyle w:val="Heading1"/>
      </w:pPr>
      <w:r>
        <w:t>What the current data supports</w:t>
      </w:r>
    </w:p>
    <w:p>
      <w:pPr>
        <w:pStyle w:val="ListBullet"/>
      </w:pPr>
      <w:r>
        <w:t>2025 was a complete calendar year in this dataset and logged 526,083 sandwiches, 24,227 more than 2024 (+4.8%). The draft's claim of a 2025 decrease is not supported here.</w:t>
      </w:r>
    </w:p>
    <w:p>
      <w:pPr>
        <w:pStyle w:val="ListBullet"/>
      </w:pPr>
      <w:r>
        <w:t>The largest complete month through 2025 was November 2022 (60,082). November 2023 was 54,849 in the collection log, not 65,547.</w:t>
      </w:r>
    </w:p>
    <w:p>
      <w:pPr>
        <w:pStyle w:val="ListBullet"/>
      </w:pPr>
      <w:r>
        <w:t>"Groups" is a collection-log category, not a physical location. Group counts should not be interpreted as a single regional host's production.</w:t>
      </w:r>
    </w:p>
    <w:p>
      <w:r>
        <w:br w:type="page"/>
      </w:r>
    </w:p>
    <w:p>
      <w:pPr>
        <w:pStyle w:val="Heading1"/>
      </w:pPr>
      <w:r>
        <w:t>Corrections to the supplied draft</w:t>
      </w:r>
    </w:p>
    <w:p>
      <w:pPr>
        <w:pStyle w:val="Heading2"/>
      </w:pPr>
      <w:r>
        <w:t>November 2023 record</w:t>
      </w:r>
    </w:p>
    <w:p>
      <w:r>
        <w:t>The draft calls November 15, 2023 a 38,828-sandwich record and attributes 19,414 to a special event. The current collection log totals 27,810 that week (8,136 individual + 19,674 group). It includes a 19,414 entry under "Groups"; the log does not establish that it was one special event.</w:t>
      </w:r>
    </w:p>
    <w:p>
      <w:pPr>
        <w:pStyle w:val="Heading2"/>
      </w:pPr>
      <w:r>
        <w:t>Conflicting historical source</w:t>
      </w:r>
    </w:p>
    <w:p>
      <w:r>
        <w:t>The separate authoritative_weekly_collections import has 38,828 for November 15, 2023, including an additional 11,278 legacy group bucket. That bucket is not a separate entry in the current collection log. Do not add the two tables together or mix their weekly rankings.</w:t>
      </w:r>
    </w:p>
    <w:p>
      <w:pPr>
        <w:pStyle w:val="Heading2"/>
      </w:pPr>
      <w:r>
        <w:t>September 2024 week</w:t>
      </w:r>
    </w:p>
    <w:p>
      <w:r>
        <w:t>September 25-October 1, 2024 totals 24,664 in current collection records, not the draft's 24,534. It is fifth, not the all-time record, in this source.</w:t>
      </w:r>
    </w:p>
    <w:p>
      <w:pPr>
        <w:pStyle w:val="Heading2"/>
      </w:pPr>
      <w:r>
        <w:t>Events, seasonality and value</w:t>
      </w:r>
    </w:p>
    <w:p>
      <w:r>
        <w:t>The log alone cannot establish hurricane response, holiday strategy, volunteer retention, demand, organization-wide surge capacity, or dollar value. The draft's claims about these were removed instead of restated as facts.</w:t>
      </w:r>
    </w:p>
    <w:p>
      <w:pPr>
        <w:pStyle w:val="Heading1"/>
      </w:pPr>
      <w:r>
        <w:t>How these numbers were calculated</w:t>
      </w:r>
    </w:p>
    <w:p>
      <w:pPr>
        <w:pStyle w:val="ListBullet"/>
      </w:pPr>
      <w:r>
        <w:t>Source: production sandwich_collections table; non-deleted records with collection_date from April 22, 2020 through September 22, 2026. The ongoing September 23-29 week is excluded from peak-week rankings.</w:t>
      </w:r>
    </w:p>
    <w:p>
      <w:pPr>
        <w:pStyle w:val="ListBullet"/>
      </w:pPr>
      <w:r>
        <w:t>Week boundaries are Wednesday through Tuesday, assigned by collection_date (when the sandwiches were collected), not the date the entry was submitted.</w:t>
      </w:r>
    </w:p>
    <w:p>
      <w:pPr>
        <w:pStyle w:val="ListBullet"/>
      </w:pPr>
      <w:r>
        <w:t>Each record contributes individual_sandwiches plus group counts from group_collections. If the JSON group list is empty, use legacy group1_count and group2_count instead; never add both representations. String-encoded JSON group lists are parsed before summing. Soft-deleted entries are excluded.</w:t>
      </w:r>
    </w:p>
    <w:p>
      <w:pPr>
        <w:pStyle w:val="ListBullet"/>
      </w:pPr>
      <w:r>
        <w:t>Calendar-year and monthly sums use collection_date, not the week-start date. 2020 begins with the first recorded April collection; 2026 is incomplete and is not used in full-year comparisons.</w:t>
      </w:r>
    </w:p>
    <w:p>
      <w:pPr>
        <w:pStyle w:val="ListBullet"/>
      </w:pPr>
      <w:r>
        <w:t>These are totals as recorded, not an independent audit of deliveries. Some categorization issues may still need correction by the team. The separate historical-import table gives different totals and is not silently substituted for collection records in this report.</w:t>
      </w:r>
    </w:p>
    <w:p>
      <w:r>
        <w:t>Data source: production database, read-only review on September 28, 2026. No collection records were edited to prepare this report.</w:t>
      </w:r>
    </w:p>
    <w:sectPr w:rsidR="00FC693F" w:rsidRPr="0006063C" w:rsidSect="00034616">
      <w:footerReference w:type="default" r:id="rId9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The Sandwich Project  |  Data-verified revision  | 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C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C5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93C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