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8" w:space="1"/>
        </w:pBdr>
        <w:spacing w:after="80"/>
      </w:pPr>
      <w:r>
        <w:rPr>
          <w:sz w:val="2"/>
          <w:szCs w:val="2"/>
        </w:rPr>
        <w:t xml:space="preserve"/>
      </w:r>
    </w:p>
    <w:p>
      <w:pPr>
        <w:spacing w:after="40"/>
      </w:pPr>
      <w:r>
        <w:rPr>
          <w:rFonts w:ascii="Calibri" w:cs="Calibri" w:eastAsia="Calibri" w:hAnsi="Calibri"/>
          <w:b/>
          <w:bCs/>
          <w:color w:val="2E7D7D"/>
          <w:spacing w:val="30"/>
          <w:sz w:val="18"/>
          <w:szCs w:val="18"/>
        </w:rPr>
        <w:t xml:space="preserve">LITERATURE REVIEW · PIC   |   SLOT 1</w:t>
      </w:r>
    </w:p>
    <w:p>
      <w:pPr>
        <w:spacing w:after="60"/>
      </w:pPr>
      <w:r>
        <w:rPr>
          <w:rFonts w:ascii="Calibri" w:cs="Calibri" w:eastAsia="Calibri" w:hAnsi="Calibri"/>
          <w:b/>
          <w:bCs/>
          <w:color w:val="1F3864"/>
          <w:sz w:val="32"/>
          <w:szCs w:val="32"/>
        </w:rPr>
        <w:t xml:space="preserve">AMR burden — Global burden of bacterial antimicrobial resistance, 2019</w:t>
      </w:r>
    </w:p>
    <w:p>
      <w:pPr>
        <w:pBdr>
          <w:bottom w:val="single" w:color="2E7D7D" w:sz="6" w:space="6"/>
        </w:pBdr>
        <w:spacing w:after="60"/>
      </w:pPr>
      <w:r>
        <w:rPr>
          <w:rFonts w:ascii="Calibri" w:cs="Calibri" w:eastAsia="Calibri" w:hAnsi="Calibri"/>
          <w:i/>
          <w:iCs/>
          <w:color w:val="595959"/>
          <w:sz w:val="18"/>
          <w:szCs w:val="18"/>
        </w:rPr>
        <w:t xml:space="preserve">Antimicrobial Resistance Collaborators (Murray CJL, et al.). Global burden of bacterial antimicrobial resistance in 2019: a systematic analysis. The Lancet. 2022;399(10325):629–655.</w:t>
      </w:r>
    </w:p>
    <w:p>
      <w:pPr>
        <w:spacing w:after="50" w:before="140"/>
      </w:pPr>
      <w:r>
        <w:rPr>
          <w:rFonts w:ascii="Calibri" w:cs="Calibri" w:eastAsia="Calibri" w:hAnsi="Calibri"/>
          <w:b/>
          <w:bCs/>
          <w:color w:val="2E7D7D"/>
          <w:sz w:val="23"/>
          <w:szCs w:val="23"/>
        </w:rPr>
        <w:t xml:space="preserve">Summary</w:t>
      </w:r>
    </w:p>
    <w:p>
      <w:pPr>
        <w:spacing w:after="60"/>
        <w:jc w:val="both"/>
      </w:pPr>
      <w:r>
        <w:rPr>
          <w:rFonts w:ascii="Calibri" w:cs="Calibri" w:eastAsia="Calibri" w:hAnsi="Calibri"/>
          <w:b w:val="false"/>
          <w:bCs w:val="false"/>
          <w:color w:val="1A1A1A"/>
          <w:sz w:val="21"/>
          <w:szCs w:val="21"/>
        </w:rPr>
        <w:t xml:space="preserve">The first comprehensive global estimate of the bacterial AMR burden. Using predictive models across 204 countries and territories and drawing on roughly 471 million individual or isolate records, the study estimated that in 2019 about 1.27 million deaths were directly attributable to bacterial AMR and 4.95 million deaths were associated with it — placing AMR among the leading causes of death worldwide, ahead of HIV/AIDS and malaria. The burden was highest in western sub-Saharan Africa (27.3 attributable deaths per 100,000) and lowest in Australasia. Six pathogens (E. coli, S. aureus, K. pneumoniae, S. pneumoniae, A. baumannii, P. aeruginosa) drove most resistance-associated deaths, and lower respiratory infections were the single most burdensome syndrome.</w:t>
      </w:r>
    </w:p>
    <w:p>
      <w:pPr>
        <w:spacing w:after="50" w:before="140"/>
      </w:pPr>
      <w:r>
        <w:rPr>
          <w:rFonts w:ascii="Calibri" w:cs="Calibri" w:eastAsia="Calibri" w:hAnsi="Calibri"/>
          <w:b/>
          <w:bCs/>
          <w:color w:val="2E7D7D"/>
          <w:sz w:val="23"/>
          <w:szCs w:val="23"/>
        </w:rPr>
        <w:t xml:space="preserve">Why it matters for PIC</w:t>
      </w:r>
    </w:p>
    <w:p>
      <w:pPr>
        <w:spacing w:after="60"/>
        <w:jc w:val="both"/>
      </w:pPr>
      <w:r>
        <w:rPr>
          <w:rFonts w:ascii="Calibri" w:cs="Calibri" w:eastAsia="Calibri" w:hAnsi="Calibri"/>
          <w:b w:val="false"/>
          <w:bCs w:val="false"/>
          <w:color w:val="1A1A1A"/>
          <w:sz w:val="21"/>
          <w:szCs w:val="21"/>
        </w:rPr>
        <w:t xml:space="preserve">It quantifies the problem PIC exists to address: every infection prevented and every antibiotic course spared carries a measurable mortality stake. The headline figures anchor PIC’s prevention-as-stewardship rationale — reducing recurrent infections (RTIs, UTIs) lowers antibiotic exposure, the principal modifiable driver of resistance. The steep LMIC burden gradient also supports targeting preventive interventions where AMR mortality is greatest.</w:t>
      </w:r>
    </w:p>
    <w:p>
      <w:pPr>
        <w:spacing w:after="50" w:before="140"/>
      </w:pPr>
      <w:r>
        <w:rPr>
          <w:rFonts w:ascii="Calibri" w:cs="Calibri" w:eastAsia="Calibri" w:hAnsi="Calibri"/>
          <w:b/>
          <w:bCs/>
          <w:color w:val="2E7D7D"/>
          <w:sz w:val="23"/>
          <w:szCs w:val="23"/>
        </w:rPr>
        <w:t xml:space="preserve">Evidence strength and limitations</w:t>
      </w:r>
    </w:p>
    <w:p>
      <w:pPr>
        <w:spacing w:after="60"/>
        <w:jc w:val="both"/>
      </w:pPr>
      <w:r>
        <w:rPr>
          <w:rFonts w:ascii="Calibri" w:cs="Calibri" w:eastAsia="Calibri" w:hAnsi="Calibri"/>
          <w:b w:val="false"/>
          <w:bCs w:val="false"/>
          <w:color w:val="1A1A1A"/>
          <w:sz w:val="21"/>
          <w:szCs w:val="21"/>
        </w:rPr>
        <w:t xml:space="preserve">Highest-tier evidence for burden estimation: a large collaborative analysis, transparent GBD methodology, and peer review in a leading journal. Limitations are inherent to modelling — wide uncertainty intervals (e.g. 3.62–6.57 million associated deaths), sparse primary microbiology and cause-of-death data across many LMICs, and counterfactual assumptions distinguishing “attributable” from “associated” deaths. It is a single 2019 snapshot; an updated 1990–2021 analysis with forecasts to 2050 has since been published.</w:t>
      </w:r>
    </w:p>
    <w:p>
      <w:pPr>
        <w:spacing w:after="50" w:before="140"/>
      </w:pPr>
      <w:r>
        <w:rPr>
          <w:rFonts w:ascii="Calibri" w:cs="Calibri" w:eastAsia="Calibri" w:hAnsi="Calibri"/>
          <w:b/>
          <w:bCs/>
          <w:color w:val="2E7D7D"/>
          <w:sz w:val="23"/>
          <w:szCs w:val="23"/>
        </w:rPr>
        <w:t xml:space="preserve">Possible use in concept note</w:t>
      </w:r>
    </w:p>
    <w:p>
      <w:pPr>
        <w:spacing w:after="60"/>
        <w:jc w:val="both"/>
      </w:pPr>
      <w:r>
        <w:rPr>
          <w:rFonts w:ascii="Calibri" w:cs="Calibri" w:eastAsia="Calibri" w:hAnsi="Calibri"/>
          <w:b w:val="false"/>
          <w:bCs w:val="false"/>
          <w:color w:val="1A1A1A"/>
          <w:sz w:val="21"/>
          <w:szCs w:val="21"/>
        </w:rPr>
        <w:t xml:space="preserve">Use as the opening problem statement and the central justification figure. Cite the 1.27 million attributable and 4.95 million associated deaths to frame the burden, use the LMIC gradient to justify any geographic focus, and use the “leading cause of death” framing to convey urgency.</w:t>
      </w:r>
    </w:p>
    <w:p>
      <w:pPr>
        <w:pBdr>
          <w:top w:val="single" w:color="1F3864" w:sz="6" w:space="6"/>
        </w:pBdr>
        <w:spacing w:before="160"/>
      </w:pPr>
      <w:r>
        <w:rPr>
          <w:rFonts w:ascii="Calibri" w:cs="Calibri" w:eastAsia="Calibri" w:hAnsi="Calibri"/>
          <w:i/>
          <w:iCs/>
          <w:color w:val="595959"/>
          <w:sz w:val="16"/>
          <w:szCs w:val="16"/>
        </w:rPr>
        <w:t xml:space="preserve">PIC — Prevention in Infection Control  ·  Literature Review evidence card  ·  Prevention-as-stewardship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2026-06-21T15:44:12.427Z</dcterms:created>
  <dcterms:modified xsi:type="dcterms:W3CDTF">2026-06-21T15:44:12.427Z</dcterms:modified>
</cp:coreProperties>
</file>

<file path=docProps/custom.xml><?xml version="1.0" encoding="utf-8"?>
<Properties xmlns="http://schemas.openxmlformats.org/officeDocument/2006/custom-properties" xmlns:vt="http://schemas.openxmlformats.org/officeDocument/2006/docPropsVTypes"/>
</file>