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18" w:space="1"/>
        </w:pBdr>
        <w:spacing w:after="80"/>
      </w:pPr>
      <w:r>
        <w:rPr>
          <w:sz w:val="2"/>
          <w:szCs w:val="2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7D7D"/>
          <w:spacing w:val="30"/>
          <w:sz w:val="18"/>
          <w:szCs w:val="18"/>
        </w:rPr>
        <w:t xml:space="preserve">LITERATURE REVIEW · PIC   |   SLOT 2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Infection prevention and control — WHO global situation analysis</w:t>
      </w:r>
    </w:p>
    <w:p>
      <w:pPr>
        <w:pBdr>
          <w:bottom w:val="single" w:color="2E7D7D" w:sz="6" w:space="6"/>
        </w:pBd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World Health Organization. Global report on infection prevention and control. Geneva: WHO; 2022. (Updated edition: WHO global report on infection prevention and control 2024.)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2E7D7D"/>
          <w:sz w:val="23"/>
          <w:szCs w:val="23"/>
        </w:rPr>
        <w:t xml:space="preserve">Summary</w:t>
      </w:r>
    </w:p>
    <w:p>
      <w:pPr>
        <w:spacing w:after="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WHO’s first global situation analysis of how IPC programmes are implemented, combining scientific literature, country reports and new WHO survey data. Of every 100 hospitalised patients, about 7 in high-income and 15 in low- and middle-income countries acquire at least one health care-associated infection (HAI), and roughly 1 in 10 affected patients dies. HAIs are a major driver of AMR and of sepsis (around 24% of hospital-treated sepsis and close to half of ICU sepsis with organ dysfunction are health care-associated), and mortality is two to three times higher when infections are resistant. Critically, good hand hygiene and other low-cost IPC practices could prevent up to 70% of these infections — yet about half of countries do not fully implement national IPC standards.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2E7D7D"/>
          <w:sz w:val="23"/>
          <w:szCs w:val="23"/>
        </w:rPr>
        <w:t xml:space="preserve">Why it matters for PIC</w:t>
      </w:r>
    </w:p>
    <w:p>
      <w:pPr>
        <w:spacing w:after="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The report positions infection prevention as a primary, cost-effective lever against AMR — the conceptual backbone of PIC’s prevention-as-stewardship framework. The figure that up to 70% of HAIs are preventable is the strongest single argument that prevention reduces antibiotic demand and resistance. It also defines the implementation gap PIC can help close and supports antibiotic-sparing immunomodulation as complementary to core IPC measures.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2E7D7D"/>
          <w:sz w:val="23"/>
          <w:szCs w:val="23"/>
        </w:rPr>
        <w:t xml:space="preserve">Evidence strength and limitations</w:t>
      </w:r>
    </w:p>
    <w:p>
      <w:pPr>
        <w:spacing w:after="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An authoritative WHO synthesis carrying global policy weight and drawing on multiple evidence streams. Limitations: it is a situation analysis rather than a single controlled study; it relies partly on self-reported survey data with uneven country representation; pandemic-era gaps limit pre/post comparison; and HAI figures are hospital-focused, so extrapolation to community and primary-care prevention should be made cautiously.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2E7D7D"/>
          <w:sz w:val="23"/>
          <w:szCs w:val="23"/>
        </w:rPr>
        <w:t xml:space="preserve">Possible use in concept note</w:t>
      </w:r>
    </w:p>
    <w:p>
      <w:pPr>
        <w:spacing w:after="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Use to justify prevention as PIC’s entry point and to situate PIC within the recognised WHO IPC core components. Deploy the 70%-preventable figure and HAI incidence rates to argue cost-effectiveness, and the HAI–AMR link to connect IPC explicitly with stewardship.</w:t>
      </w:r>
    </w:p>
    <w:p>
      <w:pPr>
        <w:pBdr>
          <w:top w:val="single" w:color="1F3864" w:sz="6" w:space="6"/>
        </w:pBdr>
        <w:spacing w:before="16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PIC — Prevention in Infection Control  ·  Literature Review evidence card  ·  Prevention-as-stewardship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2026-06-21T15:44:12.523Z</dcterms:created>
  <dcterms:modified xsi:type="dcterms:W3CDTF">2026-06-21T15:44:12.523Z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