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 5. Statistik Deskriptif Religiositas WVS 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4"/>
        <w:gridCol w:w="2004"/>
        <w:gridCol w:w="957"/>
        <w:gridCol w:w="951"/>
        <w:gridCol w:w="811"/>
        <w:gridCol w:w="851"/>
      </w:tblGrid>
      <w:tr>
        <w:trPr>
          <w:trHeight w:val="66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Variabel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Indikator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Max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Religiositas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Kehadiran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Individu religius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Tuhan Penting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47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Agama Penting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2026-08-19T14:14:37Z</dcterms:modified>
  <cp:category/>
</cp:coreProperties>
</file>