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 6. Statistik Deskriptif Religiositas WVS 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4"/>
        <w:gridCol w:w="2217"/>
        <w:gridCol w:w="957"/>
        <w:gridCol w:w="951"/>
        <w:gridCol w:w="811"/>
        <w:gridCol w:w="851"/>
      </w:tblGrid>
      <w:tr>
        <w:trPr>
          <w:trHeight w:val="66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Variabel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Indikator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Max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Religiositas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Tingkat Kehadiran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Individu religius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Tuhan Penting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647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Agama Penting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2026-08-19T14:14:39Z</dcterms:modified>
  <cp:category/>
</cp:coreProperties>
</file>