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 7. Statistik Deskriptif Religiositas WVS 7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4"/>
        <w:gridCol w:w="2084"/>
        <w:gridCol w:w="957"/>
        <w:gridCol w:w="951"/>
        <w:gridCol w:w="811"/>
        <w:gridCol w:w="851"/>
      </w:tblGrid>
      <w:tr>
        <w:trPr>
          <w:trHeight w:val="66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Variabel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Indikator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Max</w:t>
            </w:r>
          </w:p>
        </w:tc>
      </w:tr>
      <w:tr>
        <w:trPr>
          <w:trHeight w:val="632" w:hRule="auto"/>
        </w:trPr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Religiositas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Kehadiran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Agama Penting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Tuhan Penting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</w:tr>
      <w:tr>
        <w:trPr>
          <w:trHeight w:val="647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Individu Religius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2026-08-19T14:14:40Z</dcterms:modified>
  <cp:category/>
</cp:coreProperties>
</file>