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8. Analisis Regresi Pengaruh Pendidikan terhadap Religiositas WVS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3"/>
        <w:gridCol w:w="1371"/>
        <w:gridCol w:w="1477"/>
        <w:gridCol w:w="1811"/>
        <w:gridCol w:w="1171"/>
        <w:gridCol w:w="1011"/>
      </w:tblGrid>
      <w:tr>
        <w:trPr>
          <w:trHeight w:val="66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Koefisien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CI (95%)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Signif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0.747 – 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***</w:t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-0.034 – 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3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-0.02 – 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64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Sarjana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-0.018 – 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= 0.002; Adjusted R² = -0.003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2026-08-19T14:14:42Z</dcterms:modified>
  <cp:category/>
</cp:coreProperties>
</file>