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 10. Analisis Regresi Pengaruh Pendidikan terhadap Religiositas WVS 7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23"/>
        <w:gridCol w:w="1371"/>
        <w:gridCol w:w="1477"/>
        <w:gridCol w:w="1891"/>
        <w:gridCol w:w="1171"/>
        <w:gridCol w:w="1011"/>
      </w:tblGrid>
      <w:tr>
        <w:trPr>
          <w:trHeight w:val="66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Variabel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Koefisien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CI (95%)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Signif</w:t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0.788 – 0.8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***</w:t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-0.016 – 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-0.021 – 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**</w:t>
            </w:r>
          </w:p>
        </w:tc>
      </w:tr>
      <w:tr>
        <w:trPr>
          <w:trHeight w:val="64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Sarjana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-0.026 – -0.003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 = 0.004; Adjusted R² = 0.003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2026-08-19T14:14:46Z</dcterms:modified>
  <cp:category/>
</cp:coreProperties>
</file>