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coding sequence for eGFP was obtained from NCBI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https://www.ncbi.nlm.nih.gov/protein/AAB02572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script converts both coding sequences and cDNA sequences to mRNA sequence. It then uses ViennaRNA to predict the secondary structure of the mRNA and rna-tools to generate the secondary structure visualization which is stored in the rna_seq_ss.ps file that is generated.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eGFP, the structure generated has a minimum free energy of -254.60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TERC-201, the structure generated has a minimum free energy of -262.50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rotein/AAB02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