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BF5D5" w14:textId="0531E9E5" w:rsidR="00CF4E97" w:rsidRDefault="00D60CA7" w:rsidP="00D60CA7">
      <w:pPr>
        <w:pStyle w:val="Title"/>
      </w:pPr>
      <w:r w:rsidRPr="00D60CA7">
        <w:t>IL&amp;FS Collapse: Early Warning Signals through Financial Analysis</w:t>
      </w:r>
    </w:p>
    <w:p w14:paraId="1B3D1755" w14:textId="2A5DCC3E" w:rsidR="00D60CA7" w:rsidRDefault="00AE3F02" w:rsidP="00AE3F02">
      <w:pPr>
        <w:pStyle w:val="Heading1"/>
      </w:pPr>
      <w:r>
        <w:t xml:space="preserve">1.  </w:t>
      </w:r>
      <w:r w:rsidR="00D60CA7" w:rsidRPr="00D60CA7">
        <w:t>Introduction</w:t>
      </w:r>
    </w:p>
    <w:p w14:paraId="69EE1240" w14:textId="6B714109" w:rsidR="00AE3F02" w:rsidRDefault="00AE3F02" w:rsidP="00AE3F02">
      <w:r>
        <w:t xml:space="preserve">IL&amp;FS Financial Services Limited (IFIN), a systemically important NBFC registered with the RBI, played a key role in infrastructure financing and capital market activities in India. Despite being rated </w:t>
      </w:r>
      <w:r w:rsidRPr="00AE3F02">
        <w:t>AAA/A1+</w:t>
      </w:r>
      <w:r>
        <w:t>, the company defaulted in 2018, triggering a systemic liquidity crisis across the NBFC sector.</w:t>
      </w:r>
    </w:p>
    <w:p w14:paraId="6D3EFEE8" w14:textId="052177FD" w:rsidR="00AE3F02" w:rsidRDefault="00AE3F02" w:rsidP="00AE3F02">
      <w:r>
        <w:t>This raises a critical question:</w:t>
      </w:r>
      <w:r>
        <w:br/>
      </w:r>
      <w:r w:rsidRPr="00AE3F02">
        <w:rPr>
          <w:b/>
          <w:bCs/>
        </w:rPr>
        <w:t>Could the collapse have been predicted using financial data?</w:t>
      </w:r>
    </w:p>
    <w:p w14:paraId="28BECD94" w14:textId="77777777" w:rsidR="00A14375" w:rsidRPr="00D60CA7" w:rsidRDefault="00A14375" w:rsidP="00A14375">
      <w:pPr>
        <w:pStyle w:val="Heading2"/>
      </w:pPr>
      <w:r w:rsidRPr="00D60CA7">
        <w:t xml:space="preserve">What happened in 2018 </w:t>
      </w:r>
    </w:p>
    <w:p w14:paraId="7D247F3D" w14:textId="77777777" w:rsidR="00AE3F02" w:rsidRPr="00AE3F02" w:rsidRDefault="00AE3F02" w:rsidP="00AE3F02">
      <w:pPr>
        <w:numPr>
          <w:ilvl w:val="0"/>
          <w:numId w:val="12"/>
        </w:numPr>
      </w:pPr>
      <w:r w:rsidRPr="00AE3F02">
        <w:t xml:space="preserve">Failure to maintain capital adequacy and regulatory norms </w:t>
      </w:r>
    </w:p>
    <w:p w14:paraId="7C3247F5" w14:textId="77777777" w:rsidR="00AE3F02" w:rsidRPr="00AE3F02" w:rsidRDefault="00AE3F02" w:rsidP="00AE3F02">
      <w:pPr>
        <w:numPr>
          <w:ilvl w:val="0"/>
          <w:numId w:val="12"/>
        </w:numPr>
      </w:pPr>
      <w:r w:rsidRPr="00AE3F02">
        <w:t xml:space="preserve">Breach of exposure and lending limits </w:t>
      </w:r>
    </w:p>
    <w:p w14:paraId="2FFF8B80" w14:textId="77777777" w:rsidR="00AE3F02" w:rsidRPr="00AE3F02" w:rsidRDefault="00AE3F02" w:rsidP="00AE3F02">
      <w:pPr>
        <w:numPr>
          <w:ilvl w:val="0"/>
          <w:numId w:val="12"/>
        </w:numPr>
      </w:pPr>
      <w:r w:rsidRPr="00AE3F02">
        <w:t xml:space="preserve">Default on debt obligations exceeding ₹94,000 crore </w:t>
      </w:r>
    </w:p>
    <w:p w14:paraId="79976CF6" w14:textId="77777777" w:rsidR="00AE3F02" w:rsidRPr="00AE3F02" w:rsidRDefault="00AE3F02" w:rsidP="00AE3F02">
      <w:pPr>
        <w:numPr>
          <w:ilvl w:val="0"/>
          <w:numId w:val="12"/>
        </w:numPr>
      </w:pPr>
      <w:r w:rsidRPr="00AE3F02">
        <w:t xml:space="preserve">Sudden downgrade from AAA to D </w:t>
      </w:r>
    </w:p>
    <w:p w14:paraId="413C13CD" w14:textId="77777777" w:rsidR="00AE3F02" w:rsidRPr="00AE3F02" w:rsidRDefault="00AE3F02" w:rsidP="00AE3F02">
      <w:r w:rsidRPr="00AE3F02">
        <w:t xml:space="preserve">The Board was restructured and the company was classified as a </w:t>
      </w:r>
      <w:r w:rsidRPr="00AE3F02">
        <w:rPr>
          <w:b/>
          <w:bCs/>
        </w:rPr>
        <w:t>“RED entity”</w:t>
      </w:r>
      <w:r w:rsidRPr="00AE3F02">
        <w:t>.</w:t>
      </w:r>
    </w:p>
    <w:p w14:paraId="63B4D48F" w14:textId="77777777" w:rsidR="00D60CA7" w:rsidRDefault="00D60CA7" w:rsidP="000C0C4E">
      <w:pPr>
        <w:pStyle w:val="Heading2"/>
      </w:pPr>
      <w:r w:rsidRPr="00D60CA7">
        <w:t>Why this case matters</w:t>
      </w:r>
    </w:p>
    <w:p w14:paraId="3537CC29" w14:textId="5450883C" w:rsidR="008D742D" w:rsidRPr="008D742D" w:rsidRDefault="008D742D" w:rsidP="008D742D">
      <w:pPr>
        <w:numPr>
          <w:ilvl w:val="0"/>
          <w:numId w:val="12"/>
        </w:numPr>
      </w:pPr>
      <w:r w:rsidRPr="008D742D">
        <w:t xml:space="preserve">One of India’s largest NBFC failures </w:t>
      </w:r>
      <w:r>
        <w:t>– considered as India’s Lehman brothers’</w:t>
      </w:r>
    </w:p>
    <w:p w14:paraId="38A00BAC" w14:textId="186E9C26" w:rsidR="008D742D" w:rsidRPr="008D742D" w:rsidRDefault="008D742D" w:rsidP="008D742D">
      <w:pPr>
        <w:numPr>
          <w:ilvl w:val="0"/>
          <w:numId w:val="12"/>
        </w:numPr>
      </w:pPr>
      <w:r w:rsidRPr="008D742D">
        <w:t xml:space="preserve">Strong institutional backing (LIC, PSU exposure) </w:t>
      </w:r>
      <w:r>
        <w:t>– too big to fail sentiment</w:t>
      </w:r>
    </w:p>
    <w:p w14:paraId="6EECA9F6" w14:textId="16955397" w:rsidR="008D742D" w:rsidRPr="008D742D" w:rsidRDefault="008D742D" w:rsidP="008D742D">
      <w:pPr>
        <w:numPr>
          <w:ilvl w:val="0"/>
          <w:numId w:val="12"/>
        </w:numPr>
      </w:pPr>
      <w:r w:rsidRPr="008D742D">
        <w:t xml:space="preserve">Contagion impact on banks, mutual funds, and debt markets </w:t>
      </w:r>
      <w:r>
        <w:t>– House finance companies impacted, DHFL crisis unfolded</w:t>
      </w:r>
    </w:p>
    <w:p w14:paraId="08413277" w14:textId="340BD329" w:rsidR="008D742D" w:rsidRPr="008D742D" w:rsidRDefault="008D742D" w:rsidP="008D742D">
      <w:pPr>
        <w:numPr>
          <w:ilvl w:val="0"/>
          <w:numId w:val="12"/>
        </w:numPr>
      </w:pPr>
      <w:r w:rsidRPr="008D742D">
        <w:t xml:space="preserve">Highlighted weaknesses in: </w:t>
      </w:r>
    </w:p>
    <w:p w14:paraId="4839A884" w14:textId="77777777" w:rsidR="008D742D" w:rsidRPr="008D742D" w:rsidRDefault="008D742D" w:rsidP="008D742D">
      <w:pPr>
        <w:numPr>
          <w:ilvl w:val="1"/>
          <w:numId w:val="12"/>
        </w:numPr>
      </w:pPr>
      <w:r w:rsidRPr="008D742D">
        <w:t xml:space="preserve">Risk management </w:t>
      </w:r>
    </w:p>
    <w:p w14:paraId="6702AD03" w14:textId="77777777" w:rsidR="008D742D" w:rsidRPr="008D742D" w:rsidRDefault="008D742D" w:rsidP="008D742D">
      <w:pPr>
        <w:numPr>
          <w:ilvl w:val="1"/>
          <w:numId w:val="12"/>
        </w:numPr>
      </w:pPr>
      <w:r w:rsidRPr="008D742D">
        <w:t xml:space="preserve">Credit rating systems </w:t>
      </w:r>
    </w:p>
    <w:p w14:paraId="6CB43CDB" w14:textId="77777777" w:rsidR="008D742D" w:rsidRDefault="008D742D" w:rsidP="008D742D">
      <w:pPr>
        <w:numPr>
          <w:ilvl w:val="1"/>
          <w:numId w:val="12"/>
        </w:numPr>
      </w:pPr>
      <w:r w:rsidRPr="008D742D">
        <w:t>Governance</w:t>
      </w:r>
    </w:p>
    <w:p w14:paraId="1ADB29D7" w14:textId="7FEE9FC4" w:rsidR="008D742D" w:rsidRPr="008D742D" w:rsidRDefault="008D742D" w:rsidP="008D742D">
      <w:pPr>
        <w:numPr>
          <w:ilvl w:val="1"/>
          <w:numId w:val="12"/>
        </w:numPr>
      </w:pPr>
      <w:r>
        <w:t>Negligence on part of statutory auditors (Deloitte Haskins LLP) and rating agencies (CARE, India ratings (Fitch))</w:t>
      </w:r>
    </w:p>
    <w:p w14:paraId="398D78DD" w14:textId="71D857C4" w:rsidR="00D60CA7" w:rsidRDefault="00D60CA7" w:rsidP="00D60CA7">
      <w:pPr>
        <w:pStyle w:val="Heading1"/>
      </w:pPr>
      <w:r w:rsidRPr="00D60CA7">
        <w:t>2. Objective</w:t>
      </w:r>
    </w:p>
    <w:p w14:paraId="04664E12" w14:textId="7B95B7CB" w:rsidR="00D60CA7" w:rsidRDefault="00D60CA7" w:rsidP="00D60CA7">
      <w:r w:rsidRPr="00D60CA7">
        <w:t xml:space="preserve">To identify early warning signals of financial distress using financial ratios and build a composite risk </w:t>
      </w:r>
      <w:r w:rsidR="008D742D">
        <w:t xml:space="preserve"> score</w:t>
      </w:r>
      <w:r w:rsidRPr="00D60CA7">
        <w:t>.</w:t>
      </w:r>
    </w:p>
    <w:p w14:paraId="15B536AD" w14:textId="05E188F0" w:rsidR="00D60CA7" w:rsidRDefault="005F5DC2" w:rsidP="005F5DC2">
      <w:pPr>
        <w:pStyle w:val="Heading1"/>
      </w:pPr>
      <w:r w:rsidRPr="005F5DC2">
        <w:lastRenderedPageBreak/>
        <w:t>3.</w:t>
      </w:r>
      <w:r>
        <w:t xml:space="preserve"> </w:t>
      </w:r>
      <w:r w:rsidR="00D60CA7" w:rsidRPr="00D60CA7">
        <w:t>Methodology</w:t>
      </w:r>
    </w:p>
    <w:p w14:paraId="6EE944C6" w14:textId="77777777" w:rsidR="008D742D" w:rsidRDefault="008D742D" w:rsidP="00B40688">
      <w:pPr>
        <w:pStyle w:val="Heading2"/>
        <w:rPr>
          <w:rFonts w:asciiTheme="minorHAnsi" w:eastAsiaTheme="minorHAnsi" w:hAnsiTheme="minorHAnsi" w:cstheme="minorBidi"/>
          <w:color w:val="auto"/>
          <w:sz w:val="22"/>
          <w:szCs w:val="22"/>
        </w:rPr>
      </w:pPr>
      <w:r w:rsidRPr="008D742D">
        <w:rPr>
          <w:rFonts w:asciiTheme="minorHAnsi" w:eastAsiaTheme="minorHAnsi" w:hAnsiTheme="minorHAnsi" w:cstheme="minorBidi"/>
          <w:color w:val="auto"/>
          <w:sz w:val="22"/>
          <w:szCs w:val="22"/>
        </w:rPr>
        <w:t xml:space="preserve">A </w:t>
      </w:r>
      <w:r w:rsidRPr="008D742D">
        <w:rPr>
          <w:rFonts w:asciiTheme="minorHAnsi" w:eastAsiaTheme="minorHAnsi" w:hAnsiTheme="minorHAnsi" w:cstheme="minorBidi"/>
          <w:b/>
          <w:bCs/>
          <w:color w:val="auto"/>
          <w:sz w:val="22"/>
          <w:szCs w:val="22"/>
        </w:rPr>
        <w:t>data-driven financial analysis</w:t>
      </w:r>
      <w:r w:rsidRPr="008D742D">
        <w:rPr>
          <w:rFonts w:asciiTheme="minorHAnsi" w:eastAsiaTheme="minorHAnsi" w:hAnsiTheme="minorHAnsi" w:cstheme="minorBidi"/>
          <w:color w:val="auto"/>
          <w:sz w:val="22"/>
          <w:szCs w:val="22"/>
        </w:rPr>
        <w:t xml:space="preserve"> was conducted using annual report data (2013–2018).</w:t>
      </w:r>
    </w:p>
    <w:p w14:paraId="4256CB59" w14:textId="3FC08AFA" w:rsidR="00B40688" w:rsidRDefault="008D742D" w:rsidP="00B40688">
      <w:pPr>
        <w:pStyle w:val="Heading2"/>
      </w:pPr>
      <w:r>
        <w:t>Key risk indicators</w:t>
      </w:r>
    </w:p>
    <w:tbl>
      <w:tblPr>
        <w:tblStyle w:val="TableGridLight"/>
        <w:tblW w:w="0" w:type="auto"/>
        <w:tblLook w:val="04A0" w:firstRow="1" w:lastRow="0" w:firstColumn="1" w:lastColumn="0" w:noHBand="0" w:noVBand="1"/>
      </w:tblPr>
      <w:tblGrid>
        <w:gridCol w:w="1788"/>
        <w:gridCol w:w="3787"/>
        <w:gridCol w:w="3441"/>
      </w:tblGrid>
      <w:tr w:rsidR="00B40688" w:rsidRPr="00B40688" w14:paraId="0F89EC92" w14:textId="77777777" w:rsidTr="00050084">
        <w:tc>
          <w:tcPr>
            <w:tcW w:w="0" w:type="auto"/>
          </w:tcPr>
          <w:p w14:paraId="5B9AB344" w14:textId="536EBD9F" w:rsidR="00B40688" w:rsidRPr="00E52A69" w:rsidRDefault="00050084" w:rsidP="00E52A69">
            <w:pPr>
              <w:jc w:val="center"/>
              <w:rPr>
                <w:b/>
                <w:bCs/>
              </w:rPr>
            </w:pPr>
            <w:r>
              <w:rPr>
                <w:b/>
                <w:bCs/>
              </w:rPr>
              <w:t>Indicators</w:t>
            </w:r>
          </w:p>
        </w:tc>
        <w:tc>
          <w:tcPr>
            <w:tcW w:w="3787" w:type="dxa"/>
          </w:tcPr>
          <w:p w14:paraId="58DC25EC" w14:textId="2C4DBD4D" w:rsidR="00B40688" w:rsidRPr="00E52A69" w:rsidRDefault="00B40688" w:rsidP="00E52A69">
            <w:pPr>
              <w:jc w:val="center"/>
              <w:rPr>
                <w:b/>
                <w:bCs/>
              </w:rPr>
            </w:pPr>
            <w:r w:rsidRPr="00E52A69">
              <w:rPr>
                <w:b/>
                <w:bCs/>
              </w:rPr>
              <w:t>Me</w:t>
            </w:r>
            <w:r w:rsidR="00050084">
              <w:rPr>
                <w:b/>
                <w:bCs/>
              </w:rPr>
              <w:t>tric used</w:t>
            </w:r>
          </w:p>
        </w:tc>
        <w:tc>
          <w:tcPr>
            <w:tcW w:w="3441" w:type="dxa"/>
          </w:tcPr>
          <w:p w14:paraId="10A7C6FF" w14:textId="2123EE19" w:rsidR="00B40688" w:rsidRPr="00E52A69" w:rsidRDefault="00B40688" w:rsidP="00E52A69">
            <w:pPr>
              <w:jc w:val="center"/>
              <w:rPr>
                <w:b/>
                <w:bCs/>
              </w:rPr>
            </w:pPr>
            <w:r w:rsidRPr="00E52A69">
              <w:rPr>
                <w:b/>
                <w:bCs/>
              </w:rPr>
              <w:t>Interpretation</w:t>
            </w:r>
          </w:p>
        </w:tc>
      </w:tr>
      <w:tr w:rsidR="00B40688" w:rsidRPr="00B40688" w14:paraId="2177151D" w14:textId="77777777" w:rsidTr="00050084">
        <w:tc>
          <w:tcPr>
            <w:tcW w:w="0" w:type="auto"/>
          </w:tcPr>
          <w:p w14:paraId="39455EE7" w14:textId="614A4D06" w:rsidR="00B40688" w:rsidRPr="00B40688" w:rsidRDefault="00B40688" w:rsidP="00B40688">
            <w:r w:rsidRPr="00B40688">
              <w:t>Leverage</w:t>
            </w:r>
          </w:p>
        </w:tc>
        <w:tc>
          <w:tcPr>
            <w:tcW w:w="3787" w:type="dxa"/>
          </w:tcPr>
          <w:p w14:paraId="355690CC" w14:textId="4CDA8DED" w:rsidR="00B40688" w:rsidRPr="00B40688" w:rsidRDefault="00B40688" w:rsidP="00B40688">
            <w:r w:rsidRPr="00B40688">
              <w:t>Debt/Equity</w:t>
            </w:r>
          </w:p>
        </w:tc>
        <w:tc>
          <w:tcPr>
            <w:tcW w:w="3441" w:type="dxa"/>
          </w:tcPr>
          <w:p w14:paraId="54FDA385" w14:textId="23390199" w:rsidR="00B40688" w:rsidRPr="00B40688" w:rsidRDefault="00B40688" w:rsidP="00B40688">
            <w:r w:rsidRPr="00B40688">
              <w:t>Measures dependence on borrowed funds. Higher values indicate weaker financial resilience.</w:t>
            </w:r>
          </w:p>
        </w:tc>
      </w:tr>
      <w:tr w:rsidR="00B40688" w:rsidRPr="00B40688" w14:paraId="223FF537" w14:textId="77777777" w:rsidTr="00050084">
        <w:tc>
          <w:tcPr>
            <w:tcW w:w="0" w:type="auto"/>
          </w:tcPr>
          <w:p w14:paraId="7071AD4F" w14:textId="58A3F24A" w:rsidR="00B40688" w:rsidRPr="00B40688" w:rsidRDefault="00B40688" w:rsidP="00B40688">
            <w:r w:rsidRPr="00B40688">
              <w:t>Liquidity Risk</w:t>
            </w:r>
          </w:p>
        </w:tc>
        <w:tc>
          <w:tcPr>
            <w:tcW w:w="3787" w:type="dxa"/>
          </w:tcPr>
          <w:p w14:paraId="54129D3E" w14:textId="4F90370D" w:rsidR="00B40688" w:rsidRPr="00B40688" w:rsidRDefault="00B40688" w:rsidP="00B40688">
            <w:r w:rsidRPr="00B40688">
              <w:t>Short term Debt + Current maturity of Long term Debt / Total Debt</w:t>
            </w:r>
          </w:p>
        </w:tc>
        <w:tc>
          <w:tcPr>
            <w:tcW w:w="3441" w:type="dxa"/>
          </w:tcPr>
          <w:p w14:paraId="692742F1" w14:textId="75A20B73" w:rsidR="00B40688" w:rsidRPr="00B40688" w:rsidRDefault="00050084" w:rsidP="00B40688">
            <w:r>
              <w:t>High short-term obligations increase refinancing risk.</w:t>
            </w:r>
          </w:p>
        </w:tc>
      </w:tr>
      <w:tr w:rsidR="00B40688" w:rsidRPr="00B40688" w14:paraId="6132853B" w14:textId="77777777" w:rsidTr="00050084">
        <w:tc>
          <w:tcPr>
            <w:tcW w:w="0" w:type="auto"/>
          </w:tcPr>
          <w:p w14:paraId="0AAEF468" w14:textId="42273A99" w:rsidR="00B40688" w:rsidRPr="00B40688" w:rsidRDefault="00B40688" w:rsidP="00B40688">
            <w:r w:rsidRPr="00B40688">
              <w:t>Interest Coverage</w:t>
            </w:r>
          </w:p>
        </w:tc>
        <w:tc>
          <w:tcPr>
            <w:tcW w:w="3787" w:type="dxa"/>
          </w:tcPr>
          <w:p w14:paraId="74E300CF" w14:textId="78C871F0" w:rsidR="00B40688" w:rsidRPr="00B40688" w:rsidRDefault="00B40688" w:rsidP="00B40688">
            <w:r w:rsidRPr="00B40688">
              <w:t>EBIT/ Interest expense</w:t>
            </w:r>
          </w:p>
        </w:tc>
        <w:tc>
          <w:tcPr>
            <w:tcW w:w="3441" w:type="dxa"/>
          </w:tcPr>
          <w:p w14:paraId="43A30CE5" w14:textId="280D5C39" w:rsidR="00B40688" w:rsidRPr="00B40688" w:rsidRDefault="00B40688" w:rsidP="00B40688">
            <w:r w:rsidRPr="00B40688">
              <w:t xml:space="preserve">Ability to service interest from operating earnings. </w:t>
            </w:r>
            <w:r>
              <w:t>Lower v</w:t>
            </w:r>
            <w:r w:rsidRPr="00B40688">
              <w:t xml:space="preserve">alues  indicate </w:t>
            </w:r>
            <w:r w:rsidR="00050084">
              <w:t>stress</w:t>
            </w:r>
            <w:r w:rsidR="008D742D">
              <w:t>.</w:t>
            </w:r>
          </w:p>
        </w:tc>
      </w:tr>
      <w:tr w:rsidR="00B40688" w:rsidRPr="00B40688" w14:paraId="54D4935F" w14:textId="77777777" w:rsidTr="00050084">
        <w:tc>
          <w:tcPr>
            <w:tcW w:w="0" w:type="auto"/>
          </w:tcPr>
          <w:p w14:paraId="6A2E12AE" w14:textId="38BD3622" w:rsidR="00B40688" w:rsidRPr="00B40688" w:rsidRDefault="00B40688" w:rsidP="00B40688">
            <w:r w:rsidRPr="00B40688">
              <w:t>Cash Flow Health</w:t>
            </w:r>
          </w:p>
        </w:tc>
        <w:tc>
          <w:tcPr>
            <w:tcW w:w="3787" w:type="dxa"/>
          </w:tcPr>
          <w:p w14:paraId="048F8CC8" w14:textId="60A5A53C" w:rsidR="00B40688" w:rsidRPr="00B40688" w:rsidRDefault="00B40688" w:rsidP="00B40688">
            <w:r w:rsidRPr="00B40688">
              <w:t xml:space="preserve">CFO/ </w:t>
            </w:r>
            <w:r w:rsidR="00EB4013">
              <w:t>Total debt</w:t>
            </w:r>
          </w:p>
        </w:tc>
        <w:tc>
          <w:tcPr>
            <w:tcW w:w="3441" w:type="dxa"/>
          </w:tcPr>
          <w:p w14:paraId="121899E5" w14:textId="10949A36" w:rsidR="00B40688" w:rsidRPr="00B40688" w:rsidRDefault="00B40688" w:rsidP="00B40688">
            <w:r w:rsidRPr="00B40688">
              <w:t>Ability to generate cash relative to obligations. Negative values indicate liquidity strain.</w:t>
            </w:r>
          </w:p>
        </w:tc>
      </w:tr>
      <w:tr w:rsidR="00B40688" w:rsidRPr="00B40688" w14:paraId="51D5C52D" w14:textId="77777777" w:rsidTr="00050084">
        <w:tc>
          <w:tcPr>
            <w:tcW w:w="0" w:type="auto"/>
          </w:tcPr>
          <w:p w14:paraId="7A2691A7" w14:textId="21B585C8" w:rsidR="00B40688" w:rsidRPr="00B40688" w:rsidRDefault="00B40688" w:rsidP="00B40688">
            <w:r w:rsidRPr="00B40688">
              <w:t>Provision Ratio</w:t>
            </w:r>
          </w:p>
        </w:tc>
        <w:tc>
          <w:tcPr>
            <w:tcW w:w="3787" w:type="dxa"/>
          </w:tcPr>
          <w:p w14:paraId="34AEB452" w14:textId="42610637" w:rsidR="00B40688" w:rsidRPr="00B40688" w:rsidRDefault="00B40688" w:rsidP="00B40688">
            <w:r w:rsidRPr="00B40688">
              <w:t>Provision for NPA + Provision for standard assets/ Total Assets</w:t>
            </w:r>
          </w:p>
        </w:tc>
        <w:tc>
          <w:tcPr>
            <w:tcW w:w="3441" w:type="dxa"/>
          </w:tcPr>
          <w:p w14:paraId="2D4882FC" w14:textId="2FB99417" w:rsidR="00B40688" w:rsidRPr="00B40688" w:rsidRDefault="00B40688" w:rsidP="00B40688">
            <w:r>
              <w:t>Proxy for asset deterioration. Rising trend signals credit risk</w:t>
            </w:r>
          </w:p>
        </w:tc>
      </w:tr>
      <w:tr w:rsidR="00B40688" w:rsidRPr="00B40688" w14:paraId="0EEF71BA" w14:textId="77777777" w:rsidTr="00050084">
        <w:tc>
          <w:tcPr>
            <w:tcW w:w="0" w:type="auto"/>
          </w:tcPr>
          <w:p w14:paraId="21685E29" w14:textId="199DD4B0" w:rsidR="00B40688" w:rsidRPr="00B40688" w:rsidRDefault="00B40688" w:rsidP="00B40688">
            <w:r>
              <w:t>Market Dependence</w:t>
            </w:r>
          </w:p>
        </w:tc>
        <w:tc>
          <w:tcPr>
            <w:tcW w:w="3787" w:type="dxa"/>
          </w:tcPr>
          <w:p w14:paraId="3BF10DF5" w14:textId="166EE561" w:rsidR="00B40688" w:rsidRPr="00B40688" w:rsidRDefault="00B40688" w:rsidP="00B40688">
            <w:r>
              <w:t>Commercial Papers/ Total Debt</w:t>
            </w:r>
          </w:p>
        </w:tc>
        <w:tc>
          <w:tcPr>
            <w:tcW w:w="3441" w:type="dxa"/>
          </w:tcPr>
          <w:p w14:paraId="29B13949" w14:textId="0509CE86" w:rsidR="00B40688" w:rsidRPr="00B40688" w:rsidRDefault="00B40688" w:rsidP="00B40688">
            <w:r>
              <w:t xml:space="preserve">Reliance on commercial paper for funding. </w:t>
            </w:r>
            <w:r w:rsidR="00050084" w:rsidRPr="00050084">
              <w:t>High reliance on market borrowing increases rollover risk</w:t>
            </w:r>
          </w:p>
        </w:tc>
      </w:tr>
    </w:tbl>
    <w:p w14:paraId="436D1E51" w14:textId="77777777" w:rsidR="00B40688" w:rsidRDefault="00B40688" w:rsidP="00B40688">
      <w:pPr>
        <w:rPr>
          <w:b/>
          <w:bCs/>
        </w:rPr>
      </w:pPr>
    </w:p>
    <w:p w14:paraId="060A703C" w14:textId="48E2A8BD" w:rsidR="00D60CA7" w:rsidRDefault="00B40688" w:rsidP="00B40688">
      <w:pPr>
        <w:pStyle w:val="Heading2"/>
      </w:pPr>
      <w:r>
        <w:t xml:space="preserve"> </w:t>
      </w:r>
      <w:r w:rsidR="008D742D">
        <w:t>Composite risk score</w:t>
      </w:r>
    </w:p>
    <w:p w14:paraId="6F2C94E1" w14:textId="7392390E" w:rsidR="00E52A69" w:rsidRDefault="008D742D" w:rsidP="00E52A69">
      <w:r>
        <w:t>A weighted model was constructed. Normalization was applied based on risk direction.</w:t>
      </w:r>
    </w:p>
    <w:tbl>
      <w:tblPr>
        <w:tblStyle w:val="TableGridLight"/>
        <w:tblW w:w="0" w:type="auto"/>
        <w:tblLook w:val="04A0" w:firstRow="1" w:lastRow="0" w:firstColumn="1" w:lastColumn="0" w:noHBand="0" w:noVBand="1"/>
      </w:tblPr>
      <w:tblGrid>
        <w:gridCol w:w="2226"/>
        <w:gridCol w:w="2229"/>
        <w:gridCol w:w="915"/>
      </w:tblGrid>
      <w:tr w:rsidR="00E52A69" w:rsidRPr="00B40688" w14:paraId="2A4FA5BD" w14:textId="77777777" w:rsidTr="00050084">
        <w:trPr>
          <w:trHeight w:val="231"/>
        </w:trPr>
        <w:tc>
          <w:tcPr>
            <w:tcW w:w="2226" w:type="dxa"/>
          </w:tcPr>
          <w:p w14:paraId="112F81FB" w14:textId="6C833843" w:rsidR="00E52A69" w:rsidRPr="00E52A69" w:rsidRDefault="00050084" w:rsidP="00050084">
            <w:pPr>
              <w:rPr>
                <w:b/>
                <w:bCs/>
              </w:rPr>
            </w:pPr>
            <w:r>
              <w:rPr>
                <w:b/>
                <w:bCs/>
              </w:rPr>
              <w:t>Indicators</w:t>
            </w:r>
          </w:p>
        </w:tc>
        <w:tc>
          <w:tcPr>
            <w:tcW w:w="2229" w:type="dxa"/>
          </w:tcPr>
          <w:p w14:paraId="669A3048" w14:textId="4AEC2E05" w:rsidR="00E52A69" w:rsidRPr="00E52A69" w:rsidRDefault="00E52A69" w:rsidP="002B49E2">
            <w:pPr>
              <w:jc w:val="center"/>
              <w:rPr>
                <w:b/>
                <w:bCs/>
              </w:rPr>
            </w:pPr>
            <w:r>
              <w:rPr>
                <w:b/>
                <w:bCs/>
              </w:rPr>
              <w:t>Direction</w:t>
            </w:r>
          </w:p>
        </w:tc>
        <w:tc>
          <w:tcPr>
            <w:tcW w:w="842" w:type="dxa"/>
          </w:tcPr>
          <w:p w14:paraId="443B198A" w14:textId="68B55A83" w:rsidR="00E52A69" w:rsidRPr="00E52A69" w:rsidRDefault="00E52A69" w:rsidP="002B49E2">
            <w:pPr>
              <w:jc w:val="center"/>
              <w:rPr>
                <w:b/>
                <w:bCs/>
              </w:rPr>
            </w:pPr>
            <w:r>
              <w:rPr>
                <w:b/>
                <w:bCs/>
              </w:rPr>
              <w:t>Weight</w:t>
            </w:r>
          </w:p>
        </w:tc>
      </w:tr>
      <w:tr w:rsidR="00E52A69" w:rsidRPr="00B40688" w14:paraId="2E9E1328" w14:textId="77777777" w:rsidTr="00050084">
        <w:trPr>
          <w:trHeight w:val="238"/>
        </w:trPr>
        <w:tc>
          <w:tcPr>
            <w:tcW w:w="2226" w:type="dxa"/>
          </w:tcPr>
          <w:p w14:paraId="4C961EFF" w14:textId="77777777" w:rsidR="00E52A69" w:rsidRPr="00B40688" w:rsidRDefault="00E52A69" w:rsidP="00050084">
            <w:r w:rsidRPr="00B40688">
              <w:t>Leverage</w:t>
            </w:r>
          </w:p>
        </w:tc>
        <w:tc>
          <w:tcPr>
            <w:tcW w:w="2229" w:type="dxa"/>
          </w:tcPr>
          <w:p w14:paraId="36300696" w14:textId="7DB357FC" w:rsidR="00E52A69" w:rsidRPr="00B40688" w:rsidRDefault="00E52A69" w:rsidP="00E52A69">
            <w:pPr>
              <w:jc w:val="center"/>
            </w:pPr>
            <w:r w:rsidRPr="00F82ED0">
              <w:rPr>
                <w:rFonts w:ascii="Aptos Narrow" w:eastAsia="Times New Roman" w:hAnsi="Aptos Narrow" w:cs="Times New Roman"/>
                <w:color w:val="000000"/>
                <w:kern w:val="0"/>
                <w:lang w:eastAsia="en-IN"/>
                <w14:ligatures w14:val="none"/>
              </w:rPr>
              <w:t>Higher = worse</w:t>
            </w:r>
          </w:p>
        </w:tc>
        <w:tc>
          <w:tcPr>
            <w:tcW w:w="842" w:type="dxa"/>
          </w:tcPr>
          <w:p w14:paraId="6B797C2F" w14:textId="5CCDF96F" w:rsidR="00E52A69" w:rsidRPr="00B40688" w:rsidRDefault="00E52A69" w:rsidP="00E52A69">
            <w:pPr>
              <w:jc w:val="center"/>
            </w:pPr>
            <w:r>
              <w:t>20%</w:t>
            </w:r>
          </w:p>
        </w:tc>
      </w:tr>
      <w:tr w:rsidR="00E52A69" w:rsidRPr="00B40688" w14:paraId="1294A6D6" w14:textId="77777777" w:rsidTr="00050084">
        <w:trPr>
          <w:trHeight w:val="231"/>
        </w:trPr>
        <w:tc>
          <w:tcPr>
            <w:tcW w:w="2226" w:type="dxa"/>
          </w:tcPr>
          <w:p w14:paraId="0151B795" w14:textId="77777777" w:rsidR="00E52A69" w:rsidRPr="00B40688" w:rsidRDefault="00E52A69" w:rsidP="00050084">
            <w:r w:rsidRPr="00B40688">
              <w:t>Liquidity Risk</w:t>
            </w:r>
          </w:p>
        </w:tc>
        <w:tc>
          <w:tcPr>
            <w:tcW w:w="2229" w:type="dxa"/>
          </w:tcPr>
          <w:p w14:paraId="36FC7EA2" w14:textId="05DEF15D" w:rsidR="00E52A69" w:rsidRPr="00B40688" w:rsidRDefault="00E52A69" w:rsidP="00E52A69">
            <w:pPr>
              <w:jc w:val="center"/>
            </w:pPr>
            <w:r w:rsidRPr="00F82ED0">
              <w:rPr>
                <w:rFonts w:ascii="Aptos Narrow" w:eastAsia="Times New Roman" w:hAnsi="Aptos Narrow" w:cs="Times New Roman"/>
                <w:color w:val="000000"/>
                <w:kern w:val="0"/>
                <w:lang w:eastAsia="en-IN"/>
                <w14:ligatures w14:val="none"/>
              </w:rPr>
              <w:t>Higher = worse</w:t>
            </w:r>
          </w:p>
        </w:tc>
        <w:tc>
          <w:tcPr>
            <w:tcW w:w="842" w:type="dxa"/>
          </w:tcPr>
          <w:p w14:paraId="0F92ECD7" w14:textId="55D1A3E9" w:rsidR="00E52A69" w:rsidRPr="00B40688" w:rsidRDefault="00E52A69" w:rsidP="00E52A69">
            <w:pPr>
              <w:jc w:val="center"/>
            </w:pPr>
            <w:r>
              <w:t>20%</w:t>
            </w:r>
          </w:p>
        </w:tc>
      </w:tr>
      <w:tr w:rsidR="00E52A69" w:rsidRPr="00B40688" w14:paraId="0DF88887" w14:textId="77777777" w:rsidTr="00050084">
        <w:trPr>
          <w:trHeight w:val="238"/>
        </w:trPr>
        <w:tc>
          <w:tcPr>
            <w:tcW w:w="2226" w:type="dxa"/>
          </w:tcPr>
          <w:p w14:paraId="6BD11217" w14:textId="77CCD9B4" w:rsidR="00E52A69" w:rsidRPr="00B40688" w:rsidRDefault="00E52A69" w:rsidP="00050084">
            <w:r w:rsidRPr="00B40688">
              <w:t>Coverage</w:t>
            </w:r>
          </w:p>
        </w:tc>
        <w:tc>
          <w:tcPr>
            <w:tcW w:w="2229" w:type="dxa"/>
          </w:tcPr>
          <w:p w14:paraId="4EAFFEF4" w14:textId="69B4FA1B" w:rsidR="00E52A69" w:rsidRPr="00B40688" w:rsidRDefault="00E52A69" w:rsidP="00E52A69">
            <w:pPr>
              <w:jc w:val="center"/>
            </w:pPr>
            <w:r w:rsidRPr="00F82ED0">
              <w:rPr>
                <w:rFonts w:ascii="Aptos Narrow" w:eastAsia="Times New Roman" w:hAnsi="Aptos Narrow" w:cs="Times New Roman"/>
                <w:color w:val="000000"/>
                <w:kern w:val="0"/>
                <w:lang w:eastAsia="en-IN"/>
                <w14:ligatures w14:val="none"/>
              </w:rPr>
              <w:t>Lower = worse</w:t>
            </w:r>
          </w:p>
        </w:tc>
        <w:tc>
          <w:tcPr>
            <w:tcW w:w="842" w:type="dxa"/>
          </w:tcPr>
          <w:p w14:paraId="50D4C78F" w14:textId="6D093154" w:rsidR="00E52A69" w:rsidRPr="00B40688" w:rsidRDefault="00E52A69" w:rsidP="00E52A69">
            <w:pPr>
              <w:jc w:val="center"/>
            </w:pPr>
            <w:r>
              <w:t>20%</w:t>
            </w:r>
          </w:p>
        </w:tc>
      </w:tr>
      <w:tr w:rsidR="00E52A69" w:rsidRPr="00B40688" w14:paraId="2D802A10" w14:textId="77777777" w:rsidTr="00050084">
        <w:trPr>
          <w:trHeight w:val="231"/>
        </w:trPr>
        <w:tc>
          <w:tcPr>
            <w:tcW w:w="2226" w:type="dxa"/>
          </w:tcPr>
          <w:p w14:paraId="129A52C7" w14:textId="77777777" w:rsidR="00E52A69" w:rsidRPr="00B40688" w:rsidRDefault="00E52A69" w:rsidP="00050084">
            <w:r w:rsidRPr="00B40688">
              <w:t>Cash Flow Health</w:t>
            </w:r>
          </w:p>
        </w:tc>
        <w:tc>
          <w:tcPr>
            <w:tcW w:w="2229" w:type="dxa"/>
          </w:tcPr>
          <w:p w14:paraId="45664474" w14:textId="17F35ECF" w:rsidR="00E52A69" w:rsidRPr="00B40688" w:rsidRDefault="00E52A69" w:rsidP="00E52A69">
            <w:pPr>
              <w:jc w:val="center"/>
            </w:pPr>
            <w:r w:rsidRPr="00F82ED0">
              <w:rPr>
                <w:rFonts w:ascii="Aptos Narrow" w:eastAsia="Times New Roman" w:hAnsi="Aptos Narrow" w:cs="Times New Roman"/>
                <w:color w:val="000000"/>
                <w:kern w:val="0"/>
                <w:lang w:eastAsia="en-IN"/>
                <w14:ligatures w14:val="none"/>
              </w:rPr>
              <w:t>Lower = worse</w:t>
            </w:r>
          </w:p>
        </w:tc>
        <w:tc>
          <w:tcPr>
            <w:tcW w:w="842" w:type="dxa"/>
          </w:tcPr>
          <w:p w14:paraId="7F5CFDC3" w14:textId="5667B6E2" w:rsidR="00E52A69" w:rsidRPr="00B40688" w:rsidRDefault="00E52A69" w:rsidP="00E52A69">
            <w:pPr>
              <w:jc w:val="center"/>
            </w:pPr>
            <w:r>
              <w:t>25%</w:t>
            </w:r>
          </w:p>
        </w:tc>
      </w:tr>
      <w:tr w:rsidR="00E52A69" w:rsidRPr="00B40688" w14:paraId="6E552B90" w14:textId="77777777" w:rsidTr="00050084">
        <w:trPr>
          <w:trHeight w:val="238"/>
        </w:trPr>
        <w:tc>
          <w:tcPr>
            <w:tcW w:w="2226" w:type="dxa"/>
          </w:tcPr>
          <w:p w14:paraId="28DA63FB" w14:textId="77777777" w:rsidR="00E52A69" w:rsidRPr="00B40688" w:rsidRDefault="00E52A69" w:rsidP="00050084">
            <w:r w:rsidRPr="00B40688">
              <w:t>Provision Ratio</w:t>
            </w:r>
          </w:p>
        </w:tc>
        <w:tc>
          <w:tcPr>
            <w:tcW w:w="2229" w:type="dxa"/>
          </w:tcPr>
          <w:p w14:paraId="5D3A688D" w14:textId="177F5A3C" w:rsidR="00E52A69" w:rsidRPr="00B40688" w:rsidRDefault="00E52A69" w:rsidP="00E52A69">
            <w:pPr>
              <w:jc w:val="center"/>
            </w:pPr>
            <w:r w:rsidRPr="00F82ED0">
              <w:rPr>
                <w:rFonts w:ascii="Aptos Narrow" w:eastAsia="Times New Roman" w:hAnsi="Aptos Narrow" w:cs="Times New Roman"/>
                <w:color w:val="000000"/>
                <w:kern w:val="0"/>
                <w:lang w:eastAsia="en-IN"/>
                <w14:ligatures w14:val="none"/>
              </w:rPr>
              <w:t>Higher = worse</w:t>
            </w:r>
          </w:p>
        </w:tc>
        <w:tc>
          <w:tcPr>
            <w:tcW w:w="842" w:type="dxa"/>
          </w:tcPr>
          <w:p w14:paraId="24C9D74B" w14:textId="6F52960A" w:rsidR="00E52A69" w:rsidRPr="00B40688" w:rsidRDefault="00E52A69" w:rsidP="00E52A69">
            <w:pPr>
              <w:jc w:val="center"/>
            </w:pPr>
            <w:r>
              <w:t>10%</w:t>
            </w:r>
          </w:p>
        </w:tc>
      </w:tr>
      <w:tr w:rsidR="00E52A69" w:rsidRPr="00B40688" w14:paraId="06664573" w14:textId="77777777" w:rsidTr="00050084">
        <w:trPr>
          <w:trHeight w:val="238"/>
        </w:trPr>
        <w:tc>
          <w:tcPr>
            <w:tcW w:w="2226" w:type="dxa"/>
          </w:tcPr>
          <w:p w14:paraId="547532EA" w14:textId="77777777" w:rsidR="00E52A69" w:rsidRPr="00B40688" w:rsidRDefault="00E52A69" w:rsidP="00050084">
            <w:r>
              <w:t>Market Dependence</w:t>
            </w:r>
          </w:p>
        </w:tc>
        <w:tc>
          <w:tcPr>
            <w:tcW w:w="2229" w:type="dxa"/>
          </w:tcPr>
          <w:p w14:paraId="2F2F21BC" w14:textId="47E50F27" w:rsidR="00E52A69" w:rsidRPr="00B40688" w:rsidRDefault="00E52A69" w:rsidP="00E52A69">
            <w:pPr>
              <w:jc w:val="center"/>
            </w:pPr>
            <w:r w:rsidRPr="00F82ED0">
              <w:rPr>
                <w:rFonts w:ascii="Aptos Narrow" w:eastAsia="Times New Roman" w:hAnsi="Aptos Narrow" w:cs="Times New Roman"/>
                <w:color w:val="000000"/>
                <w:kern w:val="0"/>
                <w:lang w:eastAsia="en-IN"/>
                <w14:ligatures w14:val="none"/>
              </w:rPr>
              <w:t>Higher = worse</w:t>
            </w:r>
          </w:p>
        </w:tc>
        <w:tc>
          <w:tcPr>
            <w:tcW w:w="842" w:type="dxa"/>
          </w:tcPr>
          <w:p w14:paraId="3E2E0443" w14:textId="5C23C310" w:rsidR="00E52A69" w:rsidRPr="00B40688" w:rsidRDefault="00E52A69" w:rsidP="00E52A69">
            <w:pPr>
              <w:jc w:val="center"/>
            </w:pPr>
            <w:r>
              <w:t>5%</w:t>
            </w:r>
          </w:p>
        </w:tc>
      </w:tr>
    </w:tbl>
    <w:p w14:paraId="3CEC3183" w14:textId="27E029F2" w:rsidR="00D60CA7" w:rsidRPr="00D60CA7" w:rsidRDefault="00D60CA7" w:rsidP="00D60CA7">
      <w:pPr>
        <w:pStyle w:val="Heading1"/>
      </w:pPr>
      <w:r>
        <w:t xml:space="preserve">4. </w:t>
      </w:r>
      <w:r w:rsidRPr="00D60CA7">
        <w:t>Benchmark Framework</w:t>
      </w:r>
    </w:p>
    <w:p w14:paraId="39169309" w14:textId="52923E2E" w:rsidR="00050084" w:rsidRDefault="00050084" w:rsidP="00D60CA7">
      <w:r>
        <w:t xml:space="preserve">The following benchmarks were </w:t>
      </w:r>
      <w:r w:rsidR="008D742D">
        <w:t>derived from financial literature and rating methodologies.</w:t>
      </w:r>
    </w:p>
    <w:tbl>
      <w:tblPr>
        <w:tblStyle w:val="PlainTable3"/>
        <w:tblW w:w="0" w:type="auto"/>
        <w:tblLook w:val="06A0" w:firstRow="1" w:lastRow="0" w:firstColumn="1" w:lastColumn="0" w:noHBand="1" w:noVBand="1"/>
      </w:tblPr>
      <w:tblGrid>
        <w:gridCol w:w="2695"/>
        <w:gridCol w:w="1053"/>
        <w:gridCol w:w="1343"/>
        <w:gridCol w:w="816"/>
        <w:gridCol w:w="3109"/>
      </w:tblGrid>
      <w:tr w:rsidR="00050084" w:rsidRPr="00050084" w14:paraId="36DB97A7" w14:textId="77777777" w:rsidTr="0005008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5" w:type="dxa"/>
            <w:tcBorders>
              <w:top w:val="single" w:sz="4" w:space="0" w:color="auto"/>
              <w:left w:val="single" w:sz="4" w:space="0" w:color="auto"/>
            </w:tcBorders>
            <w:hideMark/>
          </w:tcPr>
          <w:p w14:paraId="0DC9DF4E" w14:textId="77777777" w:rsidR="00050084" w:rsidRPr="00050084" w:rsidRDefault="00050084" w:rsidP="00050084">
            <w:pPr>
              <w:spacing w:line="259" w:lineRule="auto"/>
              <w:jc w:val="center"/>
            </w:pPr>
            <w:r w:rsidRPr="00050084">
              <w:t>Indicator</w:t>
            </w:r>
          </w:p>
        </w:tc>
        <w:tc>
          <w:tcPr>
            <w:tcW w:w="1053" w:type="dxa"/>
            <w:tcBorders>
              <w:top w:val="single" w:sz="4" w:space="0" w:color="auto"/>
            </w:tcBorders>
            <w:hideMark/>
          </w:tcPr>
          <w:p w14:paraId="510DBD86" w14:textId="77777777" w:rsidR="00050084" w:rsidRPr="00050084" w:rsidRDefault="00050084" w:rsidP="00050084">
            <w:pPr>
              <w:spacing w:line="259" w:lineRule="auto"/>
              <w:jc w:val="center"/>
              <w:cnfStyle w:val="100000000000" w:firstRow="1" w:lastRow="0" w:firstColumn="0" w:lastColumn="0" w:oddVBand="0" w:evenVBand="0" w:oddHBand="0" w:evenHBand="0" w:firstRowFirstColumn="0" w:firstRowLastColumn="0" w:lastRowFirstColumn="0" w:lastRowLastColumn="0"/>
            </w:pPr>
            <w:r w:rsidRPr="00050084">
              <w:t>Safe Range</w:t>
            </w:r>
          </w:p>
        </w:tc>
        <w:tc>
          <w:tcPr>
            <w:tcW w:w="0" w:type="auto"/>
            <w:tcBorders>
              <w:top w:val="single" w:sz="4" w:space="0" w:color="auto"/>
            </w:tcBorders>
            <w:hideMark/>
          </w:tcPr>
          <w:p w14:paraId="172CAE99" w14:textId="77777777" w:rsidR="00050084" w:rsidRPr="00050084" w:rsidRDefault="00050084" w:rsidP="00050084">
            <w:pPr>
              <w:spacing w:line="259" w:lineRule="auto"/>
              <w:jc w:val="center"/>
              <w:cnfStyle w:val="100000000000" w:firstRow="1" w:lastRow="0" w:firstColumn="0" w:lastColumn="0" w:oddVBand="0" w:evenVBand="0" w:oddHBand="0" w:evenHBand="0" w:firstRowFirstColumn="0" w:firstRowLastColumn="0" w:lastRowFirstColumn="0" w:lastRowLastColumn="0"/>
            </w:pPr>
            <w:r w:rsidRPr="00050084">
              <w:t>Moderate</w:t>
            </w:r>
          </w:p>
        </w:tc>
        <w:tc>
          <w:tcPr>
            <w:tcW w:w="0" w:type="auto"/>
            <w:tcBorders>
              <w:top w:val="single" w:sz="4" w:space="0" w:color="auto"/>
            </w:tcBorders>
            <w:hideMark/>
          </w:tcPr>
          <w:p w14:paraId="2832F328" w14:textId="77777777" w:rsidR="00050084" w:rsidRPr="00050084" w:rsidRDefault="00050084" w:rsidP="00050084">
            <w:pPr>
              <w:spacing w:line="259" w:lineRule="auto"/>
              <w:jc w:val="center"/>
              <w:cnfStyle w:val="100000000000" w:firstRow="1" w:lastRow="0" w:firstColumn="0" w:lastColumn="0" w:oddVBand="0" w:evenVBand="0" w:oddHBand="0" w:evenHBand="0" w:firstRowFirstColumn="0" w:firstRowLastColumn="0" w:lastRowFirstColumn="0" w:lastRowLastColumn="0"/>
            </w:pPr>
            <w:r w:rsidRPr="00050084">
              <w:t>Risky</w:t>
            </w:r>
          </w:p>
        </w:tc>
        <w:tc>
          <w:tcPr>
            <w:tcW w:w="0" w:type="auto"/>
            <w:tcBorders>
              <w:top w:val="single" w:sz="4" w:space="0" w:color="auto"/>
              <w:right w:val="single" w:sz="4" w:space="0" w:color="auto"/>
            </w:tcBorders>
            <w:hideMark/>
          </w:tcPr>
          <w:p w14:paraId="45A71BA0" w14:textId="508952F7" w:rsidR="00050084" w:rsidRPr="00050084" w:rsidRDefault="00050084" w:rsidP="00050084">
            <w:pPr>
              <w:spacing w:line="259" w:lineRule="auto"/>
              <w:jc w:val="center"/>
              <w:cnfStyle w:val="100000000000" w:firstRow="1" w:lastRow="0" w:firstColumn="0" w:lastColumn="0" w:oddVBand="0" w:evenVBand="0" w:oddHBand="0" w:evenHBand="0" w:firstRowFirstColumn="0" w:firstRowLastColumn="0" w:lastRowFirstColumn="0" w:lastRowLastColumn="0"/>
            </w:pPr>
            <w:r>
              <w:t>RISKS POSED</w:t>
            </w:r>
          </w:p>
        </w:tc>
      </w:tr>
      <w:tr w:rsidR="00050084" w:rsidRPr="00050084" w14:paraId="57127F5F" w14:textId="77777777" w:rsidTr="00050084">
        <w:tc>
          <w:tcPr>
            <w:cnfStyle w:val="001000000000" w:firstRow="0" w:lastRow="0" w:firstColumn="1" w:lastColumn="0" w:oddVBand="0" w:evenVBand="0" w:oddHBand="0" w:evenHBand="0" w:firstRowFirstColumn="0" w:firstRowLastColumn="0" w:lastRowFirstColumn="0" w:lastRowLastColumn="0"/>
            <w:tcW w:w="2695" w:type="dxa"/>
            <w:tcBorders>
              <w:left w:val="single" w:sz="4" w:space="0" w:color="auto"/>
            </w:tcBorders>
            <w:hideMark/>
          </w:tcPr>
          <w:p w14:paraId="2155A2EF" w14:textId="77777777" w:rsidR="00050084" w:rsidRPr="00050084" w:rsidRDefault="00050084" w:rsidP="00050084">
            <w:pPr>
              <w:spacing w:line="259" w:lineRule="auto"/>
              <w:jc w:val="both"/>
              <w:rPr>
                <w:b w:val="0"/>
                <w:bCs w:val="0"/>
              </w:rPr>
            </w:pPr>
            <w:r w:rsidRPr="00050084">
              <w:rPr>
                <w:b w:val="0"/>
                <w:bCs w:val="0"/>
              </w:rPr>
              <w:t>Leverage</w:t>
            </w:r>
          </w:p>
        </w:tc>
        <w:tc>
          <w:tcPr>
            <w:tcW w:w="1053" w:type="dxa"/>
            <w:hideMark/>
          </w:tcPr>
          <w:p w14:paraId="735A13CE" w14:textId="7777777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rsidRPr="00050084">
              <w:t>&lt; 3x</w:t>
            </w:r>
          </w:p>
        </w:tc>
        <w:tc>
          <w:tcPr>
            <w:tcW w:w="0" w:type="auto"/>
            <w:hideMark/>
          </w:tcPr>
          <w:p w14:paraId="61B6B2B4" w14:textId="7777777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rsidRPr="00050084">
              <w:t>3–5x</w:t>
            </w:r>
          </w:p>
        </w:tc>
        <w:tc>
          <w:tcPr>
            <w:tcW w:w="0" w:type="auto"/>
            <w:hideMark/>
          </w:tcPr>
          <w:p w14:paraId="38F2A0BF" w14:textId="7777777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rsidRPr="00050084">
              <w:t>&gt; 5x</w:t>
            </w:r>
          </w:p>
        </w:tc>
        <w:tc>
          <w:tcPr>
            <w:tcW w:w="0" w:type="auto"/>
            <w:tcBorders>
              <w:right w:val="single" w:sz="4" w:space="0" w:color="auto"/>
            </w:tcBorders>
            <w:hideMark/>
          </w:tcPr>
          <w:p w14:paraId="4F0D94CE" w14:textId="5C084246" w:rsidR="00050084" w:rsidRPr="00050084" w:rsidRDefault="00050084" w:rsidP="00050084">
            <w:pPr>
              <w:spacing w:line="259" w:lineRule="auto"/>
              <w:cnfStyle w:val="000000000000" w:firstRow="0" w:lastRow="0" w:firstColumn="0" w:lastColumn="0" w:oddVBand="0" w:evenVBand="0" w:oddHBand="0" w:evenHBand="0" w:firstRowFirstColumn="0" w:firstRowLastColumn="0" w:lastRowFirstColumn="0" w:lastRowLastColumn="0"/>
            </w:pPr>
            <w:r>
              <w:t xml:space="preserve">Reduced </w:t>
            </w:r>
            <w:r w:rsidRPr="00050084">
              <w:t>loss-absorbing capacity</w:t>
            </w:r>
          </w:p>
        </w:tc>
      </w:tr>
      <w:tr w:rsidR="00050084" w:rsidRPr="00050084" w14:paraId="5342F332" w14:textId="77777777" w:rsidTr="00050084">
        <w:tc>
          <w:tcPr>
            <w:cnfStyle w:val="001000000000" w:firstRow="0" w:lastRow="0" w:firstColumn="1" w:lastColumn="0" w:oddVBand="0" w:evenVBand="0" w:oddHBand="0" w:evenHBand="0" w:firstRowFirstColumn="0" w:firstRowLastColumn="0" w:lastRowFirstColumn="0" w:lastRowLastColumn="0"/>
            <w:tcW w:w="2695" w:type="dxa"/>
            <w:tcBorders>
              <w:left w:val="single" w:sz="4" w:space="0" w:color="auto"/>
            </w:tcBorders>
            <w:hideMark/>
          </w:tcPr>
          <w:p w14:paraId="7BAD45DC" w14:textId="6D993BB2" w:rsidR="00050084" w:rsidRPr="00050084" w:rsidRDefault="00050084" w:rsidP="00050084">
            <w:pPr>
              <w:spacing w:line="259" w:lineRule="auto"/>
              <w:jc w:val="both"/>
              <w:rPr>
                <w:b w:val="0"/>
                <w:bCs w:val="0"/>
              </w:rPr>
            </w:pPr>
            <w:r w:rsidRPr="00050084">
              <w:rPr>
                <w:b w:val="0"/>
                <w:bCs w:val="0"/>
              </w:rPr>
              <w:t>Liquidity</w:t>
            </w:r>
            <w:r>
              <w:rPr>
                <w:b w:val="0"/>
                <w:bCs w:val="0"/>
              </w:rPr>
              <w:t xml:space="preserve"> RISK</w:t>
            </w:r>
          </w:p>
        </w:tc>
        <w:tc>
          <w:tcPr>
            <w:tcW w:w="1053" w:type="dxa"/>
            <w:hideMark/>
          </w:tcPr>
          <w:p w14:paraId="50431A5A" w14:textId="7777777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rsidRPr="00050084">
              <w:t>&lt; 30%</w:t>
            </w:r>
          </w:p>
        </w:tc>
        <w:tc>
          <w:tcPr>
            <w:tcW w:w="0" w:type="auto"/>
            <w:hideMark/>
          </w:tcPr>
          <w:p w14:paraId="3956DC17" w14:textId="7777777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rsidRPr="00050084">
              <w:t>30–50%</w:t>
            </w:r>
          </w:p>
        </w:tc>
        <w:tc>
          <w:tcPr>
            <w:tcW w:w="0" w:type="auto"/>
            <w:hideMark/>
          </w:tcPr>
          <w:p w14:paraId="54463FB0" w14:textId="7777777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rsidRPr="00050084">
              <w:t>&gt; 50%</w:t>
            </w:r>
          </w:p>
        </w:tc>
        <w:tc>
          <w:tcPr>
            <w:tcW w:w="0" w:type="auto"/>
            <w:tcBorders>
              <w:right w:val="single" w:sz="4" w:space="0" w:color="auto"/>
            </w:tcBorders>
            <w:hideMark/>
          </w:tcPr>
          <w:p w14:paraId="26061AE8" w14:textId="1FAFC031"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t>Increased</w:t>
            </w:r>
            <w:r w:rsidRPr="00050084">
              <w:t xml:space="preserve"> refinancing risk</w:t>
            </w:r>
          </w:p>
        </w:tc>
      </w:tr>
      <w:tr w:rsidR="00050084" w:rsidRPr="00050084" w14:paraId="394754A2" w14:textId="77777777" w:rsidTr="00050084">
        <w:tc>
          <w:tcPr>
            <w:cnfStyle w:val="001000000000" w:firstRow="0" w:lastRow="0" w:firstColumn="1" w:lastColumn="0" w:oddVBand="0" w:evenVBand="0" w:oddHBand="0" w:evenHBand="0" w:firstRowFirstColumn="0" w:firstRowLastColumn="0" w:lastRowFirstColumn="0" w:lastRowLastColumn="0"/>
            <w:tcW w:w="2695" w:type="dxa"/>
            <w:tcBorders>
              <w:left w:val="single" w:sz="4" w:space="0" w:color="auto"/>
            </w:tcBorders>
            <w:hideMark/>
          </w:tcPr>
          <w:p w14:paraId="4A78B8DA" w14:textId="77777777" w:rsidR="00050084" w:rsidRPr="00050084" w:rsidRDefault="00050084" w:rsidP="00050084">
            <w:pPr>
              <w:spacing w:line="259" w:lineRule="auto"/>
              <w:jc w:val="both"/>
              <w:rPr>
                <w:b w:val="0"/>
                <w:bCs w:val="0"/>
              </w:rPr>
            </w:pPr>
            <w:r w:rsidRPr="00050084">
              <w:rPr>
                <w:b w:val="0"/>
                <w:bCs w:val="0"/>
              </w:rPr>
              <w:t>Coverage</w:t>
            </w:r>
          </w:p>
        </w:tc>
        <w:tc>
          <w:tcPr>
            <w:tcW w:w="1053" w:type="dxa"/>
            <w:hideMark/>
          </w:tcPr>
          <w:p w14:paraId="1F90D5F1" w14:textId="7777777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rsidRPr="00050084">
              <w:t>&gt; 1.5</w:t>
            </w:r>
          </w:p>
        </w:tc>
        <w:tc>
          <w:tcPr>
            <w:tcW w:w="0" w:type="auto"/>
            <w:hideMark/>
          </w:tcPr>
          <w:p w14:paraId="126C3494" w14:textId="7777777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rsidRPr="00050084">
              <w:t>1.2–1.5</w:t>
            </w:r>
          </w:p>
        </w:tc>
        <w:tc>
          <w:tcPr>
            <w:tcW w:w="0" w:type="auto"/>
            <w:hideMark/>
          </w:tcPr>
          <w:p w14:paraId="5C29C3D1" w14:textId="7777777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rsidRPr="00050084">
              <w:t>&lt; 1.2</w:t>
            </w:r>
          </w:p>
        </w:tc>
        <w:tc>
          <w:tcPr>
            <w:tcW w:w="0" w:type="auto"/>
            <w:tcBorders>
              <w:right w:val="single" w:sz="4" w:space="0" w:color="auto"/>
            </w:tcBorders>
            <w:hideMark/>
          </w:tcPr>
          <w:p w14:paraId="494A0FA7" w14:textId="561570D4"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t>S</w:t>
            </w:r>
            <w:r w:rsidRPr="00050084">
              <w:t>tress in debt servicing</w:t>
            </w:r>
          </w:p>
        </w:tc>
      </w:tr>
      <w:tr w:rsidR="00050084" w:rsidRPr="00050084" w14:paraId="011635F2" w14:textId="77777777" w:rsidTr="00050084">
        <w:tc>
          <w:tcPr>
            <w:cnfStyle w:val="001000000000" w:firstRow="0" w:lastRow="0" w:firstColumn="1" w:lastColumn="0" w:oddVBand="0" w:evenVBand="0" w:oddHBand="0" w:evenHBand="0" w:firstRowFirstColumn="0" w:firstRowLastColumn="0" w:lastRowFirstColumn="0" w:lastRowLastColumn="0"/>
            <w:tcW w:w="2695" w:type="dxa"/>
            <w:tcBorders>
              <w:left w:val="single" w:sz="4" w:space="0" w:color="auto"/>
            </w:tcBorders>
            <w:hideMark/>
          </w:tcPr>
          <w:p w14:paraId="008691F6" w14:textId="77777777" w:rsidR="00050084" w:rsidRPr="00050084" w:rsidRDefault="00050084" w:rsidP="00050084">
            <w:pPr>
              <w:spacing w:line="259" w:lineRule="auto"/>
              <w:jc w:val="both"/>
              <w:rPr>
                <w:b w:val="0"/>
                <w:bCs w:val="0"/>
              </w:rPr>
            </w:pPr>
            <w:r w:rsidRPr="00050084">
              <w:rPr>
                <w:b w:val="0"/>
                <w:bCs w:val="0"/>
              </w:rPr>
              <w:t>Cash Flow Health</w:t>
            </w:r>
          </w:p>
        </w:tc>
        <w:tc>
          <w:tcPr>
            <w:tcW w:w="1053" w:type="dxa"/>
            <w:hideMark/>
          </w:tcPr>
          <w:p w14:paraId="4B6E202E" w14:textId="7777777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rsidRPr="00050084">
              <w:t>&gt; 0.20</w:t>
            </w:r>
          </w:p>
        </w:tc>
        <w:tc>
          <w:tcPr>
            <w:tcW w:w="0" w:type="auto"/>
            <w:hideMark/>
          </w:tcPr>
          <w:p w14:paraId="5AD573D4" w14:textId="7777777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rsidRPr="00050084">
              <w:t>0–0.20</w:t>
            </w:r>
          </w:p>
        </w:tc>
        <w:tc>
          <w:tcPr>
            <w:tcW w:w="0" w:type="auto"/>
            <w:hideMark/>
          </w:tcPr>
          <w:p w14:paraId="49C9742A" w14:textId="7777777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rsidRPr="00050084">
              <w:t>&lt; 0</w:t>
            </w:r>
          </w:p>
        </w:tc>
        <w:tc>
          <w:tcPr>
            <w:tcW w:w="0" w:type="auto"/>
            <w:tcBorders>
              <w:right w:val="single" w:sz="4" w:space="0" w:color="auto"/>
            </w:tcBorders>
            <w:hideMark/>
          </w:tcPr>
          <w:p w14:paraId="507A5B87" w14:textId="2CEB97CD"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t>S</w:t>
            </w:r>
            <w:r w:rsidRPr="00050084">
              <w:t>evere liquidity stress</w:t>
            </w:r>
          </w:p>
        </w:tc>
      </w:tr>
      <w:tr w:rsidR="00050084" w:rsidRPr="00050084" w14:paraId="76FCC8C2" w14:textId="77777777" w:rsidTr="00050084">
        <w:tc>
          <w:tcPr>
            <w:cnfStyle w:val="001000000000" w:firstRow="0" w:lastRow="0" w:firstColumn="1" w:lastColumn="0" w:oddVBand="0" w:evenVBand="0" w:oddHBand="0" w:evenHBand="0" w:firstRowFirstColumn="0" w:firstRowLastColumn="0" w:lastRowFirstColumn="0" w:lastRowLastColumn="0"/>
            <w:tcW w:w="2695" w:type="dxa"/>
            <w:tcBorders>
              <w:left w:val="single" w:sz="4" w:space="0" w:color="auto"/>
            </w:tcBorders>
            <w:hideMark/>
          </w:tcPr>
          <w:p w14:paraId="4C20279B" w14:textId="77777777" w:rsidR="00050084" w:rsidRPr="00050084" w:rsidRDefault="00050084" w:rsidP="00050084">
            <w:pPr>
              <w:spacing w:line="259" w:lineRule="auto"/>
              <w:jc w:val="both"/>
              <w:rPr>
                <w:b w:val="0"/>
                <w:bCs w:val="0"/>
              </w:rPr>
            </w:pPr>
            <w:r w:rsidRPr="00050084">
              <w:rPr>
                <w:b w:val="0"/>
                <w:bCs w:val="0"/>
              </w:rPr>
              <w:t>Asset Quality</w:t>
            </w:r>
          </w:p>
        </w:tc>
        <w:tc>
          <w:tcPr>
            <w:tcW w:w="1053" w:type="dxa"/>
            <w:hideMark/>
          </w:tcPr>
          <w:p w14:paraId="6DC20B58" w14:textId="7777777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rsidRPr="00050084">
              <w:t>&lt; 0.5%</w:t>
            </w:r>
          </w:p>
        </w:tc>
        <w:tc>
          <w:tcPr>
            <w:tcW w:w="0" w:type="auto"/>
            <w:hideMark/>
          </w:tcPr>
          <w:p w14:paraId="483A1459" w14:textId="7777777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rsidRPr="00050084">
              <w:t>0.5–1%</w:t>
            </w:r>
          </w:p>
        </w:tc>
        <w:tc>
          <w:tcPr>
            <w:tcW w:w="0" w:type="auto"/>
            <w:hideMark/>
          </w:tcPr>
          <w:p w14:paraId="772B6B07" w14:textId="7777777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rsidRPr="00050084">
              <w:t>&gt; 1%</w:t>
            </w:r>
          </w:p>
        </w:tc>
        <w:tc>
          <w:tcPr>
            <w:tcW w:w="0" w:type="auto"/>
            <w:tcBorders>
              <w:right w:val="single" w:sz="4" w:space="0" w:color="auto"/>
            </w:tcBorders>
            <w:hideMark/>
          </w:tcPr>
          <w:p w14:paraId="57B5DD6F" w14:textId="0031AE4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t>Credit Risk</w:t>
            </w:r>
          </w:p>
        </w:tc>
      </w:tr>
      <w:tr w:rsidR="00050084" w:rsidRPr="00050084" w14:paraId="16D9E275" w14:textId="77777777" w:rsidTr="00050084">
        <w:tc>
          <w:tcPr>
            <w:cnfStyle w:val="001000000000" w:firstRow="0" w:lastRow="0" w:firstColumn="1" w:lastColumn="0" w:oddVBand="0" w:evenVBand="0" w:oddHBand="0" w:evenHBand="0" w:firstRowFirstColumn="0" w:firstRowLastColumn="0" w:lastRowFirstColumn="0" w:lastRowLastColumn="0"/>
            <w:tcW w:w="2695" w:type="dxa"/>
            <w:tcBorders>
              <w:left w:val="single" w:sz="4" w:space="0" w:color="auto"/>
              <w:bottom w:val="single" w:sz="4" w:space="0" w:color="auto"/>
            </w:tcBorders>
            <w:hideMark/>
          </w:tcPr>
          <w:p w14:paraId="5AAEA7B9" w14:textId="77777777" w:rsidR="00050084" w:rsidRPr="00050084" w:rsidRDefault="00050084" w:rsidP="00050084">
            <w:pPr>
              <w:spacing w:line="259" w:lineRule="auto"/>
              <w:jc w:val="both"/>
              <w:rPr>
                <w:b w:val="0"/>
                <w:bCs w:val="0"/>
              </w:rPr>
            </w:pPr>
            <w:r w:rsidRPr="00050084">
              <w:rPr>
                <w:b w:val="0"/>
                <w:bCs w:val="0"/>
              </w:rPr>
              <w:lastRenderedPageBreak/>
              <w:t>Market Dependence</w:t>
            </w:r>
          </w:p>
        </w:tc>
        <w:tc>
          <w:tcPr>
            <w:tcW w:w="1053" w:type="dxa"/>
            <w:tcBorders>
              <w:bottom w:val="single" w:sz="4" w:space="0" w:color="auto"/>
            </w:tcBorders>
            <w:hideMark/>
          </w:tcPr>
          <w:p w14:paraId="3B18AEE5" w14:textId="7777777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rsidRPr="00050084">
              <w:t>&lt; 10%</w:t>
            </w:r>
          </w:p>
        </w:tc>
        <w:tc>
          <w:tcPr>
            <w:tcW w:w="0" w:type="auto"/>
            <w:tcBorders>
              <w:bottom w:val="single" w:sz="4" w:space="0" w:color="auto"/>
            </w:tcBorders>
            <w:hideMark/>
          </w:tcPr>
          <w:p w14:paraId="3CFA61A1" w14:textId="7777777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rsidRPr="00050084">
              <w:t>10–20%</w:t>
            </w:r>
          </w:p>
        </w:tc>
        <w:tc>
          <w:tcPr>
            <w:tcW w:w="0" w:type="auto"/>
            <w:tcBorders>
              <w:bottom w:val="single" w:sz="4" w:space="0" w:color="auto"/>
            </w:tcBorders>
            <w:hideMark/>
          </w:tcPr>
          <w:p w14:paraId="6C80408B" w14:textId="77777777"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rsidRPr="00050084">
              <w:t>&gt; 20%</w:t>
            </w:r>
          </w:p>
        </w:tc>
        <w:tc>
          <w:tcPr>
            <w:tcW w:w="0" w:type="auto"/>
            <w:tcBorders>
              <w:bottom w:val="single" w:sz="4" w:space="0" w:color="auto"/>
              <w:right w:val="single" w:sz="4" w:space="0" w:color="auto"/>
            </w:tcBorders>
            <w:hideMark/>
          </w:tcPr>
          <w:p w14:paraId="0F38F349" w14:textId="343EA63E" w:rsidR="00050084" w:rsidRPr="00050084" w:rsidRDefault="00050084" w:rsidP="00050084">
            <w:pPr>
              <w:spacing w:line="259" w:lineRule="auto"/>
              <w:jc w:val="both"/>
              <w:cnfStyle w:val="000000000000" w:firstRow="0" w:lastRow="0" w:firstColumn="0" w:lastColumn="0" w:oddVBand="0" w:evenVBand="0" w:oddHBand="0" w:evenHBand="0" w:firstRowFirstColumn="0" w:firstRowLastColumn="0" w:lastRowFirstColumn="0" w:lastRowLastColumn="0"/>
            </w:pPr>
            <w:r>
              <w:t>Rollover</w:t>
            </w:r>
            <w:r w:rsidRPr="00050084">
              <w:t xml:space="preserve"> risk</w:t>
            </w:r>
          </w:p>
        </w:tc>
      </w:tr>
    </w:tbl>
    <w:p w14:paraId="32F2E39B" w14:textId="19DBFB70" w:rsidR="00D60CA7" w:rsidRDefault="00050084" w:rsidP="00D60CA7">
      <w:r>
        <w:t xml:space="preserve">* </w:t>
      </w:r>
      <w:r w:rsidR="00D60CA7">
        <w:t>These are indicative, not regulatory thresholds</w:t>
      </w:r>
    </w:p>
    <w:p w14:paraId="2A4F7AE4" w14:textId="6CC851F8" w:rsidR="00D60CA7" w:rsidRDefault="00D60CA7" w:rsidP="00D60CA7">
      <w:pPr>
        <w:pStyle w:val="Heading1"/>
      </w:pPr>
      <w:r w:rsidRPr="00D60CA7">
        <w:t>5. Key Findings</w:t>
      </w:r>
    </w:p>
    <w:p w14:paraId="4F46EFED" w14:textId="41A66C47" w:rsidR="00D60CA7" w:rsidRDefault="00D60CA7" w:rsidP="00D60CA7">
      <w:r>
        <w:t xml:space="preserve">- Risk score increased significantly </w:t>
      </w:r>
      <w:r w:rsidR="008D742D">
        <w:t xml:space="preserve">by FY </w:t>
      </w:r>
      <w:r>
        <w:t>2017-18</w:t>
      </w:r>
    </w:p>
    <w:p w14:paraId="6F6F23D2" w14:textId="1486E9D0" w:rsidR="00D60CA7" w:rsidRDefault="00D60CA7" w:rsidP="00D60CA7">
      <w:r>
        <w:t xml:space="preserve">- </w:t>
      </w:r>
      <w:r w:rsidR="005F68B0">
        <w:t>Debt servicing stress</w:t>
      </w:r>
      <w:r>
        <w:t xml:space="preserve"> increased due to high short-term borrowings</w:t>
      </w:r>
    </w:p>
    <w:p w14:paraId="15BE2F7F" w14:textId="1AE3C6A7" w:rsidR="00D60CA7" w:rsidRDefault="00D60CA7" w:rsidP="00D60CA7">
      <w:r>
        <w:t xml:space="preserve">- Cash flows turned negative </w:t>
      </w:r>
      <w:r w:rsidR="008D742D">
        <w:t xml:space="preserve">prior to </w:t>
      </w:r>
      <w:r>
        <w:t>default</w:t>
      </w:r>
    </w:p>
    <w:p w14:paraId="3C30C685" w14:textId="77777777" w:rsidR="00D60CA7" w:rsidRDefault="00D60CA7" w:rsidP="00D60CA7">
      <w:r>
        <w:t>- Coverage ratio declined steadily</w:t>
      </w:r>
    </w:p>
    <w:p w14:paraId="363CBCAD" w14:textId="77777777" w:rsidR="00D60CA7" w:rsidRDefault="00D60CA7" w:rsidP="00D60CA7">
      <w:r>
        <w:t>- Provision levels increased, indicating asset stress</w:t>
      </w:r>
    </w:p>
    <w:p w14:paraId="2BDE20FF" w14:textId="03A48E63" w:rsidR="005F68B0" w:rsidRDefault="00D60CA7" w:rsidP="00D60CA7">
      <w:r>
        <w:t>- Despite these signals, credit rating remained AAA</w:t>
      </w:r>
      <w:r w:rsidR="005F68B0">
        <w:t>/ A1+</w:t>
      </w:r>
    </w:p>
    <w:p w14:paraId="6206C81D" w14:textId="170E3CCE" w:rsidR="00D60CA7" w:rsidRPr="00D60CA7" w:rsidRDefault="00D60CA7" w:rsidP="00D60CA7">
      <w:pPr>
        <w:pStyle w:val="Heading1"/>
      </w:pPr>
      <w:r w:rsidRPr="00D60CA7">
        <w:t xml:space="preserve">6. </w:t>
      </w:r>
      <w:r w:rsidR="008D742D">
        <w:t>Why IL&amp;FS structure failed</w:t>
      </w:r>
    </w:p>
    <w:p w14:paraId="5074C77C" w14:textId="5EA5FE1D" w:rsidR="00D60CA7" w:rsidRPr="00D60CA7" w:rsidRDefault="00D60CA7" w:rsidP="00CC2C0E">
      <w:pPr>
        <w:numPr>
          <w:ilvl w:val="0"/>
          <w:numId w:val="3"/>
        </w:numPr>
        <w:jc w:val="both"/>
      </w:pPr>
      <w:r w:rsidRPr="00D60CA7">
        <w:rPr>
          <w:b/>
          <w:bCs/>
        </w:rPr>
        <w:t>ALM mismatch</w:t>
      </w:r>
      <w:r w:rsidR="007931B1">
        <w:rPr>
          <w:b/>
          <w:bCs/>
        </w:rPr>
        <w:t xml:space="preserve">: </w:t>
      </w:r>
      <w:r w:rsidR="007931B1">
        <w:t xml:space="preserve">The company heavily relied on short term borrowings to fund long term infrastructure projects leading to Asset Liability Mismatch. These </w:t>
      </w:r>
      <w:r w:rsidR="00806672">
        <w:t>projects usually generate cash once operational subject various time and cost overruns as well as traffic linked revenue model.</w:t>
      </w:r>
      <w:r w:rsidR="007931B1">
        <w:t xml:space="preserve"> This meant no fresh inflow of money for the company. </w:t>
      </w:r>
    </w:p>
    <w:p w14:paraId="7A301AA7" w14:textId="1E4A6E6C" w:rsidR="00D60CA7" w:rsidRDefault="00D60CA7" w:rsidP="00CC2C0E">
      <w:pPr>
        <w:numPr>
          <w:ilvl w:val="0"/>
          <w:numId w:val="3"/>
        </w:numPr>
        <w:jc w:val="both"/>
      </w:pPr>
      <w:r w:rsidRPr="00D60CA7">
        <w:rPr>
          <w:b/>
          <w:bCs/>
        </w:rPr>
        <w:t>Debt distribution model risk</w:t>
      </w:r>
      <w:r w:rsidR="002B7EF9">
        <w:t xml:space="preserve"> : IL&amp;FS acted as a middleman between infrastructure project borrowers (SPVs) and lenders by distributing debt</w:t>
      </w:r>
      <w:r w:rsidR="00806672">
        <w:t xml:space="preserve"> using debt products</w:t>
      </w:r>
      <w:r w:rsidR="002B7EF9">
        <w:t>. These contained hidden risks in form of guarantees, as well as heavy reliance on back-ended repayments (small payments initially, large repayments later)</w:t>
      </w:r>
      <w:r w:rsidR="00806672">
        <w:t>.</w:t>
      </w:r>
    </w:p>
    <w:p w14:paraId="5F549CD6" w14:textId="704C07E0" w:rsidR="00806672" w:rsidRDefault="00806672" w:rsidP="00CC2C0E">
      <w:pPr>
        <w:ind w:left="720"/>
        <w:jc w:val="both"/>
      </w:pPr>
      <w:r>
        <w:t>This model depends on market trust and liquidity. Once the crisis stuck, the markets stopped rolling debt and banks stopped lending. This made the entire model snap.</w:t>
      </w:r>
    </w:p>
    <w:p w14:paraId="2B4C5BE7" w14:textId="3E0651BD" w:rsidR="00806672" w:rsidRDefault="002B7EF9" w:rsidP="00CC2C0E">
      <w:pPr>
        <w:numPr>
          <w:ilvl w:val="0"/>
          <w:numId w:val="3"/>
        </w:numPr>
        <w:jc w:val="both"/>
      </w:pPr>
      <w:r w:rsidRPr="00CC2C0E">
        <w:rPr>
          <w:b/>
          <w:bCs/>
        </w:rPr>
        <w:t>Complex debt products</w:t>
      </w:r>
      <w:r>
        <w:t xml:space="preserve">: The company </w:t>
      </w:r>
      <w:r w:rsidR="00806672">
        <w:t>designed</w:t>
      </w:r>
      <w:r>
        <w:t xml:space="preserve"> complex debt products involving </w:t>
      </w:r>
      <w:r w:rsidR="00806672">
        <w:t>multiple layers (senior, subordinated tranches, varying charges on assets, etc)</w:t>
      </w:r>
      <w:r w:rsidR="008D742D">
        <w:t xml:space="preserve">. </w:t>
      </w:r>
      <w:r w:rsidR="00806672">
        <w:t xml:space="preserve">This reduced transparency and increased complexity, which made it more difficult to predict risks early on. </w:t>
      </w:r>
    </w:p>
    <w:p w14:paraId="3360820F" w14:textId="77777777" w:rsidR="00806672" w:rsidRPr="00D60CA7" w:rsidRDefault="00806672" w:rsidP="00CC2C0E">
      <w:pPr>
        <w:numPr>
          <w:ilvl w:val="0"/>
          <w:numId w:val="3"/>
        </w:numPr>
        <w:jc w:val="both"/>
      </w:pPr>
      <w:r w:rsidRPr="00D60CA7">
        <w:rPr>
          <w:b/>
          <w:bCs/>
        </w:rPr>
        <w:t xml:space="preserve">Guarantees </w:t>
      </w:r>
      <w:r w:rsidRPr="00CC2C0E">
        <w:rPr>
          <w:b/>
          <w:bCs/>
        </w:rPr>
        <w:t>for related parties</w:t>
      </w:r>
      <w:r w:rsidRPr="00D60CA7">
        <w:t xml:space="preserve"> </w:t>
      </w:r>
      <w:r>
        <w:t xml:space="preserve">: IL&amp;FS parent company guaranteed many SPV loans. These </w:t>
      </w:r>
      <w:r w:rsidRPr="002B7EF9">
        <w:t>do not appear as debt initially, but become real debt during stress.</w:t>
      </w:r>
    </w:p>
    <w:p w14:paraId="13331CE7" w14:textId="756AF4CB" w:rsidR="00806672" w:rsidRPr="00D60CA7" w:rsidRDefault="00806672" w:rsidP="00CC2C0E">
      <w:pPr>
        <w:numPr>
          <w:ilvl w:val="0"/>
          <w:numId w:val="3"/>
        </w:numPr>
        <w:jc w:val="both"/>
      </w:pPr>
      <w:r w:rsidRPr="00CC2C0E">
        <w:rPr>
          <w:b/>
          <w:bCs/>
        </w:rPr>
        <w:t>Equity markets and broking verticals</w:t>
      </w:r>
      <w:r>
        <w:t>: These verticals generate fee income in good state of industry and economy, but in bad markets, the revenue dries up. This is evident from liquidation of related business segments before eventual collapse in FY 2018-19.</w:t>
      </w:r>
    </w:p>
    <w:p w14:paraId="4D8A3CF5" w14:textId="0B67F37D" w:rsidR="00D60CA7" w:rsidRDefault="00D60CA7" w:rsidP="00D60CA7">
      <w:pPr>
        <w:pStyle w:val="Heading1"/>
      </w:pPr>
      <w:r>
        <w:t>7. Conclusion</w:t>
      </w:r>
    </w:p>
    <w:p w14:paraId="62A38C98" w14:textId="7A844A31" w:rsidR="007F2C17" w:rsidRDefault="007F2C17" w:rsidP="007F2C17">
      <w:pPr>
        <w:spacing w:after="0"/>
      </w:pPr>
      <w:r w:rsidRPr="007F2C17">
        <w:t>The IL&amp;FS crisis was not sudden.</w:t>
      </w:r>
      <w:r>
        <w:t xml:space="preserve"> </w:t>
      </w:r>
      <w:r w:rsidRPr="007F2C17">
        <w:t>Financial indicators clearly showed</w:t>
      </w:r>
      <w:r>
        <w:t xml:space="preserve"> ri</w:t>
      </w:r>
      <w:r w:rsidRPr="007F2C17">
        <w:t>sing leverage</w:t>
      </w:r>
      <w:r>
        <w:t>, w</w:t>
      </w:r>
      <w:r w:rsidRPr="007F2C17">
        <w:t xml:space="preserve">eakening cash flows </w:t>
      </w:r>
      <w:r>
        <w:t>and i</w:t>
      </w:r>
      <w:r w:rsidRPr="007F2C17">
        <w:t>ncreasing liquidity stress</w:t>
      </w:r>
      <w:r>
        <w:t>.</w:t>
      </w:r>
    </w:p>
    <w:p w14:paraId="690360B4" w14:textId="0D3C700E" w:rsidR="007F2C17" w:rsidRPr="007F2C17" w:rsidRDefault="007F2C17" w:rsidP="007F2C17">
      <w:pPr>
        <w:spacing w:after="0"/>
      </w:pPr>
      <w:r w:rsidRPr="007F2C17">
        <w:t xml:space="preserve">However, these signals were </w:t>
      </w:r>
      <w:r w:rsidRPr="007F2C17">
        <w:rPr>
          <w:b/>
          <w:bCs/>
        </w:rPr>
        <w:t>not reflected in credit ratings</w:t>
      </w:r>
      <w:r w:rsidRPr="007F2C17">
        <w:t>, highlighting the importance of independent risk assessment</w:t>
      </w:r>
    </w:p>
    <w:p w14:paraId="1E51C9E4" w14:textId="5F679C13" w:rsidR="00D60CA7" w:rsidRPr="00D60CA7" w:rsidRDefault="00D60CA7" w:rsidP="007F2C17"/>
    <w:sectPr w:rsidR="00D60CA7" w:rsidRPr="00D60C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C4"/>
    <w:multiLevelType w:val="multilevel"/>
    <w:tmpl w:val="6BEE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2457B"/>
    <w:multiLevelType w:val="multilevel"/>
    <w:tmpl w:val="8132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42259"/>
    <w:multiLevelType w:val="multilevel"/>
    <w:tmpl w:val="CCAC5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5564B"/>
    <w:multiLevelType w:val="multilevel"/>
    <w:tmpl w:val="8506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13760"/>
    <w:multiLevelType w:val="multilevel"/>
    <w:tmpl w:val="59E8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D75BB"/>
    <w:multiLevelType w:val="multilevel"/>
    <w:tmpl w:val="BE1A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41FBD"/>
    <w:multiLevelType w:val="hybridMultilevel"/>
    <w:tmpl w:val="C1FC6F2C"/>
    <w:lvl w:ilvl="0" w:tplc="364696CE">
      <w:start w:val="1"/>
      <w:numFmt w:val="decimal"/>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6F03C9"/>
    <w:multiLevelType w:val="multilevel"/>
    <w:tmpl w:val="E82C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9E5530"/>
    <w:multiLevelType w:val="multilevel"/>
    <w:tmpl w:val="A44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33A08"/>
    <w:multiLevelType w:val="multilevel"/>
    <w:tmpl w:val="FC4C9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FC49D0"/>
    <w:multiLevelType w:val="multilevel"/>
    <w:tmpl w:val="C86C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476D3A"/>
    <w:multiLevelType w:val="hybridMultilevel"/>
    <w:tmpl w:val="56986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811A8D"/>
    <w:multiLevelType w:val="multilevel"/>
    <w:tmpl w:val="8842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80510"/>
    <w:multiLevelType w:val="multilevel"/>
    <w:tmpl w:val="DFBC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458207">
    <w:abstractNumId w:val="4"/>
  </w:num>
  <w:num w:numId="2" w16cid:durableId="1466393606">
    <w:abstractNumId w:val="9"/>
  </w:num>
  <w:num w:numId="3" w16cid:durableId="300617040">
    <w:abstractNumId w:val="10"/>
  </w:num>
  <w:num w:numId="4" w16cid:durableId="171382969">
    <w:abstractNumId w:val="6"/>
  </w:num>
  <w:num w:numId="5" w16cid:durableId="199634602">
    <w:abstractNumId w:val="11"/>
  </w:num>
  <w:num w:numId="6" w16cid:durableId="1686132548">
    <w:abstractNumId w:val="7"/>
  </w:num>
  <w:num w:numId="7" w16cid:durableId="16322371">
    <w:abstractNumId w:val="1"/>
  </w:num>
  <w:num w:numId="8" w16cid:durableId="682977837">
    <w:abstractNumId w:val="5"/>
  </w:num>
  <w:num w:numId="9" w16cid:durableId="969167206">
    <w:abstractNumId w:val="0"/>
  </w:num>
  <w:num w:numId="10" w16cid:durableId="2093968633">
    <w:abstractNumId w:val="12"/>
  </w:num>
  <w:num w:numId="11" w16cid:durableId="1595089017">
    <w:abstractNumId w:val="8"/>
  </w:num>
  <w:num w:numId="12" w16cid:durableId="1626279226">
    <w:abstractNumId w:val="2"/>
  </w:num>
  <w:num w:numId="13" w16cid:durableId="1848902698">
    <w:abstractNumId w:val="13"/>
  </w:num>
  <w:num w:numId="14" w16cid:durableId="7724807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CA7"/>
    <w:rsid w:val="00024B76"/>
    <w:rsid w:val="00050084"/>
    <w:rsid w:val="00097EF2"/>
    <w:rsid w:val="000C0C4E"/>
    <w:rsid w:val="001772B7"/>
    <w:rsid w:val="002B7EF9"/>
    <w:rsid w:val="00403FBA"/>
    <w:rsid w:val="004231F1"/>
    <w:rsid w:val="00454423"/>
    <w:rsid w:val="00463C59"/>
    <w:rsid w:val="004A0BFF"/>
    <w:rsid w:val="005719BF"/>
    <w:rsid w:val="005F5DC2"/>
    <w:rsid w:val="005F68B0"/>
    <w:rsid w:val="00601699"/>
    <w:rsid w:val="006953CD"/>
    <w:rsid w:val="007931B1"/>
    <w:rsid w:val="007F2C17"/>
    <w:rsid w:val="00806672"/>
    <w:rsid w:val="00813BFF"/>
    <w:rsid w:val="008A0E64"/>
    <w:rsid w:val="008D742D"/>
    <w:rsid w:val="0090025A"/>
    <w:rsid w:val="00923A9A"/>
    <w:rsid w:val="00A14375"/>
    <w:rsid w:val="00AA549E"/>
    <w:rsid w:val="00AE3F02"/>
    <w:rsid w:val="00B40688"/>
    <w:rsid w:val="00B619AC"/>
    <w:rsid w:val="00BD4DE6"/>
    <w:rsid w:val="00C55444"/>
    <w:rsid w:val="00CC2C0E"/>
    <w:rsid w:val="00CF4E97"/>
    <w:rsid w:val="00D15EDB"/>
    <w:rsid w:val="00D60CA7"/>
    <w:rsid w:val="00D92B9E"/>
    <w:rsid w:val="00E52A69"/>
    <w:rsid w:val="00EB3F9C"/>
    <w:rsid w:val="00EB4013"/>
    <w:rsid w:val="00F40F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098C"/>
  <w15:chartTrackingRefBased/>
  <w15:docId w15:val="{8CC6E83D-DFFF-44EA-93B4-37B297585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0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0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CA7"/>
    <w:rPr>
      <w:rFonts w:eastAsiaTheme="majorEastAsia" w:cstheme="majorBidi"/>
      <w:color w:val="272727" w:themeColor="text1" w:themeTint="D8"/>
    </w:rPr>
  </w:style>
  <w:style w:type="paragraph" w:styleId="Title">
    <w:name w:val="Title"/>
    <w:basedOn w:val="Normal"/>
    <w:next w:val="Normal"/>
    <w:link w:val="TitleChar"/>
    <w:uiPriority w:val="10"/>
    <w:qFormat/>
    <w:rsid w:val="00D60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CA7"/>
    <w:pPr>
      <w:spacing w:before="160"/>
      <w:jc w:val="center"/>
    </w:pPr>
    <w:rPr>
      <w:i/>
      <w:iCs/>
      <w:color w:val="404040" w:themeColor="text1" w:themeTint="BF"/>
    </w:rPr>
  </w:style>
  <w:style w:type="character" w:customStyle="1" w:styleId="QuoteChar">
    <w:name w:val="Quote Char"/>
    <w:basedOn w:val="DefaultParagraphFont"/>
    <w:link w:val="Quote"/>
    <w:uiPriority w:val="29"/>
    <w:rsid w:val="00D60CA7"/>
    <w:rPr>
      <w:i/>
      <w:iCs/>
      <w:color w:val="404040" w:themeColor="text1" w:themeTint="BF"/>
    </w:rPr>
  </w:style>
  <w:style w:type="paragraph" w:styleId="ListParagraph">
    <w:name w:val="List Paragraph"/>
    <w:basedOn w:val="Normal"/>
    <w:uiPriority w:val="34"/>
    <w:qFormat/>
    <w:rsid w:val="00D60CA7"/>
    <w:pPr>
      <w:ind w:left="720"/>
      <w:contextualSpacing/>
    </w:pPr>
  </w:style>
  <w:style w:type="character" w:styleId="IntenseEmphasis">
    <w:name w:val="Intense Emphasis"/>
    <w:basedOn w:val="DefaultParagraphFont"/>
    <w:uiPriority w:val="21"/>
    <w:qFormat/>
    <w:rsid w:val="00D60CA7"/>
    <w:rPr>
      <w:i/>
      <w:iCs/>
      <w:color w:val="0F4761" w:themeColor="accent1" w:themeShade="BF"/>
    </w:rPr>
  </w:style>
  <w:style w:type="paragraph" w:styleId="IntenseQuote">
    <w:name w:val="Intense Quote"/>
    <w:basedOn w:val="Normal"/>
    <w:next w:val="Normal"/>
    <w:link w:val="IntenseQuoteChar"/>
    <w:uiPriority w:val="30"/>
    <w:qFormat/>
    <w:rsid w:val="00D60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CA7"/>
    <w:rPr>
      <w:i/>
      <w:iCs/>
      <w:color w:val="0F4761" w:themeColor="accent1" w:themeShade="BF"/>
    </w:rPr>
  </w:style>
  <w:style w:type="character" w:styleId="IntenseReference">
    <w:name w:val="Intense Reference"/>
    <w:basedOn w:val="DefaultParagraphFont"/>
    <w:uiPriority w:val="32"/>
    <w:qFormat/>
    <w:rsid w:val="00D60CA7"/>
    <w:rPr>
      <w:b/>
      <w:bCs/>
      <w:smallCaps/>
      <w:color w:val="0F4761" w:themeColor="accent1" w:themeShade="BF"/>
      <w:spacing w:val="5"/>
    </w:rPr>
  </w:style>
  <w:style w:type="character" w:styleId="Hyperlink">
    <w:name w:val="Hyperlink"/>
    <w:basedOn w:val="DefaultParagraphFont"/>
    <w:uiPriority w:val="99"/>
    <w:unhideWhenUsed/>
    <w:rsid w:val="00D15EDB"/>
    <w:rPr>
      <w:color w:val="467886" w:themeColor="hyperlink"/>
      <w:u w:val="single"/>
    </w:rPr>
  </w:style>
  <w:style w:type="character" w:styleId="UnresolvedMention">
    <w:name w:val="Unresolved Mention"/>
    <w:basedOn w:val="DefaultParagraphFont"/>
    <w:uiPriority w:val="99"/>
    <w:semiHidden/>
    <w:unhideWhenUsed/>
    <w:rsid w:val="00D15EDB"/>
    <w:rPr>
      <w:color w:val="605E5C"/>
      <w:shd w:val="clear" w:color="auto" w:fill="E1DFDD"/>
    </w:rPr>
  </w:style>
  <w:style w:type="table" w:styleId="TableGrid">
    <w:name w:val="Table Grid"/>
    <w:basedOn w:val="TableNormal"/>
    <w:uiPriority w:val="39"/>
    <w:rsid w:val="00B406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5008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05008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AE3F0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E3F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3</Pages>
  <Words>810</Words>
  <Characters>4529</Characters>
  <Application>Microsoft Office Word</Application>
  <DocSecurity>0</DocSecurity>
  <Lines>146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SHARMA</dc:creator>
  <cp:keywords/>
  <dc:description/>
  <cp:lastModifiedBy>NIDHI SHARMA</cp:lastModifiedBy>
  <cp:revision>28</cp:revision>
  <dcterms:created xsi:type="dcterms:W3CDTF">2026-03-30T06:10:00Z</dcterms:created>
  <dcterms:modified xsi:type="dcterms:W3CDTF">2026-03-30T16:38:00Z</dcterms:modified>
</cp:coreProperties>
</file>