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44"/>
        </w:rPr>
        <w:t>India Semiconductor Growth Predictor</w:t>
      </w:r>
    </w:p>
    <w:p/>
    <w:p>
      <w:pPr>
        <w:jc w:val="center"/>
      </w:pPr>
      <w:r>
        <w:rPr>
          <w:i/>
          <w:color w:val="2E86AB"/>
          <w:sz w:val="28"/>
        </w:rPr>
        <w:t>End-to-End Data Science Project Report</w:t>
      </w:r>
    </w:p>
    <w:p/>
    <w:p/>
    <w:p>
      <w:pPr>
        <w:jc w:val="center"/>
      </w:pPr>
      <w:r>
        <w:rPr>
          <w:b/>
          <w:sz w:val="24"/>
        </w:rPr>
        <w:t>Submitted by: Nidhi Chougule</w:t>
      </w:r>
    </w:p>
    <w:p>
      <w:pPr>
        <w:jc w:val="center"/>
      </w:pPr>
      <w:r>
        <w:rPr>
          <w:b w:val="0"/>
          <w:sz w:val="22"/>
        </w:rPr>
        <w:t>Programme: MSc Data Science</w:t>
      </w:r>
    </w:p>
    <w:p>
      <w:pPr>
        <w:jc w:val="center"/>
      </w:pPr>
      <w:r>
        <w:rPr>
          <w:b w:val="0"/>
          <w:sz w:val="22"/>
        </w:rPr>
        <w:t>Date: 21 October 2026</w:t>
      </w:r>
    </w:p>
    <w:p>
      <w:pPr>
        <w:jc w:val="center"/>
      </w:pPr>
      <w:r>
        <w:rPr>
          <w:b w:val="0"/>
          <w:sz w:val="22"/>
        </w:rPr>
        <w:t>GitHub: github.com/nidhichougule/india-semiconductor-growth-predictor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2"/>
        </w:rPr>
        <w:t>1.  Project Overview</w:t>
      </w:r>
    </w:p>
    <w:p>
      <w:pPr>
        <w:pStyle w:val="ListNumber"/>
      </w:pPr>
      <w:r>
        <w:rPr>
          <w:sz w:val="22"/>
        </w:rPr>
        <w:t>2.  Data Sources and Provenance</w:t>
      </w:r>
    </w:p>
    <w:p>
      <w:pPr>
        <w:pStyle w:val="ListNumber"/>
      </w:pPr>
      <w:r>
        <w:rPr>
          <w:sz w:val="22"/>
        </w:rPr>
        <w:t>3.  Dataset Structure and Audit Findings</w:t>
      </w:r>
    </w:p>
    <w:p>
      <w:pPr>
        <w:pStyle w:val="ListNumber"/>
      </w:pPr>
      <w:r>
        <w:rPr>
          <w:sz w:val="22"/>
        </w:rPr>
        <w:t>4.  Preprocessing and Data Pipeline</w:t>
      </w:r>
    </w:p>
    <w:p>
      <w:pPr>
        <w:pStyle w:val="ListNumber"/>
      </w:pPr>
      <w:r>
        <w:rPr>
          <w:sz w:val="22"/>
        </w:rPr>
        <w:t>5.  Exploratory Data Analysis</w:t>
      </w:r>
    </w:p>
    <w:p>
      <w:pPr>
        <w:pStyle w:val="ListNumber"/>
      </w:pPr>
      <w:r>
        <w:rPr>
          <w:sz w:val="22"/>
        </w:rPr>
        <w:t>6.  Machine Learning Models</w:t>
      </w:r>
    </w:p>
    <w:p>
      <w:pPr>
        <w:pStyle w:val="ListNumber"/>
      </w:pPr>
      <w:r>
        <w:rPr>
          <w:sz w:val="22"/>
        </w:rPr>
        <w:t>7.  Market Growth Scenario Analysis</w:t>
      </w:r>
    </w:p>
    <w:p>
      <w:pPr>
        <w:pStyle w:val="ListNumber"/>
      </w:pPr>
      <w:r>
        <w:rPr>
          <w:sz w:val="22"/>
        </w:rPr>
        <w:t>8.  Interactive Dashboard</w:t>
      </w:r>
    </w:p>
    <w:p>
      <w:pPr>
        <w:pStyle w:val="ListNumber"/>
      </w:pPr>
      <w:r>
        <w:rPr>
          <w:sz w:val="22"/>
        </w:rPr>
        <w:t>9.  Test Suite</w:t>
      </w:r>
    </w:p>
    <w:p>
      <w:pPr>
        <w:pStyle w:val="ListNumber"/>
      </w:pPr>
      <w:r>
        <w:rPr>
          <w:sz w:val="22"/>
        </w:rPr>
        <w:t>10.  Limitations and Future Work</w:t>
      </w:r>
    </w:p>
    <w:p>
      <w:pPr>
        <w:pStyle w:val="ListNumber"/>
      </w:pPr>
      <w:r>
        <w:rPr>
          <w:sz w:val="22"/>
        </w:rPr>
        <w:t>11.  Conclusions</w:t>
      </w:r>
    </w:p>
    <w:p>
      <w:pPr>
        <w:pStyle w:val="ListNumber"/>
      </w:pPr>
      <w:r>
        <w:rPr>
          <w:sz w:val="22"/>
        </w:rPr>
        <w:t>12.  References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  <w:i w:val="0"/>
          <w:sz w:val="22"/>
        </w:rPr>
        <w:t>The India Semiconductor Growth Predictor is a full end-to-end data science project that analyses India's semiconductor manufacturing ecosystem under the Semicon India Programme (India Semiconductor Mission — ISM). The project ingests official government data from the Press Information Bureau (PIB), performs rigorous data auditing and preprocessing, carries out exploratory data analysis, applies machine learning methods, builds parametric market-growth scenarios, and presents all findings through an interactive Streamlit web dashboard.</w:t>
      </w:r>
    </w:p>
    <w:p>
      <w:r>
        <w:rPr>
          <w:b w:val="0"/>
          <w:i w:val="0"/>
          <w:sz w:val="22"/>
        </w:rPr>
        <w:t>The project was motivated by India's ambitious goal to become a global semiconductor hub by 2030, backed by Rs. 2,03,500 crore in programme outlay under the Semicon India Programme. As of May 2026, 12 projects have received ISM cabinet approval with a combined committed capital expenditure of Rs. 1,60,365 crore across seven Indian states.</w:t>
      </w:r>
    </w:p>
    <w:p/>
    <w:p>
      <w:pPr>
        <w:pStyle w:val="Heading2"/>
      </w:pPr>
      <w:r>
        <w:t>Key Project Metrics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ISM-approved projects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Committed capex (known)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Rs. 1,60,365 crore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States covered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Facility type categories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Quarterly data points (for ML)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6 (too sparse — documented)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ML model used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Gradient Boosting Regressor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Evaluation method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Leave-One-Out Cross-Validation (n=10)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Test suite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68 unit tests — 100% pass rate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Dashboard pages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(Streamlit)</w:t>
            </w:r>
          </w:p>
        </w:tc>
      </w:tr>
    </w:tbl>
    <w:p/>
    <w:p>
      <w:pPr>
        <w:pStyle w:val="Heading1"/>
      </w:pPr>
      <w:r>
        <w:t>2. Data Sources and Provenance</w:t>
      </w:r>
    </w:p>
    <w:p>
      <w:r>
        <w:rPr>
          <w:b w:val="0"/>
          <w:i w:val="0"/>
          <w:sz w:val="22"/>
        </w:rPr>
        <w:t>All data used in this project comes from official Government of India sources. No fabricated, interpolated, or third-party-estimated data is present in the raw files. Two CSV files form the primary dataset: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india_approved_semiconductor_</w:t>
              <w:br/>
              <w:t>projects_government.csv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PIB / ISM cabinet approvals</w:t>
              <w:br/>
              <w:t>(PRID 2247814, 2258116)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All ISM-approved projects with investment, capacity, state, facility type, approval period</w:t>
            </w:r>
          </w:p>
        </w:tc>
      </w:tr>
      <w:tr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india_semiconductor_projects_</w:t>
              <w:br/>
              <w:t>and_hubs_2026_government_sources.csv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PIB (PRID 2247814, 2253549,</w:t>
              <w:br/>
              <w:t>2258119, 2261509)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Enriched version: 12 ISM + 1 SPECS-funded facility (Sahasra Semiconductors)</w:t>
            </w:r>
          </w:p>
        </w:tc>
      </w:tr>
    </w:tbl>
    <w:p/>
    <w:p>
      <w:r>
        <w:rPr>
          <w:b/>
          <w:i w:val="0"/>
          <w:sz w:val="22"/>
        </w:rPr>
        <w:t>Market scenario inputs (parametric assumptions, not raw data files):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India semiconductor demand CAGR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NITI Aayog ISM Roadmap (2022)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Market size 2030 consensus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USD 90–108 billion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NITI Aayog / UBS / IESA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IESA/IBEF 2030 target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USD 103.4 billion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IESA / IBEF Sector Report 2024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Base market size (FY2023)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USD 44 billion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IESA estimate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Programme outlay (Phase 1+2)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Rs. 2,03,500 crore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MeitY / ISM</w:t>
            </w:r>
          </w:p>
        </w:tc>
      </w:tr>
    </w:tbl>
    <w:p/>
    <w:p>
      <w:r>
        <w:rPr>
          <w:b w:val="0"/>
          <w:i/>
          <w:sz w:val="22"/>
        </w:rPr>
        <w:t>Licence: Government of India Open Data Licence (GODL) v1.0 — free to use with attribution. Full provenance documented in data/raw/data_source_manifest.md and data/processed/PROVENANCE.md.</w:t>
      </w:r>
    </w:p>
    <w:p>
      <w:pPr>
        <w:pStyle w:val="Heading1"/>
      </w:pPr>
      <w:r>
        <w:t>3. Dataset Structure and Audit Findings</w:t>
      </w:r>
    </w:p>
    <w:p>
      <w:r>
        <w:rPr>
          <w:b w:val="0"/>
          <w:i w:val="0"/>
          <w:sz w:val="22"/>
        </w:rPr>
        <w:t>A comprehensive data audit was conducted (tests/audit_data.py) before any preprocessing. Key findings are summarised below.</w:t>
      </w:r>
    </w:p>
    <w:p>
      <w:pPr>
        <w:pStyle w:val="Heading2"/>
      </w:pPr>
      <w:r>
        <w:t>3.1 File 1 — Column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dtype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Missing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Sequential ID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Full legal name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project_location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City / district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Indian state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facility_type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Raw type string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technology_or_product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investment_crore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float64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NaN for CML &amp; SSPL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approval_period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Month-year string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Current status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source_url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PIB URL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hub_cluster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Geographic cluster</w:t>
            </w:r>
          </w:p>
        </w:tc>
      </w:tr>
    </w:tbl>
    <w:p/>
    <w:p>
      <w:r>
        <w:rPr>
          <w:b w:val="0"/>
          <w:i w:val="0"/>
          <w:sz w:val="22"/>
        </w:rPr>
        <w:t>Duplicate rows: 0. Parse warnings: 0 (all approval_period values parsed cleanly).</w:t>
      </w:r>
    </w:p>
    <w:p>
      <w:pPr>
        <w:pStyle w:val="Heading2"/>
      </w:pPr>
      <w:r>
        <w:t>3.2 File 2 — Additional Columns</w:t>
      </w:r>
    </w:p>
    <w:p>
      <w:r>
        <w:rPr>
          <w:b w:val="0"/>
          <w:i w:val="0"/>
          <w:sz w:val="22"/>
        </w:rPr>
        <w:t>File 2 has 14 columns (13 rows = 12 ISM + 1 SPECS). Additional columns: classification, government_programme, official_source_date, official_source_url, hub_relevance. The official_source_date column holds the PIB data-collection date (e.g. 01-Apr-2026), NOT the project approval date, and is never used as such.</w:t>
      </w:r>
    </w:p>
    <w:p>
      <w:pPr>
        <w:pStyle w:val="Heading2"/>
      </w:pPr>
      <w:r>
        <w:t>3.3 Investment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Amount (Rs. crore)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Known investment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 / 12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All except CML and SSPL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1,60,365</w:t>
            </w:r>
          </w:p>
        </w:tc>
      </w:tr>
      <w:tr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Missing investment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2 / 12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Crystal Matrix Limited (CML), Suchi Semicon Pvt. Ltd. (SSPL)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Not disclosed</w:t>
            </w:r>
          </w:p>
        </w:tc>
      </w:tr>
    </w:tbl>
    <w:p/>
    <w:p>
      <w:r>
        <w:rPr>
          <w:b w:val="0"/>
          <w:i w:val="0"/>
          <w:sz w:val="22"/>
        </w:rPr>
        <w:t>Missing values are preserved as NaN — never imputed or filled. All investment figures are committed/approved capital expenditure per PIB press releases, not realised disbursements or revenue.</w:t>
      </w:r>
    </w:p>
    <w:p>
      <w:pPr>
        <w:pStyle w:val="Heading2"/>
      </w:pPr>
      <w:r>
        <w:t>3.4 Cross-File Entity Matching</w:t>
      </w:r>
    </w:p>
    <w:p>
      <w:r>
        <w:rPr>
          <w:b w:val="0"/>
          <w:i w:val="0"/>
          <w:sz w:val="22"/>
        </w:rPr>
        <w:t>A transparent, manually reviewed lookup table (ENTITY_MAP in tests/audit_data.py) maps all 12 ISM projects between the two files. No fuzzy or probabilistic matching was used. Key name differences documented: TEPL vs. TSAT (same Tata group, different subsidiaries), HCL-Foxconn JV vs. Vama Sundari Investments / Foxconn India, CG Semi vs. CG Power Ltd, and a row-ordering difference for SiCSem and 3D Glass Solutions between files.</w:t>
      </w:r>
    </w:p>
    <w:p>
      <w:pPr>
        <w:pStyle w:val="Heading1"/>
      </w:pPr>
      <w:r>
        <w:t>4. Preprocessing and Data Pipeline</w:t>
      </w:r>
    </w:p>
    <w:p>
      <w:r>
        <w:rPr>
          <w:b w:val="0"/>
          <w:i w:val="0"/>
          <w:sz w:val="22"/>
        </w:rPr>
        <w:t>The preprocessing pipeline (src/preprocessing.py) produces four clean output files in data/processed/ without modifying any raw CSV. Raw files are treated as read-only.</w:t>
      </w:r>
    </w:p>
    <w:p>
      <w:pPr>
        <w:pStyle w:val="Heading2"/>
      </w:pPr>
      <w:r>
        <w:t>4.1 Transformations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Transformation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Column normalisation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snake_case, whitespace stripped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Date parsing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approval_period (e.g. 'June 2023') -&gt; approval_date (2023-06-01). Always 1st of the month. No intra-month precision claimed.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Quarter derivation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approval_quarter_label (e.g. 2023Q2) from approval_date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Fiscal year derivation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India FY (Apr-Mar): month &gt;= 4 -&gt; FY = year+1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Facility type normalisation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9 raw strings -&gt; 6 canonical categories via lookup map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is_investment_known flag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Boolean; exactly mirrors investment_crore.notna()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data_classification column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Always 'ISM Approved' for projects_clean.csv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NaN preservation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investment_crore NaN for CML and SSPL — never filled</w:t>
            </w:r>
          </w:p>
        </w:tc>
      </w:tr>
    </w:tbl>
    <w:p/>
    <w:p>
      <w:pPr>
        <w:pStyle w:val="Heading2"/>
      </w:pPr>
      <w:r>
        <w:t>4.2 Output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projects_clean.csv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All ISM projects, cleaned and annotated</w:t>
            </w:r>
          </w:p>
        </w:tc>
      </w:tr>
      <w:tr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statetype_analysis.csv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State x facility-type investment aggregation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quarterly_investment.csv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Quarterly series with NaN and completeness flags</w:t>
            </w:r>
          </w:p>
        </w:tc>
      </w:tr>
      <w:tr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non_ism_projects.csv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Sahasra Semiconductors (SPECS) — excluded from ISM aggregates</w:t>
            </w:r>
          </w:p>
        </w:tc>
      </w:tr>
    </w:tbl>
    <w:p/>
    <w:p>
      <w:pPr>
        <w:pStyle w:val="Heading2"/>
      </w:pPr>
      <w:r>
        <w:t>4.3 Quarterly Investment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Quarter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Projects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Investment (Rs. cr)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Cumulative (Rs. cr)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Complete?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2023Q2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22,516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22,516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2024Q1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126,230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148,746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2024Q3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3,307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152,053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2025Q2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3,706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155,759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2025Q3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4,606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160,365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2026Q2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NaN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NaN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No (NaN)</w:t>
            </w:r>
          </w:p>
        </w:tc>
      </w:tr>
    </w:tbl>
    <w:p/>
    <w:p>
      <w:r>
        <w:rPr>
          <w:b w:val="0"/>
          <w:i/>
          <w:sz w:val="22"/>
        </w:rPr>
        <w:t>The cumulative investment becomes NaN once an incomplete quarter (2026Q2) is reached, ensuring no false precision in reported totals.</w:t>
      </w:r>
    </w:p>
    <w:p>
      <w:pPr>
        <w:pStyle w:val="Heading1"/>
      </w:pPr>
      <w:r>
        <w:t>5. Exploratory Data Analysis</w:t>
      </w:r>
    </w:p>
    <w:p>
      <w:r>
        <w:rPr>
          <w:b w:val="0"/>
          <w:i w:val="0"/>
          <w:sz w:val="22"/>
        </w:rPr>
        <w:t>Seven EDA charts were generated (src/eda.py) using real project data. Key findings are presented below with accompanying charts.</w:t>
      </w:r>
    </w:p>
    <w:p>
      <w:pPr>
        <w:pStyle w:val="Heading2"/>
      </w:pPr>
      <w:r>
        <w:t>5.1 Investment by State</w:t>
      </w:r>
    </w:p>
    <w:p>
      <w:r>
        <w:rPr>
          <w:b w:val="0"/>
          <w:i w:val="0"/>
          <w:sz w:val="22"/>
        </w:rPr>
        <w:t>Gujarat dominates ISM investment, hosting the three largest projects by capex: Tata Electronics TEPL (Rs. 91,526 cr), Micron Technology (Rs. 22,516 cr), and TSAT/Morigaon (Rs. 27,120 cr — Assam). The top three states by investment are Gujarat, Assam, and Gujarat again (for CG Power and Kaynes).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estment_by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1: ISM-Approved Investment by State (Rs. crore, known capex only)</w:t>
      </w:r>
    </w:p>
    <w:p/>
    <w:p>
      <w:pPr>
        <w:pStyle w:val="Heading2"/>
      </w:pPr>
      <w:r>
        <w:t>5.2 Investment by Facility Type</w:t>
      </w:r>
    </w:p>
    <w:p>
      <w:r>
        <w:rPr>
          <w:b w:val="0"/>
          <w:i w:val="0"/>
          <w:sz w:val="22"/>
        </w:rPr>
        <w:t>Semiconductor Fabs account for the dominant share (~57%) of total committed investment, driven entirely by TEPL's Rs. 91,526 crore fab project. ATMP/OSAT is the most common facility type by project count (5 of 12 projects).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953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ment_by_fac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5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2: Investment Share by Facility Type</w:t>
      </w:r>
    </w:p>
    <w:p/>
    <w:p>
      <w:pPr>
        <w:pStyle w:val="Heading2"/>
      </w:pPr>
      <w:r>
        <w:t>5.3 Quarterly Approvals Timeline</w:t>
      </w:r>
    </w:p>
    <w:p>
      <w:r>
        <w:rPr>
          <w:b w:val="0"/>
          <w:i w:val="0"/>
          <w:sz w:val="22"/>
        </w:rPr>
        <w:t>Approvals were clustered in two waves: February 2024 (3 projects, Rs. 1,26,230 cr) and August 2025 (4 projects, Rs. 4,606 cr). Seven of 13 quarters had no approvals — these are observed zero-approval quarters, not data gaps.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arterly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3: ISM Project Approvals and Cumulative Investment by Quarter</w:t>
      </w:r>
    </w:p>
    <w:p/>
    <w:p>
      <w:pPr>
        <w:pStyle w:val="Heading2"/>
      </w:pPr>
      <w:r>
        <w:t>5.4 State and Facility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2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s_by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4: Number of ISM Projects by State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25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cility_type_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5: Number of Projects by Canonical Facility Type</w:t>
      </w:r>
    </w:p>
    <w:p/>
    <w:p>
      <w:pPr>
        <w:pStyle w:val="Heading2"/>
      </w:pPr>
      <w:r>
        <w:t>5.5 Investment Heat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85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vestment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6: Investment Heat Map — State x Facility Type</w:t>
      </w:r>
    </w:p>
    <w:p/>
    <w:p>
      <w:pPr>
        <w:pStyle w:val="Heading1"/>
      </w:pPr>
      <w:r>
        <w:t>6. Machine Learning Models</w:t>
      </w:r>
    </w:p>
    <w:p>
      <w:r>
        <w:rPr>
          <w:b w:val="0"/>
          <w:i w:val="0"/>
          <w:sz w:val="22"/>
        </w:rPr>
        <w:t>Two modelling approaches were applied, reflecting the honest constraints of the dataset.</w:t>
      </w:r>
    </w:p>
    <w:p>
      <w:pPr>
        <w:pStyle w:val="Heading2"/>
      </w:pPr>
      <w:r>
        <w:t>6.1 Investment Prediction Model</w:t>
      </w:r>
    </w:p>
    <w:p>
      <w:r>
        <w:rPr>
          <w:b w:val="0"/>
          <w:i w:val="0"/>
          <w:sz w:val="22"/>
        </w:rPr>
        <w:t>A supervised regression model was trained to predict investment_crore from facility type, state, and fiscal year. Three models were evaluated: Random Forest, Gradient Boosting, and Ridge Regression. Leave-One-Out Cross-Validation (LOO-CV) was used because the training set has only n=10 samples — the only honest evaluation strategy for this size.</w:t>
      </w:r>
    </w:p>
    <w:p>
      <w:pPr>
        <w:pStyle w:val="Heading2"/>
      </w:pPr>
      <w:r>
        <w:t>Model Comparison (LOO-CV, n=10)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LOO-MAE (Rs. crore)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LOO-R²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Selected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16,670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-0.071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13,832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 xml:space="preserve"> 0.073</w:t>
            </w:r>
          </w:p>
        </w:tc>
        <w:tc>
          <w:tcPr>
            <w:tcW w:type="dxa" w:w="2280"/>
            <w:shd w:val="clear" w:color="auto" w:fill="dbe8f5"/>
          </w:tcPr>
          <w:p>
            <w:r>
              <w:rPr>
                <w:sz w:val="20"/>
              </w:rPr>
              <w:t>Best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17,286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-0.039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 w:val="0"/>
          <w:i w:val="0"/>
          <w:sz w:val="22"/>
        </w:rPr>
        <w:t>The Gradient Boosting model was selected with LOO-MAE of Rs. 13,832 crore and LOO-R² of 0.073. The low R² is expected given only 10 training samples with high variance in investment values (range: Rs. 117 cr to Rs. 91,526 cr).</w:t>
      </w:r>
    </w:p>
    <w:p>
      <w:r>
        <w:rPr>
          <w:b w:val="0"/>
          <w:i w:val="0"/>
          <w:sz w:val="22"/>
        </w:rPr>
        <w:t>Feature importances: Facility type canonical (90.2%) &gt;&gt; Fiscal year (8.3%) &gt;&gt; State (1.5%). This aligns with domain knowledge — semiconductor fabs require orders of magnitude more capital than ATMP/OSAT facilities.</w:t>
      </w:r>
    </w:p>
    <w:p>
      <w:r>
        <w:rPr>
          <w:b/>
          <w:i w:val="0"/>
          <w:color w:val="C73E1D"/>
          <w:sz w:val="22"/>
        </w:rPr>
        <w:t>IMPORTANT: This model is illustrative only. n=10 is far below the sample sizes required for reliable ML. Results must not be used for investment decisions.</w:t>
      </w:r>
    </w:p>
    <w:p>
      <w:pPr>
        <w:pStyle w:val="Heading2"/>
      </w:pPr>
      <w:r>
        <w:t>6.2 Time-Series Forecasting — Not Feasible</w:t>
      </w:r>
    </w:p>
    <w:p>
      <w:r>
        <w:rPr>
          <w:b w:val="0"/>
          <w:i w:val="0"/>
          <w:sz w:val="22"/>
        </w:rPr>
        <w:t>The quarterly ISM approval series yields only 6 non-empty quarters over a 13-quarter span (54% gap rate). Standard time-series methods (ARIMA, SARIMA, Exponential Smoothing, LSTM) require 20–50+ observations. No synthetic data was manufactured.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Typical Min. Observations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Feasible with ISM data?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ARIMA / SARIMA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 (6 points)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Holt-Winters Exp. Smoothing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20–30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No (6 points)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LSTM / GRU (deep learning)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100+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 (6 points)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No (6 points, high variance)</w:t>
            </w:r>
          </w:p>
        </w:tc>
      </w:tr>
    </w:tbl>
    <w:p/>
    <w:p>
      <w:r>
        <w:rPr>
          <w:b w:val="0"/>
          <w:i/>
          <w:sz w:val="22"/>
        </w:rPr>
        <w:t>Recommended alternative: DGCI&amp;S/DGFT HS-8542 monthly trade data (Electronic Integrated Circuits) from tradestat.commerce.gov.in — provides ~180 monthly observations from FY2010 and is suitable for ARIMA.</w:t>
      </w:r>
    </w:p>
    <w:p>
      <w:pPr>
        <w:pStyle w:val="Heading1"/>
      </w:pPr>
      <w:r>
        <w:t>7. Market Growth Scenario Analysis</w:t>
      </w:r>
    </w:p>
    <w:p>
      <w:r>
        <w:rPr>
          <w:b w:val="0"/>
          <w:i w:val="0"/>
          <w:sz w:val="22"/>
        </w:rPr>
        <w:t>Three parametric market growth scenarios were constructed using published CAGR inputs from NITI Aayog and IESA. These are clearly labelled as scenario projections, not ML predictions.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8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rket_proj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7: India Semiconductor Market Projection (Parametric — 19% CAGR base case)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CAGR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2025 (USD B)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2027 (USD B)</w:t>
            </w:r>
          </w:p>
        </w:tc>
        <w:tc>
          <w:tcPr>
            <w:tcW w:type="dxa" w:w="182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2030 (USD B)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$59.9B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$79.2B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$103.6B</w:t>
            </w:r>
          </w:p>
        </w:tc>
      </w:tr>
      <w:tr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Base (NITI Aayog)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$62.5B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$88.5B</w:t>
            </w:r>
          </w:p>
        </w:tc>
        <w:tc>
          <w:tcPr>
            <w:tcW w:type="dxa" w:w="1824"/>
            <w:shd w:val="clear" w:color="auto" w:fill="dbe8f5"/>
          </w:tcPr>
          <w:p>
            <w:r>
              <w:rPr>
                <w:sz w:val="20"/>
              </w:rPr>
              <w:t>$148.7B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Optimistic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$65.6B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$97.6B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$188.6B</w:t>
            </w:r>
          </w:p>
        </w:tc>
      </w:tr>
    </w:tbl>
    <w:p/>
    <w:p>
      <w:r>
        <w:rPr>
          <w:b w:val="0"/>
          <w:i/>
          <w:sz w:val="22"/>
        </w:rPr>
        <w:t>Base: NITI Aayog ISM Roadmap; IESA/IBEF 2030 target: USD 103.4 billion (dashed line in chart).</w:t>
      </w:r>
    </w:p>
    <w:p>
      <w:pPr>
        <w:pStyle w:val="Heading1"/>
      </w:pPr>
      <w:r>
        <w:t>8. Interactive Dashboard</w:t>
      </w:r>
    </w:p>
    <w:p>
      <w:r>
        <w:rPr>
          <w:b w:val="0"/>
          <w:i w:val="0"/>
          <w:sz w:val="22"/>
        </w:rPr>
        <w:t>An interactive Streamlit web dashboard (app.py) was built with five pages, allowing users to explore all project data and models interactively.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KPI cards (projects, capex, states, facility types), investment by state bar chart, facility-type pie chart, quarterly timeline (dual-axis), project count bar, status pie. State and facility-type filters.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Market Scenarios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Parametric CAGR projection with adjustable sliders (base market size, CAGR %, end year). Scenario comparison table.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ML Model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LOO-CV comparison table, feature importances bar chart, live investment prediction tool (select state / facility / FY).</w:t>
            </w:r>
          </w:p>
        </w:tc>
      </w:tr>
      <w:tr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Raw Data</w:t>
            </w:r>
          </w:p>
        </w:tc>
        <w:tc>
          <w:tcPr>
            <w:tcW w:type="dxa" w:w="4561"/>
            <w:shd w:val="clear" w:color="auto" w:fill="dbe8f5"/>
          </w:tcPr>
          <w:p>
            <w:r>
              <w:rPr>
                <w:sz w:val="20"/>
              </w:rPr>
              <w:t>Browse all processed tables (projects, quarterly, state-agg). CSV download button.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Data sources, methodology notes, limitations, GitHub link.</w:t>
            </w:r>
          </w:p>
        </w:tc>
      </w:tr>
    </w:tbl>
    <w:p/>
    <w:p>
      <w:r>
        <w:rPr>
          <w:b w:val="0"/>
          <w:i w:val="0"/>
          <w:sz w:val="22"/>
        </w:rPr>
        <w:t xml:space="preserve">Run command: </w:t>
      </w:r>
    </w:p>
    <w:p>
      <w:r>
        <w:rPr>
          <w:rFonts w:ascii="Courier New" w:hAnsi="Courier New"/>
          <w:color w:val="1E3A5F"/>
          <w:sz w:val="22"/>
        </w:rPr>
        <w:t xml:space="preserve">    streamlit run app.py</w:t>
      </w:r>
    </w:p>
    <w:p>
      <w:r>
        <w:rPr>
          <w:b w:val="0"/>
          <w:i w:val="0"/>
          <w:sz w:val="22"/>
        </w:rPr>
        <w:t>Then open http://localhost:8501 in a browser.</w:t>
      </w:r>
    </w:p>
    <w:p>
      <w:pPr>
        <w:pStyle w:val="Heading1"/>
      </w:pPr>
      <w:r>
        <w:t>9. Test Suite</w:t>
      </w:r>
    </w:p>
    <w:p>
      <w:r>
        <w:rPr>
          <w:b w:val="0"/>
          <w:i w:val="0"/>
          <w:sz w:val="22"/>
        </w:rPr>
        <w:t>A comprehensive pytest test suite (tests/test_preprocessing.py) contains 68 unit tests across 10 test classes. All tests passed (0 failures). Tests use small inline fixtures and never modify raw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Coverage Area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TestApprovalDateParsing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6 approval periods parse to 1st of month; bad formats raise ValueError; PIB collection date not used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TestMissingInvestment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NaN preserved for CML/SSPL; is_investment_known flag; known sum = Rs. 1,60,365 cr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TestDuplicateHandling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Zero exact duplicates in both files; unique project IDs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TestUnitConsistency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investment_crore is float64; INVESTMENT_UNIT/NOTE constants; all known values positive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TestFacilityTypeMapping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13 raw-to-canonical mappings; unknown types pass through unchanged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TestQuarterlyAggregation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6 quarterly rows; 2026Q2 investment_complete=False; NaN propagation in cumulative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TestRawDataPreservation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12 rows File 1; 13 rows File 2; raw df not mutated by preprocessing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TestNonISMSeparation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Sahasra excluded from projects_clean; appears in non_ism extract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TestFiscalYear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Apr-Mar boundary; all 6 approval months mapped correctly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TestColumnCompleteness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All required columns present in projects_clean and quarterly_investment</w:t>
            </w:r>
          </w:p>
        </w:tc>
      </w:tr>
    </w:tbl>
    <w:p/>
    <w:p>
      <w:r>
        <w:rPr>
          <w:b w:val="0"/>
          <w:i w:val="0"/>
          <w:sz w:val="22"/>
        </w:rPr>
        <w:t xml:space="preserve">Run: </w:t>
      </w:r>
    </w:p>
    <w:p>
      <w:r>
        <w:rPr>
          <w:rFonts w:ascii="Courier New" w:hAnsi="Courier New"/>
          <w:sz w:val="22"/>
        </w:rPr>
        <w:t xml:space="preserve">    pytest tests/test_preprocessing.py -v</w:t>
      </w:r>
    </w:p>
    <w:p>
      <w:pPr>
        <w:pStyle w:val="Heading1"/>
      </w:pPr>
      <w:r>
        <w:t>10. Limitations and Future Work</w:t>
      </w:r>
    </w:p>
    <w:p>
      <w:pPr>
        <w:pStyle w:val="Heading2"/>
      </w:pPr>
      <w:r>
        <w:t>10.1 Current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Mitigation Applied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Very small dataset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n=12 (10 with investment)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LOO-CV; illustrative-only label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Missing investment for 2 projects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CML, SSPL — not disclosed in PIB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NaN preserved; investment_complete flag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Month-only approval dates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 exact day known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First-of-month convention; documented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Quarterly series too sparse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6 non-empty quarters — ARIMA not viable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No forecasting; documented in ml_feasibility_note.md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Single-currency assumption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capex in INR; no USD conversion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Stated clearly in provenance</w:t>
            </w:r>
          </w:p>
        </w:tc>
      </w:tr>
      <w:tr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No realisation tracking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Committed capex ≠ disbursed</w:t>
            </w:r>
          </w:p>
        </w:tc>
        <w:tc>
          <w:tcPr>
            <w:tcW w:type="dxa" w:w="3041"/>
            <w:shd w:val="clear" w:color="auto" w:fill="dbe8f5"/>
          </w:tcPr>
          <w:p>
            <w:r>
              <w:rPr>
                <w:sz w:val="20"/>
              </w:rPr>
              <w:t>Documented in INVESTMENT_NOTE constant</w:t>
            </w:r>
          </w:p>
        </w:tc>
      </w:tr>
    </w:tbl>
    <w:p/>
    <w:p>
      <w:pPr>
        <w:pStyle w:val="Heading2"/>
      </w:pPr>
      <w:r>
        <w:t>10.2 Future Work</w:t>
      </w:r>
    </w:p>
    <w:p>
      <w:r>
        <w:rPr>
          <w:b w:val="0"/>
          <w:i w:val="0"/>
          <w:sz w:val="22"/>
        </w:rPr>
        <w:t>1. Collect DGCI&amp;S/DGFT HS-8542 monthly trade statistics (~180 monthly observations) to enable ARIMA time-series forecasting of semiconductor import/export trends.</w:t>
        <w:br/>
        <w:t>2. Add state-level policy and incentive data to enrich the investment prediction model.</w:t>
        <w:br/>
        <w:t>3. Integrate real-time PIB RSS feeds for automatic new-project detection.</w:t>
        <w:br/>
        <w:t>4. Deploy the Streamlit dashboard to Streamlit Community Cloud for public access.</w:t>
        <w:br/>
        <w:t>5. Extend to Phase 3 ISM approvals as they become available.</w:t>
      </w:r>
    </w:p>
    <w:p>
      <w:pPr>
        <w:pStyle w:val="Heading1"/>
      </w:pPr>
      <w:r>
        <w:t>11. Conclusions</w:t>
      </w:r>
    </w:p>
    <w:p>
      <w:r>
        <w:rPr>
          <w:b w:val="0"/>
          <w:i w:val="0"/>
          <w:sz w:val="22"/>
        </w:rPr>
        <w:t>This project delivers a complete, data-integrity-first end-to-end analysis of India's ISM semiconductor programme. Key conclusions:</w:t>
      </w:r>
    </w:p>
    <w:p>
      <w:r>
        <w:rPr>
          <w:b w:val="0"/>
          <w:i w:val="0"/>
          <w:sz w:val="22"/>
        </w:rPr>
        <w:t>1. India has approved Rs. 1,60,365 crore in semiconductor capex across 12 projects in 7 states since June 2023 — an unprecedented pace of semiconductor investment for the country.</w:t>
      </w:r>
    </w:p>
    <w:p>
      <w:r>
        <w:rPr>
          <w:b w:val="0"/>
          <w:i w:val="0"/>
          <w:sz w:val="22"/>
        </w:rPr>
        <w:t>2. Gujarat is the dominant hub (6 of 12 projects; largest by investment), followed by Odisha and Andhra Pradesh. ATMP/OSAT is the most common facility type; Semiconductor Fab commands the largest capex share (~57%).</w:t>
      </w:r>
    </w:p>
    <w:p>
      <w:r>
        <w:rPr>
          <w:b w:val="0"/>
          <w:i w:val="0"/>
          <w:sz w:val="22"/>
        </w:rPr>
        <w:t>3. The quarterly approval series is too sparse (6 data points, 54% gap rate) for any meaningful ML time-series forecasting. This limitation is honestly documented rather than worked around with synthetic data.</w:t>
      </w:r>
    </w:p>
    <w:p>
      <w:r>
        <w:rPr>
          <w:b w:val="0"/>
          <w:i w:val="0"/>
          <w:sz w:val="22"/>
        </w:rPr>
        <w:t>4. A Gradient Boosting investment predictor (LOO-MAE: Rs. 13,832 cr) was built as an illustrative model. Facility type accounts for 90.2% of feature importance, consistent with domain knowledge that fabs cost vastly more than ATMP facilities.</w:t>
      </w:r>
    </w:p>
    <w:p>
      <w:r>
        <w:rPr>
          <w:b w:val="0"/>
          <w:i w:val="0"/>
          <w:sz w:val="22"/>
        </w:rPr>
        <w:t>5. Parametric market scenarios using NITI Aayog's 19% CAGR project India's semiconductor market reaching USD 148.7 billion by 2030 under the base case — broadly consistent with the IESA/IBEF consensus target of USD 103.4 billion.</w:t>
      </w:r>
    </w:p>
    <w:p>
      <w:pPr>
        <w:pStyle w:val="Heading1"/>
      </w:pPr>
      <w:r>
        <w:t>12. References</w:t>
      </w:r>
    </w:p>
    <w:p>
      <w:pPr>
        <w:pStyle w:val="ListNumber"/>
      </w:pPr>
      <w:r>
        <w:rPr>
          <w:sz w:val="20"/>
        </w:rPr>
        <w:t>[1]  Press Information Bureau (PIB), Government of India. ISM Cabinet Approvals. PRID 2247814, 2253549, 2258116, 2258119, 2261509. https://pib.gov.in</w:t>
      </w:r>
    </w:p>
    <w:p>
      <w:pPr>
        <w:pStyle w:val="ListNumber"/>
      </w:pPr>
      <w:r>
        <w:rPr>
          <w:sz w:val="20"/>
        </w:rPr>
        <w:t>[2]  NITI Aayog. India Semiconductor Mission (ISM) Roadmap. New Delhi, 2022. https://niti.gov.in</w:t>
      </w:r>
    </w:p>
    <w:p>
      <w:pPr>
        <w:pStyle w:val="ListNumber"/>
      </w:pPr>
      <w:r>
        <w:rPr>
          <w:sz w:val="20"/>
        </w:rPr>
        <w:t>[3]  India Electronics &amp; Semiconductor Association (IESA) / IBEF. India Semiconductor Industry Report. 2024. https://ibef.org</w:t>
      </w:r>
    </w:p>
    <w:p>
      <w:pPr>
        <w:pStyle w:val="ListNumber"/>
      </w:pPr>
      <w:r>
        <w:rPr>
          <w:sz w:val="20"/>
        </w:rPr>
        <w:t>[4]  Ministry of Electronics &amp; IT (MeitY). Semicon India Programme. https://ism.gov.in</w:t>
      </w:r>
    </w:p>
    <w:p>
      <w:pPr>
        <w:pStyle w:val="ListNumber"/>
      </w:pPr>
      <w:r>
        <w:rPr>
          <w:sz w:val="20"/>
        </w:rPr>
        <w:t>[5]  DGCI&amp;S / DGFT. HS-8542 Monthly Trade Statistics. https://tradestat.commerce.gov.in</w:t>
      </w:r>
    </w:p>
    <w:p>
      <w:pPr>
        <w:pStyle w:val="ListNumber"/>
      </w:pPr>
      <w:r>
        <w:rPr>
          <w:sz w:val="20"/>
        </w:rPr>
        <w:t>[6]  Government of India. Open Data Licence (GODL) v1.0. https://data.gov.in/government-open-data-license-india</w:t>
      </w:r>
    </w:p>
    <w:p/>
    <w:p>
      <w:pPr>
        <w:jc w:val="center"/>
      </w:pPr>
      <w:r>
        <w:rPr>
          <w:b/>
          <w:i w:val="0"/>
          <w:color w:val="1E3A5F"/>
          <w:sz w:val="22"/>
        </w:rPr>
        <w:t>—  End of Report 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